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75" w:rsidRDefault="00EC6F75" w:rsidP="00EC6F75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Supplemental Digital Content 11. </w:t>
      </w:r>
      <w:r w:rsidRPr="00436A49">
        <w:rPr>
          <w:rFonts w:ascii="Arial" w:hAnsi="Arial" w:cs="Arial"/>
          <w:sz w:val="24"/>
          <w:szCs w:val="24"/>
        </w:rPr>
        <w:t xml:space="preserve">Duration </w:t>
      </w:r>
      <w:r>
        <w:rPr>
          <w:rFonts w:ascii="Arial" w:hAnsi="Arial" w:cs="Arial"/>
          <w:sz w:val="24"/>
          <w:szCs w:val="24"/>
        </w:rPr>
        <w:t>i</w:t>
      </w:r>
      <w:r w:rsidRPr="00436A49">
        <w:rPr>
          <w:rFonts w:ascii="Arial" w:hAnsi="Arial" w:cs="Arial"/>
          <w:sz w:val="24"/>
          <w:szCs w:val="24"/>
        </w:rPr>
        <w:t>n Days</w:t>
      </w:r>
      <w:r>
        <w:rPr>
          <w:rFonts w:ascii="Arial" w:hAnsi="Arial" w:cs="Arial"/>
          <w:sz w:val="24"/>
          <w:szCs w:val="24"/>
        </w:rPr>
        <w:t>,</w:t>
      </w:r>
      <w:r w:rsidRPr="00436A49">
        <w:rPr>
          <w:rFonts w:ascii="Arial" w:hAnsi="Arial" w:cs="Arial"/>
          <w:sz w:val="24"/>
          <w:szCs w:val="24"/>
        </w:rPr>
        <w:t xml:space="preserve"> From First TN Diagnosis </w:t>
      </w:r>
      <w:r>
        <w:rPr>
          <w:rFonts w:ascii="Arial" w:hAnsi="Arial" w:cs="Arial"/>
          <w:sz w:val="24"/>
          <w:szCs w:val="24"/>
        </w:rPr>
        <w:t>t</w:t>
      </w:r>
      <w:r w:rsidRPr="00436A49">
        <w:rPr>
          <w:rFonts w:ascii="Arial" w:hAnsi="Arial" w:cs="Arial"/>
          <w:sz w:val="24"/>
          <w:szCs w:val="24"/>
        </w:rPr>
        <w:t xml:space="preserve">o First Surgery </w:t>
      </w:r>
      <w:r>
        <w:rPr>
          <w:rFonts w:ascii="Arial" w:hAnsi="Arial" w:cs="Arial"/>
          <w:sz w:val="24"/>
          <w:szCs w:val="24"/>
        </w:rPr>
        <w:t>Among Patients Who Underwent Surgery, a</w:t>
      </w:r>
      <w:r w:rsidRPr="00436A49">
        <w:rPr>
          <w:rFonts w:ascii="Arial" w:hAnsi="Arial" w:cs="Arial"/>
          <w:sz w:val="24"/>
          <w:szCs w:val="24"/>
        </w:rPr>
        <w:t xml:space="preserve">nd From Initial Pharmacological Treatment </w:t>
      </w:r>
      <w:r>
        <w:rPr>
          <w:rFonts w:ascii="Arial" w:hAnsi="Arial" w:cs="Arial"/>
          <w:sz w:val="24"/>
          <w:szCs w:val="24"/>
        </w:rPr>
        <w:t>t</w:t>
      </w:r>
      <w:r w:rsidRPr="00436A49">
        <w:rPr>
          <w:rFonts w:ascii="Arial" w:hAnsi="Arial" w:cs="Arial"/>
          <w:sz w:val="24"/>
          <w:szCs w:val="24"/>
        </w:rPr>
        <w:t>o First Surgery</w:t>
      </w:r>
      <w:r>
        <w:rPr>
          <w:rFonts w:ascii="Arial" w:hAnsi="Arial" w:cs="Arial"/>
          <w:sz w:val="24"/>
          <w:szCs w:val="24"/>
        </w:rPr>
        <w:t xml:space="preserve"> Among Patients Who Received Pharmacological Treatment Before Surgery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EC6F75" w:rsidTr="000D332F">
        <w:tc>
          <w:tcPr>
            <w:tcW w:w="2256" w:type="dxa"/>
            <w:tcBorders>
              <w:top w:val="single" w:sz="2" w:space="0" w:color="auto"/>
              <w:bottom w:val="single" w:sz="2" w:space="0" w:color="auto"/>
            </w:tcBorders>
          </w:tcPr>
          <w:p w:rsidR="00EC6F75" w:rsidRDefault="00EC6F75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6F75" w:rsidRPr="00692C6D" w:rsidRDefault="00EC6F75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6D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  <w:p w:rsidR="00EC6F75" w:rsidRPr="00692C6D" w:rsidRDefault="00EC6F75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6D">
              <w:rPr>
                <w:rFonts w:ascii="Arial" w:hAnsi="Arial" w:cs="Arial"/>
                <w:b/>
                <w:sz w:val="24"/>
                <w:szCs w:val="24"/>
              </w:rPr>
              <w:t>N=454</w:t>
            </w: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6F75" w:rsidRPr="00692C6D" w:rsidRDefault="00EC6F75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6D">
              <w:rPr>
                <w:rFonts w:ascii="Arial" w:hAnsi="Arial" w:cs="Arial"/>
                <w:b/>
                <w:sz w:val="24"/>
                <w:szCs w:val="24"/>
              </w:rPr>
              <w:t xml:space="preserve">Commercial </w:t>
            </w:r>
          </w:p>
          <w:p w:rsidR="00EC6F75" w:rsidRPr="00692C6D" w:rsidRDefault="00EC6F75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92C6D">
              <w:rPr>
                <w:rFonts w:ascii="Arial" w:hAnsi="Arial" w:cs="Arial"/>
                <w:b/>
                <w:sz w:val="24"/>
                <w:szCs w:val="24"/>
              </w:rPr>
              <w:t>=271</w:t>
            </w: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6F75" w:rsidRPr="00692C6D" w:rsidRDefault="00EC6F75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6D">
              <w:rPr>
                <w:rFonts w:ascii="Arial" w:hAnsi="Arial" w:cs="Arial"/>
                <w:b/>
                <w:sz w:val="24"/>
                <w:szCs w:val="24"/>
              </w:rPr>
              <w:t xml:space="preserve">Medicare </w:t>
            </w:r>
          </w:p>
          <w:p w:rsidR="00EC6F75" w:rsidRPr="00692C6D" w:rsidRDefault="00EC6F75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92C6D">
              <w:rPr>
                <w:rFonts w:ascii="Arial" w:hAnsi="Arial" w:cs="Arial"/>
                <w:b/>
                <w:sz w:val="24"/>
                <w:szCs w:val="24"/>
              </w:rPr>
              <w:t>=183</w:t>
            </w:r>
          </w:p>
        </w:tc>
      </w:tr>
      <w:tr w:rsidR="00EC6F75" w:rsidTr="000D332F">
        <w:tc>
          <w:tcPr>
            <w:tcW w:w="2256" w:type="dxa"/>
            <w:tcBorders>
              <w:top w:val="single" w:sz="2" w:space="0" w:color="auto"/>
            </w:tcBorders>
          </w:tcPr>
          <w:p w:rsidR="00EC6F75" w:rsidRPr="007358B0" w:rsidRDefault="00EC6F75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358B0">
              <w:rPr>
                <w:rFonts w:ascii="Arial" w:hAnsi="Arial" w:cs="Arial"/>
                <w:sz w:val="24"/>
                <w:szCs w:val="24"/>
              </w:rPr>
              <w:t>Days from TN diagnosis to first surgery</w:t>
            </w:r>
          </w:p>
        </w:tc>
        <w:tc>
          <w:tcPr>
            <w:tcW w:w="2256" w:type="dxa"/>
            <w:tcBorders>
              <w:top w:val="single" w:sz="2" w:space="0" w:color="auto"/>
            </w:tcBorders>
          </w:tcPr>
          <w:p w:rsidR="00EC6F75" w:rsidRPr="004864F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auto"/>
            </w:tcBorders>
          </w:tcPr>
          <w:p w:rsidR="00EC6F75" w:rsidRPr="004864F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auto"/>
            </w:tcBorders>
          </w:tcPr>
          <w:p w:rsidR="00EC6F75" w:rsidRPr="004864F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F75" w:rsidTr="000D332F">
        <w:tc>
          <w:tcPr>
            <w:tcW w:w="2256" w:type="dxa"/>
          </w:tcPr>
          <w:p w:rsidR="00EC6F75" w:rsidRPr="00E8253B" w:rsidRDefault="00EC6F75" w:rsidP="000D332F">
            <w:pPr>
              <w:spacing w:line="480" w:lineRule="auto"/>
              <w:ind w:left="316"/>
              <w:rPr>
                <w:rFonts w:ascii="Arial" w:hAnsi="Arial" w:cs="Arial"/>
                <w:sz w:val="24"/>
                <w:szCs w:val="24"/>
              </w:rPr>
            </w:pPr>
            <w:r w:rsidRPr="00E8253B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2256" w:type="dxa"/>
          </w:tcPr>
          <w:p w:rsidR="00EC6F75" w:rsidRPr="00E8253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  <w:r w:rsidRPr="00E8253B">
              <w:rPr>
                <w:rFonts w:ascii="Arial" w:hAnsi="Arial" w:cs="Arial"/>
                <w:sz w:val="24"/>
                <w:szCs w:val="24"/>
              </w:rPr>
              <w:t xml:space="preserve"> (76</w:t>
            </w:r>
            <w:r w:rsidRPr="00E825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–514)</w:t>
            </w:r>
          </w:p>
        </w:tc>
        <w:tc>
          <w:tcPr>
            <w:tcW w:w="2257" w:type="dxa"/>
          </w:tcPr>
          <w:p w:rsidR="00EC6F75" w:rsidRPr="00E8253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53B">
              <w:rPr>
                <w:rFonts w:ascii="Arial" w:hAnsi="Arial" w:cs="Arial"/>
                <w:sz w:val="24"/>
                <w:szCs w:val="24"/>
              </w:rPr>
              <w:t>300 (96</w:t>
            </w:r>
            <w:r w:rsidRPr="00E825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–570)</w:t>
            </w:r>
          </w:p>
        </w:tc>
        <w:tc>
          <w:tcPr>
            <w:tcW w:w="2257" w:type="dxa"/>
          </w:tcPr>
          <w:p w:rsidR="00EC6F75" w:rsidRPr="00E8253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53B">
              <w:rPr>
                <w:rFonts w:ascii="Arial" w:hAnsi="Arial" w:cs="Arial"/>
                <w:sz w:val="24"/>
                <w:szCs w:val="24"/>
              </w:rPr>
              <w:t>133 (55</w:t>
            </w:r>
            <w:r w:rsidRPr="00E825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–419)</w:t>
            </w:r>
          </w:p>
        </w:tc>
      </w:tr>
      <w:tr w:rsidR="00EC6F75" w:rsidTr="000D332F">
        <w:tc>
          <w:tcPr>
            <w:tcW w:w="2256" w:type="dxa"/>
          </w:tcPr>
          <w:p w:rsidR="00EC6F75" w:rsidRPr="00E8253B" w:rsidRDefault="00EC6F75" w:rsidP="000D332F">
            <w:pPr>
              <w:spacing w:line="480" w:lineRule="auto"/>
              <w:ind w:left="316"/>
              <w:rPr>
                <w:rFonts w:ascii="Arial" w:hAnsi="Arial" w:cs="Arial"/>
                <w:sz w:val="24"/>
                <w:szCs w:val="24"/>
              </w:rPr>
            </w:pPr>
            <w:r w:rsidRPr="00E8253B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2256" w:type="dxa"/>
          </w:tcPr>
          <w:p w:rsidR="00EC6F75" w:rsidRPr="00E8253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53B">
              <w:rPr>
                <w:rFonts w:ascii="Arial" w:hAnsi="Arial" w:cs="Arial"/>
                <w:sz w:val="24"/>
                <w:szCs w:val="24"/>
              </w:rPr>
              <w:t>329 (302)</w:t>
            </w:r>
          </w:p>
        </w:tc>
        <w:tc>
          <w:tcPr>
            <w:tcW w:w="2257" w:type="dxa"/>
          </w:tcPr>
          <w:p w:rsidR="00EC6F75" w:rsidRPr="00E8253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53B">
              <w:rPr>
                <w:rFonts w:ascii="Arial" w:hAnsi="Arial" w:cs="Arial"/>
                <w:sz w:val="24"/>
                <w:szCs w:val="24"/>
              </w:rPr>
              <w:t>364 (300)</w:t>
            </w:r>
          </w:p>
        </w:tc>
        <w:tc>
          <w:tcPr>
            <w:tcW w:w="2257" w:type="dxa"/>
          </w:tcPr>
          <w:p w:rsidR="00EC6F75" w:rsidRPr="00E8253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53B">
              <w:rPr>
                <w:rFonts w:ascii="Arial" w:hAnsi="Arial" w:cs="Arial"/>
                <w:sz w:val="24"/>
                <w:szCs w:val="24"/>
              </w:rPr>
              <w:t>277 (298)</w:t>
            </w:r>
          </w:p>
        </w:tc>
      </w:tr>
      <w:tr w:rsidR="00EC6F75" w:rsidTr="000D332F">
        <w:tc>
          <w:tcPr>
            <w:tcW w:w="2256" w:type="dxa"/>
          </w:tcPr>
          <w:p w:rsidR="00EC6F75" w:rsidRPr="00CA3746" w:rsidRDefault="00EC6F75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A3746">
              <w:rPr>
                <w:rFonts w:ascii="Arial" w:hAnsi="Arial" w:cs="Arial"/>
                <w:sz w:val="24"/>
                <w:szCs w:val="24"/>
              </w:rPr>
              <w:t>Days from starting pharmacological treatment to first surgery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56" w:type="dxa"/>
          </w:tcPr>
          <w:p w:rsidR="00EC6F75" w:rsidRPr="004864F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864FB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257" w:type="dxa"/>
          </w:tcPr>
          <w:p w:rsidR="00EC6F75" w:rsidRPr="004864F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864FB">
              <w:rPr>
                <w:rFonts w:ascii="Arial" w:hAnsi="Arial" w:cs="Arial"/>
                <w:sz w:val="24"/>
                <w:szCs w:val="24"/>
              </w:rPr>
              <w:t>=2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EC6F75" w:rsidRPr="004864FB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864FB">
              <w:rPr>
                <w:rFonts w:ascii="Arial" w:hAnsi="Arial" w:cs="Arial"/>
                <w:sz w:val="24"/>
                <w:szCs w:val="24"/>
              </w:rPr>
              <w:t>=1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C6F75" w:rsidTr="000D332F">
        <w:tc>
          <w:tcPr>
            <w:tcW w:w="2256" w:type="dxa"/>
          </w:tcPr>
          <w:p w:rsidR="00EC6F75" w:rsidRPr="00CA3746" w:rsidRDefault="00EC6F75" w:rsidP="000D332F">
            <w:pPr>
              <w:spacing w:line="480" w:lineRule="auto"/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2256" w:type="dxa"/>
          </w:tcPr>
          <w:p w:rsidR="00EC6F75" w:rsidRPr="00436A49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A49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36A4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Pr="00436A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–4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88</w:t>
            </w:r>
            <w:r w:rsidRPr="00436A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57" w:type="dxa"/>
          </w:tcPr>
          <w:p w:rsidR="00EC6F75" w:rsidRPr="00436A49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A4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Pr="00436A49">
              <w:rPr>
                <w:rFonts w:ascii="Arial" w:hAnsi="Arial" w:cs="Arial"/>
                <w:sz w:val="24"/>
                <w:szCs w:val="24"/>
              </w:rPr>
              <w:t xml:space="preserve"> (9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36A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–5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39</w:t>
            </w:r>
            <w:r w:rsidRPr="00436A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57" w:type="dxa"/>
          </w:tcPr>
          <w:p w:rsidR="00EC6F75" w:rsidRPr="00436A49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A4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436A4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436A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–399)</w:t>
            </w:r>
          </w:p>
        </w:tc>
      </w:tr>
      <w:tr w:rsidR="00EC6F75" w:rsidTr="000D332F">
        <w:tc>
          <w:tcPr>
            <w:tcW w:w="2256" w:type="dxa"/>
            <w:tcBorders>
              <w:bottom w:val="single" w:sz="4" w:space="0" w:color="auto"/>
            </w:tcBorders>
          </w:tcPr>
          <w:p w:rsidR="00EC6F75" w:rsidRPr="00CA3746" w:rsidRDefault="00EC6F75" w:rsidP="000D332F">
            <w:pPr>
              <w:spacing w:line="480" w:lineRule="auto"/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C6F75" w:rsidRPr="00436A49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A49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36A49">
              <w:rPr>
                <w:rFonts w:ascii="Arial" w:hAnsi="Arial" w:cs="Arial"/>
                <w:sz w:val="24"/>
                <w:szCs w:val="24"/>
              </w:rPr>
              <w:t xml:space="preserve"> (29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36A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C6F75" w:rsidRPr="00436A49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A49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36A49">
              <w:rPr>
                <w:rFonts w:ascii="Arial" w:hAnsi="Arial" w:cs="Arial"/>
                <w:sz w:val="24"/>
                <w:szCs w:val="24"/>
              </w:rPr>
              <w:t xml:space="preserve"> (29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36A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C6F75" w:rsidRPr="00436A49" w:rsidRDefault="00EC6F75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A49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36A49">
              <w:rPr>
                <w:rFonts w:ascii="Arial" w:hAnsi="Arial" w:cs="Arial"/>
                <w:sz w:val="24"/>
                <w:szCs w:val="24"/>
              </w:rPr>
              <w:t xml:space="preserve"> (2</w:t>
            </w: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Pr="00436A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EC6F75" w:rsidRDefault="00EC6F75" w:rsidP="00EC6F75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CA3746">
        <w:rPr>
          <w:rFonts w:ascii="Arial" w:hAnsi="Arial" w:cs="Arial"/>
          <w:sz w:val="24"/>
          <w:szCs w:val="24"/>
        </w:rPr>
        <w:t xml:space="preserve">*Among patients who received pharmacological treatment </w:t>
      </w:r>
      <w:r>
        <w:rPr>
          <w:rFonts w:ascii="Arial" w:hAnsi="Arial" w:cs="Arial"/>
          <w:sz w:val="24"/>
          <w:szCs w:val="24"/>
        </w:rPr>
        <w:t>before</w:t>
      </w:r>
      <w:r w:rsidRPr="00CA3746">
        <w:rPr>
          <w:rFonts w:ascii="Arial" w:hAnsi="Arial" w:cs="Arial"/>
          <w:sz w:val="24"/>
          <w:szCs w:val="24"/>
        </w:rPr>
        <w:t xml:space="preserve"> surgery</w:t>
      </w:r>
      <w:r>
        <w:rPr>
          <w:rFonts w:ascii="Arial" w:hAnsi="Arial" w:cs="Arial"/>
          <w:sz w:val="24"/>
          <w:szCs w:val="24"/>
        </w:rPr>
        <w:t xml:space="preserve"> (17 patients received surgery before pharmacological treatment; 81 patients did not receive pharmacological treatment and were excluded from this analysis). </w:t>
      </w:r>
    </w:p>
    <w:p w:rsidR="00EC6F75" w:rsidRDefault="00EC6F75" w:rsidP="00EC6F75">
      <w:pPr>
        <w:ind w:firstLine="720"/>
        <w:rPr>
          <w:rFonts w:ascii="Arial" w:hAnsi="Arial" w:cs="Arial"/>
          <w:sz w:val="24"/>
          <w:szCs w:val="24"/>
        </w:rPr>
      </w:pPr>
      <w:r w:rsidRPr="001F7D71">
        <w:rPr>
          <w:rFonts w:ascii="Arial" w:hAnsi="Arial" w:cs="Arial"/>
          <w:sz w:val="24"/>
          <w:szCs w:val="24"/>
        </w:rPr>
        <w:t>IQR</w:t>
      </w:r>
      <w:r>
        <w:rPr>
          <w:rFonts w:ascii="Arial" w:hAnsi="Arial" w:cs="Arial"/>
          <w:sz w:val="24"/>
          <w:szCs w:val="24"/>
        </w:rPr>
        <w:t xml:space="preserve">, </w:t>
      </w:r>
      <w:r w:rsidRPr="001F7D71">
        <w:rPr>
          <w:rFonts w:ascii="Arial" w:hAnsi="Arial" w:cs="Arial"/>
          <w:sz w:val="24"/>
          <w:szCs w:val="24"/>
        </w:rPr>
        <w:t>interquartile range</w:t>
      </w:r>
      <w:r>
        <w:rPr>
          <w:rFonts w:ascii="Arial" w:hAnsi="Arial" w:cs="Arial"/>
          <w:sz w:val="24"/>
          <w:szCs w:val="24"/>
        </w:rPr>
        <w:t xml:space="preserve">; TN, trigeminal neuralgia. </w:t>
      </w:r>
    </w:p>
    <w:p w:rsidR="00E86D75" w:rsidRDefault="00E86D75"/>
    <w:sectPr w:rsidR="00E8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5"/>
    <w:rsid w:val="00323F61"/>
    <w:rsid w:val="00E86D75"/>
    <w:rsid w:val="00E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1D86F-43A5-40F0-98B3-B991C7ED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2</cp:revision>
  <dcterms:created xsi:type="dcterms:W3CDTF">2017-08-02T13:36:00Z</dcterms:created>
  <dcterms:modified xsi:type="dcterms:W3CDTF">2017-08-02T13:36:00Z</dcterms:modified>
</cp:coreProperties>
</file>