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CA7" w:rsidRPr="00303206" w:rsidRDefault="00E97CA7" w:rsidP="00E97CA7">
      <w:pPr>
        <w:keepNext/>
        <w:rPr>
          <w:b/>
          <w:bCs/>
        </w:rPr>
      </w:pPr>
      <w:bookmarkStart w:id="0" w:name="_Toc486245723"/>
      <w:r w:rsidRPr="00303206">
        <w:rPr>
          <w:b/>
          <w:bCs/>
        </w:rPr>
        <w:t xml:space="preserve">e-Table </w:t>
      </w:r>
      <w:r w:rsidRPr="00303206">
        <w:rPr>
          <w:b/>
          <w:bCs/>
        </w:rPr>
        <w:fldChar w:fldCharType="begin"/>
      </w:r>
      <w:r w:rsidRPr="00303206">
        <w:rPr>
          <w:b/>
          <w:bCs/>
        </w:rPr>
        <w:instrText xml:space="preserve"> SEQ Table \* ARABIC </w:instrText>
      </w:r>
      <w:r w:rsidRPr="00303206">
        <w:rPr>
          <w:b/>
          <w:bCs/>
        </w:rPr>
        <w:fldChar w:fldCharType="separate"/>
      </w:r>
      <w:r>
        <w:rPr>
          <w:b/>
          <w:bCs/>
          <w:noProof/>
        </w:rPr>
        <w:t>8</w:t>
      </w:r>
      <w:r w:rsidRPr="00303206">
        <w:rPr>
          <w:b/>
          <w:bCs/>
        </w:rPr>
        <w:fldChar w:fldCharType="end"/>
      </w:r>
      <w:r w:rsidRPr="00303206">
        <w:rPr>
          <w:b/>
          <w:bCs/>
        </w:rPr>
        <w:t xml:space="preserve"> - Results of scenario using back pain response</w:t>
      </w:r>
      <w:bookmarkEnd w:id="0"/>
      <w:r w:rsidRPr="00303206">
        <w:rPr>
          <w:b/>
          <w:bCs/>
        </w:rPr>
        <w:t xml:space="preserve"> as alternative to leg pain response from SENZA-RCT</w:t>
      </w:r>
    </w:p>
    <w:tbl>
      <w:tblPr>
        <w:tblStyle w:val="TableGrid"/>
        <w:tblW w:w="5000" w:type="pct"/>
        <w:tblLook w:val="04A0" w:firstRow="1" w:lastRow="0" w:firstColumn="1" w:lastColumn="0" w:noHBand="0" w:noVBand="1"/>
      </w:tblPr>
      <w:tblGrid>
        <w:gridCol w:w="2736"/>
        <w:gridCol w:w="3308"/>
        <w:gridCol w:w="3306"/>
      </w:tblGrid>
      <w:tr w:rsidR="00E97CA7" w:rsidRPr="00E02515" w:rsidTr="0071744D">
        <w:trPr>
          <w:trHeight w:val="381"/>
        </w:trPr>
        <w:tc>
          <w:tcPr>
            <w:tcW w:w="1463" w:type="pct"/>
          </w:tcPr>
          <w:p w:rsidR="00E97CA7" w:rsidRPr="00DE260B" w:rsidRDefault="00E97CA7" w:rsidP="0071744D">
            <w:pPr>
              <w:keepNext/>
              <w:keepLines/>
              <w:rPr>
                <w:b/>
                <w:bCs/>
              </w:rPr>
            </w:pPr>
          </w:p>
        </w:tc>
        <w:tc>
          <w:tcPr>
            <w:tcW w:w="1769" w:type="pct"/>
          </w:tcPr>
          <w:p w:rsidR="00E97CA7" w:rsidRPr="00DE260B" w:rsidRDefault="00E97CA7" w:rsidP="0071744D">
            <w:pPr>
              <w:keepNext/>
              <w:keepLines/>
              <w:rPr>
                <w:b/>
                <w:bCs/>
              </w:rPr>
            </w:pPr>
            <w:r w:rsidRPr="00DE260B">
              <w:rPr>
                <w:b/>
                <w:bCs/>
              </w:rPr>
              <w:t>Total cost per patient</w:t>
            </w:r>
          </w:p>
        </w:tc>
        <w:tc>
          <w:tcPr>
            <w:tcW w:w="1768" w:type="pct"/>
          </w:tcPr>
          <w:p w:rsidR="00E97CA7" w:rsidRPr="00DE260B" w:rsidRDefault="00E97CA7" w:rsidP="0071744D">
            <w:pPr>
              <w:keepNext/>
              <w:keepLines/>
              <w:rPr>
                <w:b/>
                <w:bCs/>
              </w:rPr>
            </w:pPr>
            <w:r w:rsidRPr="00DE260B">
              <w:rPr>
                <w:b/>
                <w:bCs/>
              </w:rPr>
              <w:t xml:space="preserve">Cost saving with </w:t>
            </w:r>
            <w:r>
              <w:rPr>
                <w:b/>
                <w:bCs/>
              </w:rPr>
              <w:t>10kHz</w:t>
            </w:r>
            <w:r>
              <w:rPr>
                <w:b/>
                <w:bCs/>
              </w:rPr>
              <w:noBreakHyphen/>
              <w:t>SCS ther</w:t>
            </w:r>
            <w:r w:rsidRPr="00DE260B">
              <w:rPr>
                <w:b/>
                <w:bCs/>
              </w:rPr>
              <w:t>apy</w:t>
            </w:r>
          </w:p>
        </w:tc>
      </w:tr>
      <w:tr w:rsidR="00E97CA7" w:rsidRPr="00E02515" w:rsidTr="0071744D">
        <w:trPr>
          <w:trHeight w:val="381"/>
        </w:trPr>
        <w:tc>
          <w:tcPr>
            <w:tcW w:w="1463" w:type="pct"/>
          </w:tcPr>
          <w:p w:rsidR="00E97CA7" w:rsidRPr="00393DF8" w:rsidRDefault="00E97CA7" w:rsidP="0071744D">
            <w:pPr>
              <w:keepNext/>
              <w:keepLines/>
            </w:pPr>
            <w:r>
              <w:rPr>
                <w:color w:val="000000"/>
              </w:rPr>
              <w:t>10kHz-SCS</w:t>
            </w:r>
          </w:p>
        </w:tc>
        <w:tc>
          <w:tcPr>
            <w:tcW w:w="1769" w:type="pct"/>
          </w:tcPr>
          <w:p w:rsidR="00E97CA7" w:rsidRPr="00BB1FD9" w:rsidRDefault="00E97CA7" w:rsidP="0071744D">
            <w:pPr>
              <w:keepNext/>
              <w:keepLines/>
              <w:rPr>
                <w:szCs w:val="20"/>
              </w:rPr>
            </w:pPr>
            <w:r w:rsidRPr="00BB1FD9">
              <w:t>£87,400</w:t>
            </w:r>
          </w:p>
        </w:tc>
        <w:tc>
          <w:tcPr>
            <w:tcW w:w="1768" w:type="pct"/>
          </w:tcPr>
          <w:p w:rsidR="00E97CA7" w:rsidRPr="00BB1FD9" w:rsidRDefault="00E97CA7" w:rsidP="0071744D">
            <w:pPr>
              <w:keepNext/>
              <w:keepLines/>
              <w:rPr>
                <w:color w:val="000000"/>
                <w:sz w:val="20"/>
                <w:szCs w:val="20"/>
              </w:rPr>
            </w:pPr>
            <w:r w:rsidRPr="00BB1FD9">
              <w:rPr>
                <w:sz w:val="20"/>
              </w:rPr>
              <w:t>-</w:t>
            </w:r>
          </w:p>
        </w:tc>
      </w:tr>
      <w:tr w:rsidR="00E97CA7" w:rsidRPr="00E02515" w:rsidTr="0071744D">
        <w:trPr>
          <w:trHeight w:val="381"/>
        </w:trPr>
        <w:tc>
          <w:tcPr>
            <w:tcW w:w="1463" w:type="pct"/>
          </w:tcPr>
          <w:p w:rsidR="00E97CA7" w:rsidRPr="00393DF8" w:rsidRDefault="00E97CA7" w:rsidP="0071744D">
            <w:pPr>
              <w:keepNext/>
              <w:keepLines/>
            </w:pPr>
            <w:r>
              <w:t>NRLF-SCS</w:t>
            </w:r>
          </w:p>
        </w:tc>
        <w:tc>
          <w:tcPr>
            <w:tcW w:w="1769" w:type="pct"/>
          </w:tcPr>
          <w:p w:rsidR="00E97CA7" w:rsidRPr="00BB1FD9" w:rsidRDefault="00E97CA7" w:rsidP="0071744D">
            <w:pPr>
              <w:keepNext/>
              <w:keepLines/>
              <w:rPr>
                <w:szCs w:val="20"/>
              </w:rPr>
            </w:pPr>
            <w:r w:rsidRPr="00BB1FD9">
              <w:t>£95,156</w:t>
            </w:r>
          </w:p>
        </w:tc>
        <w:tc>
          <w:tcPr>
            <w:tcW w:w="1768" w:type="pct"/>
          </w:tcPr>
          <w:p w:rsidR="00E97CA7" w:rsidRPr="00BB1FD9" w:rsidRDefault="00E97CA7" w:rsidP="0071744D">
            <w:pPr>
              <w:keepNext/>
              <w:keepLines/>
              <w:rPr>
                <w:szCs w:val="20"/>
              </w:rPr>
            </w:pPr>
            <w:r w:rsidRPr="00BB1FD9">
              <w:t>£7,755</w:t>
            </w:r>
          </w:p>
        </w:tc>
      </w:tr>
      <w:tr w:rsidR="00E97CA7" w:rsidRPr="00E02515" w:rsidTr="0071744D">
        <w:trPr>
          <w:trHeight w:val="381"/>
        </w:trPr>
        <w:tc>
          <w:tcPr>
            <w:tcW w:w="1463" w:type="pct"/>
          </w:tcPr>
          <w:p w:rsidR="00E97CA7" w:rsidRPr="00393DF8" w:rsidRDefault="00E97CA7" w:rsidP="0071744D">
            <w:pPr>
              <w:keepNext/>
              <w:keepLines/>
            </w:pPr>
            <w:r>
              <w:t>RLF-SCS</w:t>
            </w:r>
          </w:p>
        </w:tc>
        <w:tc>
          <w:tcPr>
            <w:tcW w:w="1769" w:type="pct"/>
          </w:tcPr>
          <w:p w:rsidR="00E97CA7" w:rsidRPr="00BB1FD9" w:rsidRDefault="00E97CA7" w:rsidP="0071744D">
            <w:pPr>
              <w:keepNext/>
              <w:keepLines/>
              <w:rPr>
                <w:szCs w:val="20"/>
              </w:rPr>
            </w:pPr>
            <w:r w:rsidRPr="00BB1FD9">
              <w:t>£92,196</w:t>
            </w:r>
          </w:p>
        </w:tc>
        <w:tc>
          <w:tcPr>
            <w:tcW w:w="1768" w:type="pct"/>
          </w:tcPr>
          <w:p w:rsidR="00E97CA7" w:rsidRPr="00BB1FD9" w:rsidRDefault="00E97CA7" w:rsidP="0071744D">
            <w:pPr>
              <w:keepNext/>
              <w:keepLines/>
              <w:rPr>
                <w:szCs w:val="20"/>
              </w:rPr>
            </w:pPr>
            <w:r w:rsidRPr="00BB1FD9">
              <w:t>£4,795</w:t>
            </w:r>
          </w:p>
        </w:tc>
      </w:tr>
    </w:tbl>
    <w:p w:rsidR="00E97CA7" w:rsidRDefault="00E97CA7" w:rsidP="00E97CA7">
      <w:r>
        <w:t>Abbreviations: 10kHz</w:t>
      </w:r>
      <w:r>
        <w:noBreakHyphen/>
        <w:t>SCS</w:t>
      </w:r>
      <w:r>
        <w:rPr>
          <w:rFonts w:cs="Times New Roman"/>
          <w:szCs w:val="24"/>
        </w:rPr>
        <w:t>, 10kHz high frequency spinal cord stimulation;</w:t>
      </w:r>
      <w:r>
        <w:t xml:space="preserve"> N</w:t>
      </w:r>
      <w:r w:rsidRPr="009630B8">
        <w:t>R</w:t>
      </w:r>
      <w:r>
        <w:t>LF</w:t>
      </w:r>
      <w:r w:rsidRPr="009630B8">
        <w:t xml:space="preserve">-SCS, </w:t>
      </w:r>
      <w:r>
        <w:t>non</w:t>
      </w:r>
      <w:r>
        <w:noBreakHyphen/>
      </w:r>
      <w:r w:rsidRPr="009630B8">
        <w:t xml:space="preserve">rechargeable </w:t>
      </w:r>
      <w:r>
        <w:t>low</w:t>
      </w:r>
      <w:r>
        <w:noBreakHyphen/>
        <w:t xml:space="preserve">frequency </w:t>
      </w:r>
      <w:r w:rsidRPr="009630B8">
        <w:t>spinal cord stimulation</w:t>
      </w:r>
      <w:r>
        <w:t>; RCT, randomised controlled trial; RLF</w:t>
      </w:r>
      <w:r>
        <w:noBreakHyphen/>
      </w:r>
      <w:r w:rsidRPr="009630B8">
        <w:t xml:space="preserve">SCS, rechargeable </w:t>
      </w:r>
      <w:r>
        <w:t>low</w:t>
      </w:r>
      <w:r>
        <w:noBreakHyphen/>
        <w:t xml:space="preserve">frequency </w:t>
      </w:r>
      <w:r w:rsidRPr="009630B8">
        <w:t>spinal cord stimulation</w:t>
      </w:r>
      <w:r>
        <w:t>.</w:t>
      </w:r>
    </w:p>
    <w:p w:rsidR="00E97CA7" w:rsidRDefault="00E97CA7" w:rsidP="00E97CA7"/>
    <w:p w:rsidR="00E97CA7" w:rsidRDefault="00E97CA7" w:rsidP="00E97CA7">
      <w:r w:rsidRPr="004B36E6">
        <w:t xml:space="preserve">As </w:t>
      </w:r>
      <w:r>
        <w:t>it is assumed t</w:t>
      </w:r>
      <w:r w:rsidRPr="004B36E6">
        <w:t xml:space="preserve">here is no differential between </w:t>
      </w:r>
      <w:r>
        <w:t>10kHz</w:t>
      </w:r>
      <w:r>
        <w:noBreakHyphen/>
        <w:t>SCS th</w:t>
      </w:r>
      <w:r w:rsidRPr="004B36E6">
        <w:t xml:space="preserve">erapy and </w:t>
      </w:r>
      <w:r>
        <w:t>NRLF</w:t>
      </w:r>
      <w:r w:rsidRPr="004B36E6">
        <w:t>-SCS/R</w:t>
      </w:r>
      <w:r>
        <w:t>LF</w:t>
      </w:r>
      <w:r w:rsidRPr="004B36E6">
        <w:t>-SCS for the costs of optimal</w:t>
      </w:r>
      <w:r>
        <w:t xml:space="preserve"> and sub-optimal pain relief, the use of an alternative measure of efficacy has no impact on the cost saving. Fewer patients will reach optimal pain relief when assessed via back pain response; however, 10kHz</w:t>
      </w:r>
      <w:r>
        <w:noBreakHyphen/>
        <w:t>SCS therapy still results in cost savings and more patients have optimal pain relief compared to NRLF-SCS/RLF-SCS.</w:t>
      </w:r>
    </w:p>
    <w:p w:rsidR="00FB6720" w:rsidRDefault="00FB6720">
      <w:bookmarkStart w:id="1" w:name="_GoBack"/>
      <w:bookmarkEnd w:id="1"/>
    </w:p>
    <w:sectPr w:rsidR="00FB6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A7"/>
    <w:rsid w:val="00E97CA7"/>
    <w:rsid w:val="00FB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6CB92-E0A7-45A0-91E3-03563BE1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CA7"/>
    <w:pPr>
      <w:spacing w:after="0" w:line="480"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Rotte</dc:creator>
  <cp:keywords/>
  <dc:description/>
  <cp:lastModifiedBy>Anand Rotte</cp:lastModifiedBy>
  <cp:revision>1</cp:revision>
  <dcterms:created xsi:type="dcterms:W3CDTF">2020-01-27T21:53:00Z</dcterms:created>
  <dcterms:modified xsi:type="dcterms:W3CDTF">2020-01-27T21:56:00Z</dcterms:modified>
</cp:coreProperties>
</file>