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841" w:rsidRDefault="00A97841" w:rsidP="00A97841">
      <w:pPr>
        <w:rPr>
          <w:szCs w:val="18"/>
        </w:rPr>
      </w:pPr>
    </w:p>
    <w:p w:rsidR="00A97841" w:rsidRPr="009316DF" w:rsidRDefault="00A97841" w:rsidP="00A97841">
      <w:pPr>
        <w:pStyle w:val="Heading3"/>
        <w:rPr>
          <w:rFonts w:ascii="Times New Roman" w:hAnsi="Times New Roman" w:cs="Times New Roman"/>
          <w:b/>
          <w:bCs/>
          <w:color w:val="auto"/>
        </w:rPr>
      </w:pPr>
      <w:r w:rsidRPr="009316DF">
        <w:rPr>
          <w:rFonts w:ascii="Times New Roman" w:hAnsi="Times New Roman" w:cs="Times New Roman"/>
          <w:b/>
          <w:bCs/>
          <w:color w:val="auto"/>
        </w:rPr>
        <w:t>Alternative system costs</w:t>
      </w:r>
    </w:p>
    <w:p w:rsidR="00A97841" w:rsidRDefault="00A97841" w:rsidP="00A97841">
      <w:r>
        <w:t xml:space="preserve">The cost of reimplantation for NRLF-SCS and RLF-SCS is assumed to be lower than the cost of permanent implantation in the Taylor et al. (2010) analysis </w:t>
      </w:r>
      <w:r>
        <w:fldChar w:fldCharType="begin"/>
      </w:r>
      <w:r>
        <w:instrText xml:space="preserve"> ADDIN EN.CITE &lt;EndNote&gt;&lt;Cite&gt;&lt;Author&gt;Taylor&lt;/Author&gt;&lt;Year&gt;2010&lt;/Year&gt;&lt;RecNum&gt;3&lt;/RecNum&gt;&lt;DisplayText&gt;[4]&lt;/DisplayText&gt;&lt;record&gt;&lt;rec-number&gt;3&lt;/rec-number&gt;&lt;foreign-keys&gt;&lt;key app="EN" db-id="20de9220n9295det0e5xdad7wr0r2xs0fs2v" timestamp="1554725884"&gt;3&lt;/key&gt;&lt;/foreign-keys&gt;&lt;ref-type name="Journal Article"&gt;17&lt;/ref-type&gt;&lt;contributors&gt;&lt;authors&gt;&lt;author&gt;Taylor, Rod S&lt;/author&gt;&lt;author&gt;Ryan, James&lt;/author&gt;&lt;author&gt;O&amp;apos;Donnell, Ruairi&lt;/author&gt;&lt;author&gt;Eldabe, Sam&lt;/author&gt;&lt;author&gt;Kumar, Krishna&lt;/author&gt;&lt;author&gt;North, Richard B&lt;/author&gt;&lt;/authors&gt;&lt;/contributors&gt;&lt;titles&gt;&lt;title&gt;The cost-effectiveness of spinal cord stimulation in the treatment of failed back surgery syndrome&lt;/title&gt;&lt;secondary-title&gt;The Clinical Journal of Pain&lt;/secondary-title&gt;&lt;/titles&gt;&lt;periodical&gt;&lt;full-title&gt;The Clinical journal of pain&lt;/full-title&gt;&lt;/periodical&gt;&lt;pages&gt;463-469&lt;/pages&gt;&lt;volume&gt;26&lt;/volume&gt;&lt;number&gt;6&lt;/number&gt;&lt;dates&gt;&lt;year&gt;2010&lt;/year&gt;&lt;/dates&gt;&lt;isbn&gt;0749-8047&lt;/isbn&gt;&lt;urls&gt;&lt;/urls&gt;&lt;/record&gt;&lt;/Cite&gt;&lt;/EndNote&gt;</w:instrText>
      </w:r>
      <w:r>
        <w:fldChar w:fldCharType="separate"/>
      </w:r>
      <w:r>
        <w:rPr>
          <w:noProof/>
        </w:rPr>
        <w:t>[</w:t>
      </w:r>
      <w:hyperlink w:anchor="_ENREF_4" w:tooltip="Taylor, 2010 #3" w:history="1">
        <w:r>
          <w:rPr>
            <w:noProof/>
          </w:rPr>
          <w:t>4</w:t>
        </w:r>
      </w:hyperlink>
      <w:r>
        <w:rPr>
          <w:noProof/>
        </w:rPr>
        <w:t>]</w:t>
      </w:r>
      <w:r>
        <w:fldChar w:fldCharType="end"/>
      </w:r>
      <w:r>
        <w:t xml:space="preserve">. </w:t>
      </w:r>
      <w:r>
        <w:fldChar w:fldCharType="begin"/>
      </w:r>
      <w:r>
        <w:instrText xml:space="preserve"> REF _Ref12524451 \h </w:instrText>
      </w:r>
      <w:r>
        <w:fldChar w:fldCharType="separate"/>
      </w:r>
      <w:r w:rsidRPr="00303206">
        <w:rPr>
          <w:b/>
          <w:bCs/>
        </w:rPr>
        <w:t xml:space="preserve">e-Table </w:t>
      </w:r>
      <w:r>
        <w:rPr>
          <w:b/>
          <w:bCs/>
          <w:noProof/>
        </w:rPr>
        <w:t>11</w:t>
      </w:r>
      <w:r>
        <w:fldChar w:fldCharType="end"/>
      </w:r>
      <w:r>
        <w:t xml:space="preserve"> presents the results utilising the alternative costs for reimplantation. In this analysis, the cost of reimplantation is assumed to be marginally cheaper than the cost of permanent implantation and the permanent implantation cost of RLF-SCS is conservatively assumed to be equal to 10kHz</w:t>
      </w:r>
      <w:r>
        <w:noBreakHyphen/>
        <w:t xml:space="preserve">SCS </w:t>
      </w:r>
      <w:r w:rsidRPr="00DE582B">
        <w:t>therapy</w:t>
      </w:r>
      <w:r>
        <w:t>.</w:t>
      </w:r>
    </w:p>
    <w:p w:rsidR="00A97841" w:rsidRDefault="00A97841" w:rsidP="00A97841"/>
    <w:p w:rsidR="00A97841" w:rsidRPr="00303206" w:rsidRDefault="00A97841" w:rsidP="00A97841">
      <w:pPr>
        <w:keepNext/>
        <w:keepLines/>
        <w:rPr>
          <w:b/>
          <w:bCs/>
        </w:rPr>
      </w:pPr>
      <w:bookmarkStart w:id="0" w:name="_Ref486162890"/>
      <w:bookmarkStart w:id="1" w:name="_Ref12524451"/>
      <w:bookmarkStart w:id="2" w:name="_Toc486245726"/>
      <w:r w:rsidRPr="00303206">
        <w:rPr>
          <w:b/>
          <w:bCs/>
        </w:rPr>
        <w:t>e-</w:t>
      </w:r>
      <w:bookmarkEnd w:id="0"/>
      <w:r w:rsidRPr="00303206">
        <w:rPr>
          <w:b/>
          <w:bCs/>
        </w:rPr>
        <w:t xml:space="preserve">Table </w:t>
      </w:r>
      <w:r w:rsidRPr="00303206">
        <w:rPr>
          <w:b/>
          <w:bCs/>
        </w:rPr>
        <w:fldChar w:fldCharType="begin"/>
      </w:r>
      <w:r w:rsidRPr="00303206">
        <w:rPr>
          <w:b/>
          <w:bCs/>
        </w:rPr>
        <w:instrText xml:space="preserve"> SEQ Table \* ARABIC </w:instrText>
      </w:r>
      <w:r w:rsidRPr="00303206">
        <w:rPr>
          <w:b/>
          <w:bCs/>
        </w:rPr>
        <w:fldChar w:fldCharType="separate"/>
      </w:r>
      <w:r>
        <w:rPr>
          <w:b/>
          <w:bCs/>
          <w:noProof/>
        </w:rPr>
        <w:t>11</w:t>
      </w:r>
      <w:r w:rsidRPr="00303206">
        <w:rPr>
          <w:b/>
          <w:bCs/>
        </w:rPr>
        <w:fldChar w:fldCharType="end"/>
      </w:r>
      <w:bookmarkEnd w:id="1"/>
      <w:r w:rsidRPr="00303206">
        <w:rPr>
          <w:b/>
          <w:bCs/>
        </w:rPr>
        <w:t xml:space="preserve"> - Alternative system cost results</w:t>
      </w:r>
      <w:bookmarkEnd w:id="2"/>
    </w:p>
    <w:tbl>
      <w:tblPr>
        <w:tblStyle w:val="TableGrid"/>
        <w:tblW w:w="5000" w:type="pct"/>
        <w:tblLook w:val="04A0" w:firstRow="1" w:lastRow="0" w:firstColumn="1" w:lastColumn="0" w:noHBand="0" w:noVBand="1"/>
      </w:tblPr>
      <w:tblGrid>
        <w:gridCol w:w="2736"/>
        <w:gridCol w:w="3308"/>
        <w:gridCol w:w="3306"/>
      </w:tblGrid>
      <w:tr w:rsidR="00A97841" w:rsidRPr="00E02515" w:rsidTr="0071744D">
        <w:trPr>
          <w:trHeight w:val="381"/>
        </w:trPr>
        <w:tc>
          <w:tcPr>
            <w:tcW w:w="1463" w:type="pct"/>
          </w:tcPr>
          <w:p w:rsidR="00A97841" w:rsidRPr="00941CDA" w:rsidRDefault="00A97841" w:rsidP="0071744D">
            <w:pPr>
              <w:keepNext/>
              <w:keepLines/>
            </w:pPr>
          </w:p>
        </w:tc>
        <w:tc>
          <w:tcPr>
            <w:tcW w:w="1769" w:type="pct"/>
          </w:tcPr>
          <w:p w:rsidR="00A97841" w:rsidRPr="00941CDA" w:rsidRDefault="00A97841" w:rsidP="0071744D">
            <w:pPr>
              <w:keepNext/>
              <w:keepLines/>
            </w:pPr>
            <w:r>
              <w:t>Total cost per patient</w:t>
            </w:r>
          </w:p>
        </w:tc>
        <w:tc>
          <w:tcPr>
            <w:tcW w:w="1768" w:type="pct"/>
          </w:tcPr>
          <w:p w:rsidR="00A97841" w:rsidRDefault="00A97841" w:rsidP="0071744D">
            <w:pPr>
              <w:keepNext/>
              <w:keepLines/>
            </w:pPr>
            <w:r>
              <w:t>Cost saving with 10kHz</w:t>
            </w:r>
            <w:r>
              <w:noBreakHyphen/>
              <w:t>SCS therapy</w:t>
            </w:r>
          </w:p>
        </w:tc>
      </w:tr>
      <w:tr w:rsidR="00A97841" w:rsidRPr="00E02515" w:rsidTr="0071744D">
        <w:trPr>
          <w:trHeight w:val="381"/>
        </w:trPr>
        <w:tc>
          <w:tcPr>
            <w:tcW w:w="1463" w:type="pct"/>
          </w:tcPr>
          <w:p w:rsidR="00A97841" w:rsidRPr="00393DF8" w:rsidRDefault="00A97841" w:rsidP="0071744D">
            <w:pPr>
              <w:keepNext/>
              <w:keepLines/>
            </w:pPr>
            <w:r>
              <w:rPr>
                <w:color w:val="000000"/>
              </w:rPr>
              <w:t>10kHz</w:t>
            </w:r>
            <w:r>
              <w:rPr>
                <w:color w:val="000000"/>
              </w:rPr>
              <w:noBreakHyphen/>
              <w:t>SCS</w:t>
            </w:r>
          </w:p>
        </w:tc>
        <w:tc>
          <w:tcPr>
            <w:tcW w:w="1769" w:type="pct"/>
          </w:tcPr>
          <w:p w:rsidR="00A97841" w:rsidRPr="00DE582B" w:rsidRDefault="00A97841" w:rsidP="0071744D">
            <w:pPr>
              <w:keepNext/>
              <w:keepLines/>
            </w:pPr>
            <w:r w:rsidRPr="00DE582B">
              <w:t>£86,354</w:t>
            </w:r>
          </w:p>
        </w:tc>
        <w:tc>
          <w:tcPr>
            <w:tcW w:w="1768" w:type="pct"/>
          </w:tcPr>
          <w:p w:rsidR="00A97841" w:rsidRPr="00DE582B" w:rsidRDefault="00A97841" w:rsidP="0071744D">
            <w:pPr>
              <w:keepNext/>
              <w:keepLines/>
            </w:pPr>
            <w:r w:rsidRPr="00DE582B">
              <w:t>-</w:t>
            </w:r>
          </w:p>
        </w:tc>
      </w:tr>
      <w:tr w:rsidR="00A97841" w:rsidRPr="00E02515" w:rsidTr="0071744D">
        <w:trPr>
          <w:trHeight w:val="381"/>
        </w:trPr>
        <w:tc>
          <w:tcPr>
            <w:tcW w:w="1463" w:type="pct"/>
          </w:tcPr>
          <w:p w:rsidR="00A97841" w:rsidRPr="00393DF8" w:rsidRDefault="00A97841" w:rsidP="0071744D">
            <w:pPr>
              <w:keepNext/>
              <w:keepLines/>
            </w:pPr>
            <w:r>
              <w:rPr>
                <w:color w:val="000000"/>
              </w:rPr>
              <w:t>NRLF-SCS</w:t>
            </w:r>
          </w:p>
        </w:tc>
        <w:tc>
          <w:tcPr>
            <w:tcW w:w="1769" w:type="pct"/>
          </w:tcPr>
          <w:p w:rsidR="00A97841" w:rsidRPr="00DE582B" w:rsidRDefault="00A97841" w:rsidP="0071744D">
            <w:pPr>
              <w:keepNext/>
              <w:keepLines/>
            </w:pPr>
            <w:r w:rsidRPr="00DE582B">
              <w:t>£94,152</w:t>
            </w:r>
          </w:p>
        </w:tc>
        <w:tc>
          <w:tcPr>
            <w:tcW w:w="1768" w:type="pct"/>
          </w:tcPr>
          <w:p w:rsidR="00A97841" w:rsidRPr="00DE582B" w:rsidRDefault="00A97841" w:rsidP="0071744D">
            <w:pPr>
              <w:keepNext/>
              <w:keepLines/>
            </w:pPr>
            <w:r w:rsidRPr="00DE582B">
              <w:t>£7,798</w:t>
            </w:r>
          </w:p>
        </w:tc>
      </w:tr>
      <w:tr w:rsidR="00A97841" w:rsidRPr="00E02515" w:rsidTr="0071744D">
        <w:trPr>
          <w:trHeight w:val="381"/>
        </w:trPr>
        <w:tc>
          <w:tcPr>
            <w:tcW w:w="1463" w:type="pct"/>
          </w:tcPr>
          <w:p w:rsidR="00A97841" w:rsidRPr="00393DF8" w:rsidRDefault="00A97841" w:rsidP="0071744D">
            <w:pPr>
              <w:keepNext/>
              <w:keepLines/>
            </w:pPr>
            <w:r>
              <w:rPr>
                <w:color w:val="000000"/>
              </w:rPr>
              <w:t>RLF-SCS</w:t>
            </w:r>
          </w:p>
        </w:tc>
        <w:tc>
          <w:tcPr>
            <w:tcW w:w="1769" w:type="pct"/>
          </w:tcPr>
          <w:p w:rsidR="00A97841" w:rsidRPr="00DE582B" w:rsidRDefault="00A97841" w:rsidP="0071744D">
            <w:pPr>
              <w:keepNext/>
              <w:keepLines/>
            </w:pPr>
            <w:r w:rsidRPr="00DE582B">
              <w:t>£90,363</w:t>
            </w:r>
          </w:p>
        </w:tc>
        <w:tc>
          <w:tcPr>
            <w:tcW w:w="1768" w:type="pct"/>
          </w:tcPr>
          <w:p w:rsidR="00A97841" w:rsidRPr="00DE582B" w:rsidRDefault="00A97841" w:rsidP="0071744D">
            <w:pPr>
              <w:keepNext/>
              <w:keepLines/>
            </w:pPr>
            <w:r w:rsidRPr="00DE582B">
              <w:t>£4,009</w:t>
            </w:r>
          </w:p>
        </w:tc>
      </w:tr>
    </w:tbl>
    <w:p w:rsidR="00A97841" w:rsidRDefault="00A97841" w:rsidP="00A97841">
      <w:pPr>
        <w:keepNext/>
        <w:keepLines/>
        <w:rPr>
          <w:szCs w:val="18"/>
        </w:rPr>
      </w:pPr>
      <w:r>
        <w:t>Abbreviations: 10kHz-SCS</w:t>
      </w:r>
      <w:r w:rsidRPr="00287A7F">
        <w:t>, 10kHz high frequency spinal cord stimulation; NRLF-SCS, non</w:t>
      </w:r>
      <w:r>
        <w:noBreakHyphen/>
      </w:r>
      <w:r w:rsidRPr="00287A7F">
        <w:t>rechargeable low</w:t>
      </w:r>
      <w:r>
        <w:noBreakHyphen/>
      </w:r>
      <w:r w:rsidRPr="00287A7F">
        <w:t>frequency spinal cord stimulation; RLF SCS, rechargeable low</w:t>
      </w:r>
      <w:r>
        <w:noBreakHyphen/>
      </w:r>
      <w:r w:rsidRPr="00287A7F">
        <w:t>frequency spinal cord stimulation</w:t>
      </w:r>
      <w:r>
        <w:rPr>
          <w:szCs w:val="18"/>
        </w:rPr>
        <w:t>.</w:t>
      </w:r>
    </w:p>
    <w:p w:rsidR="00A97841" w:rsidRDefault="00A97841" w:rsidP="00A97841"/>
    <w:p w:rsidR="00A97841" w:rsidRDefault="00A97841" w:rsidP="00A97841">
      <w:r>
        <w:t>This analysis results in slightly lower absolute costs due to the reduction in reimplantation costs; 10kHz</w:t>
      </w:r>
      <w:r>
        <w:noBreakHyphen/>
        <w:t xml:space="preserve">SCS </w:t>
      </w:r>
      <w:r w:rsidRPr="00DE582B">
        <w:t>therapy</w:t>
      </w:r>
      <w:r>
        <w:t xml:space="preserve"> </w:t>
      </w:r>
      <w:proofErr w:type="gramStart"/>
      <w:r>
        <w:t>still remains</w:t>
      </w:r>
      <w:proofErr w:type="gramEnd"/>
      <w:r>
        <w:t xml:space="preserve"> cost</w:t>
      </w:r>
      <w:r>
        <w:noBreakHyphen/>
        <w:t>saving, even with the conservative assumption of the permanent implantation cost of RLF-SCS being equal to 10kHz</w:t>
      </w:r>
      <w:r>
        <w:noBreakHyphen/>
        <w:t xml:space="preserve">SCS </w:t>
      </w:r>
      <w:r w:rsidRPr="00DE582B">
        <w:t>therapy</w:t>
      </w:r>
      <w:r>
        <w:t>.</w:t>
      </w:r>
    </w:p>
    <w:p w:rsidR="00FB6720" w:rsidRDefault="00FB6720">
      <w:bookmarkStart w:id="3" w:name="_GoBack"/>
      <w:bookmarkEnd w:id="3"/>
    </w:p>
    <w:sectPr w:rsidR="00FB67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841"/>
    <w:rsid w:val="00A97841"/>
    <w:rsid w:val="00FB6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5F9EC4-7BEF-41BC-A785-EEE0B0F7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7841"/>
    <w:pPr>
      <w:spacing w:after="0" w:line="480" w:lineRule="auto"/>
    </w:pPr>
    <w:rPr>
      <w:rFonts w:ascii="Times New Roman" w:hAnsi="Times New Roman"/>
      <w:sz w:val="24"/>
      <w:lang w:val="en-GB"/>
    </w:rPr>
  </w:style>
  <w:style w:type="paragraph" w:styleId="Heading3">
    <w:name w:val="heading 3"/>
    <w:basedOn w:val="Normal"/>
    <w:next w:val="Normal"/>
    <w:link w:val="Heading3Char"/>
    <w:uiPriority w:val="9"/>
    <w:unhideWhenUsed/>
    <w:qFormat/>
    <w:rsid w:val="00A97841"/>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97841"/>
    <w:rPr>
      <w:rFonts w:asciiTheme="majorHAnsi" w:eastAsiaTheme="majorEastAsia" w:hAnsiTheme="majorHAnsi" w:cstheme="majorBidi"/>
      <w:color w:val="1F3763" w:themeColor="accent1" w:themeShade="7F"/>
      <w:sz w:val="24"/>
      <w:szCs w:val="24"/>
      <w:lang w:val="en-GB"/>
    </w:rPr>
  </w:style>
  <w:style w:type="table" w:styleId="TableGrid">
    <w:name w:val="Table Grid"/>
    <w:basedOn w:val="TableNormal"/>
    <w:uiPriority w:val="39"/>
    <w:rsid w:val="00A97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Anand Rotte</dc:creator>
  <cp:keywords/>
  <dc:description/>
  <cp:lastModifiedBy>Anand Rotte</cp:lastModifiedBy>
  <cp:revision>1</cp:revision>
  <dcterms:created xsi:type="dcterms:W3CDTF">2020-01-27T21:58:00Z</dcterms:created>
  <dcterms:modified xsi:type="dcterms:W3CDTF">2020-01-27T21:58:00Z</dcterms:modified>
</cp:coreProperties>
</file>