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2" w:rsidRDefault="00B873A2" w:rsidP="00B873A2">
      <w:pPr>
        <w:rPr>
          <w:szCs w:val="18"/>
        </w:rPr>
      </w:pPr>
    </w:p>
    <w:p w:rsidR="00B873A2" w:rsidRPr="009316DF" w:rsidRDefault="00B873A2" w:rsidP="00B873A2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9316DF">
        <w:rPr>
          <w:rFonts w:ascii="Times New Roman" w:hAnsi="Times New Roman" w:cs="Times New Roman"/>
          <w:b/>
          <w:bCs/>
          <w:color w:val="auto"/>
        </w:rPr>
        <w:t>Time horizon</w:t>
      </w:r>
    </w:p>
    <w:p w:rsidR="00B873A2" w:rsidRPr="008A2658" w:rsidRDefault="00B873A2" w:rsidP="00B873A2">
      <w:r>
        <w:t xml:space="preserve">For consistency </w:t>
      </w:r>
      <w:r w:rsidRPr="00BC7E21">
        <w:t>wit</w:t>
      </w:r>
      <w:r>
        <w:t xml:space="preserve">h the model and assumptions accepted by NICE for TAG159 </w:t>
      </w:r>
      <w:r>
        <w:fldChar w:fldCharType="begin"/>
      </w:r>
      <w:r>
        <w:instrText xml:space="preserve"> ADDIN EN.CITE &lt;EndNote&gt;&lt;Cite&gt;&lt;Author&gt;National Institute for Health and Care Excellence&lt;/Author&gt;&lt;Year&gt;2008&lt;/Year&gt;&lt;RecNum&gt;5&lt;/RecNum&gt;&lt;DisplayText&gt;[1]&lt;/DisplayText&gt;&lt;record&gt;&lt;rec-number&gt;5&lt;/rec-number&gt;&lt;foreign-keys&gt;&lt;key app="EN" db-id="20de9220n9295det0e5xdad7wr0r2xs0fs2v" timestamp="1554802470"&gt;5&lt;/key&gt;&lt;/foreign-keys&gt;&lt;ref-type name="Journal Article"&gt;17&lt;/ref-type&gt;&lt;contributors&gt;&lt;authors&gt;&lt;author&gt;National Institute for Health and Care Excellence,&lt;/author&gt;&lt;/authors&gt;&lt;/contributors&gt;&lt;titles&gt;&lt;title&gt;Spinal cord stimulation for chronic pain of neuropathic or ischaemic origin. Technology appraisal guidance (TA159). Available at: https://www.nice.org.uk/guidance/ta159 (Accessed August 2019)&lt;/title&gt;&lt;/titles&gt;&lt;dates&gt;&lt;year&gt;2008&lt;/year&gt;&lt;/dates&gt;&lt;urls&gt;&lt;/urls&gt;&lt;/record&gt;&lt;/Cite&gt;&lt;/EndNote&gt;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National Institute for Health and Care Excellence, 2008 #5" w:history="1">
        <w:r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 xml:space="preserve">, </w:t>
      </w:r>
      <w:r w:rsidRPr="00BC7E21">
        <w:t>the base</w:t>
      </w:r>
      <w:r>
        <w:noBreakHyphen/>
      </w:r>
      <w:r w:rsidRPr="00BC7E21">
        <w:t>case analysis</w:t>
      </w:r>
      <w:r>
        <w:t xml:space="preserve"> utilises a 15-year time horizon. It is felt this is appropriate in the base</w:t>
      </w:r>
      <w:r>
        <w:noBreakHyphen/>
        <w:t xml:space="preserve">case given the chronic nature of the condition and the longevity of the devices, particularly those utilising a rechargeable battery. The Markov model structure allows us to present the incremental cost at various time-points as shown in </w:t>
      </w:r>
      <w:r>
        <w:fldChar w:fldCharType="begin"/>
      </w:r>
      <w:r>
        <w:instrText xml:space="preserve"> REF _Ref16253232 \h </w:instrText>
      </w:r>
      <w:r>
        <w:fldChar w:fldCharType="separate"/>
      </w:r>
      <w:r w:rsidRPr="00303206">
        <w:rPr>
          <w:b/>
          <w:bCs/>
        </w:rPr>
        <w:t xml:space="preserve">e-Figure </w:t>
      </w:r>
      <w:r>
        <w:rPr>
          <w:b/>
          <w:bCs/>
          <w:noProof/>
        </w:rPr>
        <w:t>1</w:t>
      </w:r>
      <w:r>
        <w:fldChar w:fldCharType="end"/>
      </w:r>
      <w:r>
        <w:t>. In the base</w:t>
      </w:r>
      <w:r>
        <w:noBreakHyphen/>
        <w:t>case analysis, the 10kHz</w:t>
      </w:r>
      <w:r>
        <w:noBreakHyphen/>
        <w:t>SCS therapy implantation cost is marginally less than RLF-SCS and therefore 10kHz-SCS therapy is cost</w:t>
      </w:r>
      <w:r>
        <w:noBreakHyphen/>
        <w:t xml:space="preserve">saving from the start of the analysis, additional cost-savings are realised over </w:t>
      </w:r>
      <w:r w:rsidRPr="008A2658">
        <w:t>time due to the superior explant rates associated with 10kHz</w:t>
      </w:r>
      <w:r w:rsidRPr="008A2658">
        <w:noBreakHyphen/>
        <w:t>SCS therapy.</w:t>
      </w:r>
    </w:p>
    <w:p w:rsidR="00B873A2" w:rsidRDefault="00B873A2" w:rsidP="00B873A2"/>
    <w:p w:rsidR="00B873A2" w:rsidRDefault="00B873A2" w:rsidP="00B873A2">
      <w:r>
        <w:t>The NRLF-SCS implantation cost is less than 10kHz</w:t>
      </w:r>
      <w:r>
        <w:noBreakHyphen/>
        <w:t>SCS therapy; therefore NRLF</w:t>
      </w:r>
      <w:r>
        <w:noBreakHyphen/>
        <w:t>SCS remains less costly until the first NRLF</w:t>
      </w:r>
      <w:r>
        <w:noBreakHyphen/>
        <w:t>SCS device replacement. However, after this point 10kHz</w:t>
      </w:r>
      <w:r>
        <w:noBreakHyphen/>
        <w:t>SCS therapy is cost</w:t>
      </w:r>
      <w:r>
        <w:noBreakHyphen/>
        <w:t>saving.</w:t>
      </w:r>
    </w:p>
    <w:p w:rsidR="00B873A2" w:rsidRDefault="00B873A2" w:rsidP="00B873A2">
      <w:pPr>
        <w:keepNext/>
        <w:keepLines/>
        <w:rPr>
          <w:b/>
          <w:bCs/>
        </w:rPr>
      </w:pPr>
      <w:bookmarkStart w:id="0" w:name="_Ref484637020"/>
      <w:bookmarkStart w:id="1" w:name="_Ref16253232"/>
      <w:bookmarkStart w:id="2" w:name="_Ref484637016"/>
      <w:bookmarkStart w:id="3" w:name="_Toc486245762"/>
      <w:r w:rsidRPr="00303206">
        <w:rPr>
          <w:b/>
          <w:bCs/>
        </w:rPr>
        <w:lastRenderedPageBreak/>
        <w:t>e-</w:t>
      </w:r>
      <w:bookmarkEnd w:id="0"/>
      <w:r w:rsidRPr="00303206">
        <w:rPr>
          <w:b/>
          <w:bCs/>
        </w:rPr>
        <w:t xml:space="preserve">Figure </w:t>
      </w:r>
      <w:r w:rsidRPr="00303206">
        <w:rPr>
          <w:b/>
          <w:bCs/>
        </w:rPr>
        <w:fldChar w:fldCharType="begin"/>
      </w:r>
      <w:r w:rsidRPr="00303206">
        <w:rPr>
          <w:b/>
          <w:bCs/>
        </w:rPr>
        <w:instrText xml:space="preserve"> SEQ Figure \* ARABIC </w:instrText>
      </w:r>
      <w:r w:rsidRPr="00303206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303206">
        <w:rPr>
          <w:b/>
          <w:bCs/>
        </w:rPr>
        <w:fldChar w:fldCharType="end"/>
      </w:r>
      <w:bookmarkEnd w:id="1"/>
      <w:r w:rsidRPr="00303206">
        <w:rPr>
          <w:b/>
          <w:bCs/>
        </w:rPr>
        <w:t xml:space="preserve"> - Incremental cost difference over time</w:t>
      </w:r>
      <w:bookmarkEnd w:id="2"/>
      <w:bookmarkEnd w:id="3"/>
    </w:p>
    <w:p w:rsidR="00B873A2" w:rsidRPr="00303206" w:rsidRDefault="00B873A2" w:rsidP="00B873A2">
      <w:pPr>
        <w:keepNext/>
        <w:keepLines/>
        <w:rPr>
          <w:b/>
          <w:bCs/>
        </w:rPr>
      </w:pPr>
      <w:r>
        <w:rPr>
          <w:noProof/>
        </w:rPr>
        <w:drawing>
          <wp:inline distT="0" distB="0" distL="0" distR="0" wp14:anchorId="67B9A54E" wp14:editId="58079A58">
            <wp:extent cx="5943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A2" w:rsidRDefault="00B873A2" w:rsidP="00B873A2">
      <w:pPr>
        <w:keepNext/>
        <w:keepLines/>
        <w:rPr>
          <w:szCs w:val="18"/>
        </w:rPr>
      </w:pPr>
      <w:r>
        <w:t xml:space="preserve">Abbreviations: </w:t>
      </w:r>
      <w:r w:rsidRPr="00287A7F">
        <w:t>NRLF-SCS, non</w:t>
      </w:r>
      <w:r>
        <w:noBreakHyphen/>
      </w:r>
      <w:r w:rsidRPr="00287A7F">
        <w:t>rechargeable low</w:t>
      </w:r>
      <w:r>
        <w:noBreakHyphen/>
      </w:r>
      <w:r w:rsidRPr="00287A7F">
        <w:t>frequency spinal cord stimulation; RLF SCS, rechargeable low</w:t>
      </w:r>
      <w:r>
        <w:noBreakHyphen/>
      </w:r>
      <w:r w:rsidRPr="00287A7F">
        <w:t>frequency spinal cord stimulation</w:t>
      </w:r>
      <w:r>
        <w:rPr>
          <w:szCs w:val="18"/>
        </w:rPr>
        <w:t>.</w:t>
      </w:r>
    </w:p>
    <w:p w:rsidR="00FB6720" w:rsidRDefault="00FB6720">
      <w:bookmarkStart w:id="4" w:name="_GoBack"/>
      <w:bookmarkEnd w:id="4"/>
    </w:p>
    <w:sectPr w:rsidR="00FB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A2"/>
    <w:rsid w:val="00B873A2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33572-5D19-4466-A9F2-A8E321DC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3A2"/>
    <w:pPr>
      <w:spacing w:after="0" w:line="480" w:lineRule="auto"/>
    </w:pPr>
    <w:rPr>
      <w:rFonts w:ascii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3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3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Rotte</dc:creator>
  <cp:keywords/>
  <dc:description/>
  <cp:lastModifiedBy>Anand Rotte</cp:lastModifiedBy>
  <cp:revision>1</cp:revision>
  <dcterms:created xsi:type="dcterms:W3CDTF">2020-01-27T21:57:00Z</dcterms:created>
  <dcterms:modified xsi:type="dcterms:W3CDTF">2020-01-27T21:58:00Z</dcterms:modified>
</cp:coreProperties>
</file>