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6B" w:rsidRPr="00E50F42" w:rsidRDefault="0048736B" w:rsidP="0048736B">
      <w:pPr>
        <w:rPr>
          <w:b/>
          <w:bCs/>
          <w:sz w:val="28"/>
          <w:szCs w:val="28"/>
        </w:rPr>
      </w:pPr>
      <w:r w:rsidRPr="00E50F42">
        <w:rPr>
          <w:b/>
          <w:bCs/>
          <w:sz w:val="28"/>
          <w:szCs w:val="28"/>
        </w:rPr>
        <w:t>Appendix</w:t>
      </w:r>
    </w:p>
    <w:p w:rsidR="0048736B" w:rsidRDefault="0048736B" w:rsidP="0048736B"/>
    <w:p w:rsidR="0048736B" w:rsidRPr="00754F8E" w:rsidRDefault="0048736B" w:rsidP="0048736B">
      <w:pPr>
        <w:rPr>
          <w:b/>
          <w:bCs/>
        </w:rPr>
      </w:pPr>
      <w:r>
        <w:rPr>
          <w:b/>
          <w:bCs/>
        </w:rPr>
        <w:t>I</w:t>
      </w:r>
      <w:r w:rsidRPr="00754F8E">
        <w:rPr>
          <w:b/>
          <w:bCs/>
        </w:rPr>
        <w:t xml:space="preserve"> – Telemedicine Neurological Exam Participant Instructions</w:t>
      </w:r>
    </w:p>
    <w:p w:rsidR="0048736B" w:rsidRDefault="0048736B" w:rsidP="0048736B"/>
    <w:p w:rsidR="0048736B" w:rsidRDefault="0048736B" w:rsidP="0048736B">
      <w:r w:rsidRPr="00D1724B">
        <w:t xml:space="preserve">Upon receiving informed consent, each participant will be asked to perform two sets of neurological exams: (1) Standard </w:t>
      </w:r>
      <w:r>
        <w:t>Neurological Exam</w:t>
      </w:r>
      <w:r w:rsidRPr="00D1724B">
        <w:t xml:space="preserve"> - a complete set of upper and lower limb motor and sensory exams, and special tests; (2) </w:t>
      </w:r>
      <w:r>
        <w:t>Telemedicine Neurological Exam</w:t>
      </w:r>
      <w:r w:rsidRPr="00D1724B">
        <w:t xml:space="preserve"> - a complete set of upper and lower motor and sensory exams, and special tests, done through self-assessed neurological exam. Both motor and sensory portions of the study will be performed on each side of the body.</w:t>
      </w:r>
      <w:r>
        <w:t xml:space="preserve"> Participants will receive a </w:t>
      </w:r>
      <w:r w:rsidR="00120EAD">
        <w:t>10-minute</w:t>
      </w:r>
      <w:r>
        <w:t xml:space="preserve"> break in between each arm of the exam.</w:t>
      </w:r>
      <w:r w:rsidRPr="00D1724B">
        <w:t xml:space="preserve"> Upon completing the two sets of neurological exams, each participant will be administered a survey to review his or her experience.</w:t>
      </w:r>
    </w:p>
    <w:p w:rsidR="0048736B" w:rsidRDefault="0048736B" w:rsidP="0048736B"/>
    <w:p w:rsidR="0048736B" w:rsidRPr="00754F8E" w:rsidRDefault="0048736B" w:rsidP="0048736B">
      <w:pPr>
        <w:rPr>
          <w:b/>
          <w:bCs/>
          <w:i/>
          <w:iCs/>
        </w:rPr>
      </w:pPr>
      <w:r>
        <w:rPr>
          <w:b/>
          <w:bCs/>
          <w:i/>
          <w:iCs/>
        </w:rPr>
        <w:t xml:space="preserve">IA - </w:t>
      </w:r>
      <w:r w:rsidRPr="00754F8E">
        <w:rPr>
          <w:b/>
          <w:bCs/>
          <w:i/>
          <w:iCs/>
        </w:rPr>
        <w:t xml:space="preserve">Standard Neurological Exam: </w:t>
      </w:r>
    </w:p>
    <w:p w:rsidR="0048736B" w:rsidRDefault="0048736B" w:rsidP="0048736B"/>
    <w:p w:rsidR="0048736B" w:rsidRDefault="0048736B" w:rsidP="0048736B">
      <w:r w:rsidRPr="00D1724B">
        <w:t xml:space="preserve">Each of the following portions of the exam will be conducted with a trained observer in the room instructing the participant through each </w:t>
      </w:r>
      <w:r>
        <w:t>component: motor, sensory, and special tests.</w:t>
      </w:r>
    </w:p>
    <w:p w:rsidR="0048736B" w:rsidRDefault="0048736B" w:rsidP="0048736B"/>
    <w:p w:rsidR="0048736B" w:rsidRDefault="0048736B" w:rsidP="0048736B">
      <w:pPr>
        <w:rPr>
          <w:b/>
          <w:bCs/>
          <w:i/>
          <w:iCs/>
        </w:rPr>
      </w:pPr>
      <w:r w:rsidRPr="0087525D">
        <w:rPr>
          <w:b/>
          <w:bCs/>
          <w:i/>
          <w:iCs/>
        </w:rPr>
        <w:t>Motor</w:t>
      </w:r>
    </w:p>
    <w:p w:rsidR="0048736B" w:rsidRPr="00905425" w:rsidRDefault="0048736B" w:rsidP="0048736B"/>
    <w:p w:rsidR="0048736B" w:rsidRDefault="0048736B" w:rsidP="0048736B">
      <w:r w:rsidRPr="00905425">
        <w:t xml:space="preserve">Patients will be asked to participate in traditional neurological testing by resisting force administered from a trained observer </w:t>
      </w:r>
      <w:r>
        <w:t>to test a variety muscle groups (myotomes)</w:t>
      </w:r>
      <w:r w:rsidRPr="00905425">
        <w:t>:</w:t>
      </w:r>
    </w:p>
    <w:p w:rsidR="0048736B" w:rsidRDefault="0048736B" w:rsidP="0048736B"/>
    <w:p w:rsidR="0048736B" w:rsidRPr="00905425" w:rsidRDefault="0048736B" w:rsidP="0048736B">
      <w:r w:rsidRPr="00905425">
        <w:t xml:space="preserve">Upper Limbs (Patient Standing) </w:t>
      </w:r>
    </w:p>
    <w:p w:rsidR="0048736B" w:rsidRDefault="0048736B" w:rsidP="0048736B"/>
    <w:p w:rsidR="0048736B" w:rsidRPr="00905425" w:rsidRDefault="0048736B" w:rsidP="0048736B">
      <w:r>
        <w:t xml:space="preserve">C5 (Shoulder Abduction – Deltoids) - </w:t>
      </w:r>
      <w:r w:rsidRPr="00905425">
        <w:t>Hold arms out to the side and push up against observer's resistance</w:t>
      </w:r>
      <w:r>
        <w:t>.</w:t>
      </w:r>
    </w:p>
    <w:p w:rsidR="0048736B" w:rsidRDefault="0048736B" w:rsidP="0048736B"/>
    <w:p w:rsidR="0048736B" w:rsidRDefault="0048736B" w:rsidP="0048736B">
      <w:r>
        <w:t xml:space="preserve">C6 (Elbow Flexion – Biceps Brachii) - </w:t>
      </w:r>
      <w:r w:rsidRPr="00905425">
        <w:t xml:space="preserve">Hold arms up, then </w:t>
      </w:r>
      <w:r>
        <w:t>pull</w:t>
      </w:r>
      <w:r w:rsidRPr="00905425">
        <w:t xml:space="preserve"> out against observer's resistance</w:t>
      </w:r>
      <w:r>
        <w:t>.</w:t>
      </w:r>
      <w:r w:rsidRPr="00905425">
        <w:t xml:space="preserve"> </w:t>
      </w:r>
    </w:p>
    <w:p w:rsidR="0048736B" w:rsidRDefault="0048736B" w:rsidP="0048736B"/>
    <w:p w:rsidR="0048736B" w:rsidRDefault="0048736B" w:rsidP="0048736B">
      <w:r>
        <w:t>C7 (Elbow Extensors –Triceps Brachii) – Hold arms up, then push out against observer’s resistance.</w:t>
      </w:r>
    </w:p>
    <w:p w:rsidR="0048736B" w:rsidRDefault="0048736B" w:rsidP="0048736B"/>
    <w:p w:rsidR="0048736B" w:rsidRDefault="0048736B" w:rsidP="0048736B">
      <w:r>
        <w:t xml:space="preserve">C8 (Finger Flexors – Flexor Digitorum Superficialis (FDS) and Flexor Digitorum Profundus (FDP)) - </w:t>
      </w:r>
      <w:r w:rsidRPr="00905425">
        <w:t>Grip observer's pointer and middle fingers with hands and squeeze</w:t>
      </w:r>
      <w:r>
        <w:t>.</w:t>
      </w:r>
      <w:r w:rsidRPr="00905425">
        <w:t xml:space="preserve"> </w:t>
      </w:r>
    </w:p>
    <w:p w:rsidR="0048736B" w:rsidRDefault="0048736B" w:rsidP="0048736B"/>
    <w:p w:rsidR="0048736B" w:rsidRDefault="0048736B" w:rsidP="0048736B">
      <w:r>
        <w:t xml:space="preserve">T1 (Finger Abductors – Hand Intrinsic Muscles/Interossei Muscles) - </w:t>
      </w:r>
      <w:r w:rsidRPr="007506A2">
        <w:t>Hold hands out with palms facing down, then push out little finger and pointer finger against observer's resistance</w:t>
      </w:r>
      <w:r>
        <w:t>.</w:t>
      </w:r>
    </w:p>
    <w:p w:rsidR="0048736B" w:rsidRDefault="0048736B" w:rsidP="0048736B"/>
    <w:p w:rsidR="0048736B" w:rsidRDefault="0048736B" w:rsidP="0048736B">
      <w:r w:rsidRPr="008E610D">
        <w:t xml:space="preserve">Lower Limbs (Patient Sitting) </w:t>
      </w:r>
    </w:p>
    <w:p w:rsidR="0048736B" w:rsidRDefault="0048736B" w:rsidP="0048736B"/>
    <w:p w:rsidR="0048736B" w:rsidRDefault="0048736B" w:rsidP="0048736B">
      <w:r>
        <w:t xml:space="preserve">L2 (Hip Flexors – Iliopsoas) - </w:t>
      </w:r>
      <w:r w:rsidRPr="008E610D">
        <w:t>Lift up legs from the hips against observer's resistance</w:t>
      </w:r>
      <w:r>
        <w:t>.</w:t>
      </w:r>
      <w:r w:rsidRPr="008E610D">
        <w:t xml:space="preserve"> </w:t>
      </w:r>
    </w:p>
    <w:p w:rsidR="0048736B" w:rsidRDefault="0048736B" w:rsidP="0048736B"/>
    <w:p w:rsidR="0048736B" w:rsidRDefault="0048736B" w:rsidP="0048736B">
      <w:r>
        <w:t xml:space="preserve">L3 (Knee Extensors – Quadriceps) - </w:t>
      </w:r>
      <w:r w:rsidRPr="008E610D">
        <w:t>Extend leg from the knee forward against observer's resistance</w:t>
      </w:r>
      <w:r>
        <w:t>.</w:t>
      </w:r>
    </w:p>
    <w:p w:rsidR="0048736B" w:rsidRDefault="0048736B" w:rsidP="0048736B"/>
    <w:p w:rsidR="0048736B" w:rsidRDefault="0048736B" w:rsidP="0048736B">
      <w:r>
        <w:lastRenderedPageBreak/>
        <w:t xml:space="preserve">L4 (Ankle Dorsiflexors – Tibialis Anterior) – </w:t>
      </w:r>
      <w:r w:rsidRPr="008E610D">
        <w:t>Pull feet back against observer's resistance</w:t>
      </w:r>
      <w:r>
        <w:t>.</w:t>
      </w:r>
    </w:p>
    <w:p w:rsidR="0048736B" w:rsidRDefault="0048736B" w:rsidP="0048736B">
      <w:r>
        <w:t>L5 (Long Toe Extensors – Extensor Hallucis Longus (EHL)) – Push big toe up against’ observer’s resistance.</w:t>
      </w:r>
    </w:p>
    <w:p w:rsidR="0048736B" w:rsidRDefault="0048736B" w:rsidP="0048736B"/>
    <w:p w:rsidR="0048736B" w:rsidRDefault="0048736B" w:rsidP="0048736B">
      <w:r>
        <w:t xml:space="preserve">S1 (Ankle Plantar Flexors – Gastrocnemius and Soleus) - </w:t>
      </w:r>
      <w:r w:rsidRPr="008E610D">
        <w:t xml:space="preserve">Push down feet against observer's hands </w:t>
      </w:r>
      <w:r>
        <w:t>(i.e. “stepping</w:t>
      </w:r>
      <w:r w:rsidRPr="008E610D">
        <w:t xml:space="preserve"> on a gas pedal</w:t>
      </w:r>
      <w:r>
        <w:t>”).</w:t>
      </w:r>
    </w:p>
    <w:p w:rsidR="0048736B" w:rsidRDefault="0048736B" w:rsidP="0048736B"/>
    <w:p w:rsidR="0048736B" w:rsidRDefault="0048736B" w:rsidP="0048736B">
      <w:pPr>
        <w:rPr>
          <w:b/>
          <w:bCs/>
          <w:i/>
          <w:iCs/>
        </w:rPr>
      </w:pPr>
      <w:r>
        <w:rPr>
          <w:b/>
          <w:bCs/>
          <w:i/>
          <w:iCs/>
        </w:rPr>
        <w:t>Sensory</w:t>
      </w:r>
    </w:p>
    <w:p w:rsidR="0048736B" w:rsidRDefault="0048736B" w:rsidP="0048736B">
      <w:pPr>
        <w:rPr>
          <w:b/>
          <w:bCs/>
          <w:i/>
          <w:iCs/>
        </w:rPr>
      </w:pPr>
    </w:p>
    <w:p w:rsidR="0048736B" w:rsidRDefault="0048736B" w:rsidP="0048736B">
      <w:r>
        <w:t>Observer will administer traditional fine-touch sensory exam in the following sensory distribution areas (dermatomes):</w:t>
      </w:r>
    </w:p>
    <w:p w:rsidR="0048736B" w:rsidRDefault="0048736B" w:rsidP="0048736B"/>
    <w:p w:rsidR="0048736B" w:rsidRPr="00A32C47" w:rsidRDefault="0048736B" w:rsidP="0048736B">
      <w:r w:rsidRPr="00A32C47">
        <w:t xml:space="preserve">Upper Limbs (Patient Sitting) </w:t>
      </w:r>
    </w:p>
    <w:p w:rsidR="0048736B" w:rsidRDefault="0048736B" w:rsidP="0048736B"/>
    <w:p w:rsidR="0048736B" w:rsidRPr="00A32C47" w:rsidRDefault="0048736B" w:rsidP="0048736B">
      <w:r>
        <w:t xml:space="preserve">C5 (Lateral Shoulder) – </w:t>
      </w:r>
      <w:r w:rsidRPr="00A32C47">
        <w:t>Outside</w:t>
      </w:r>
      <w:r>
        <w:t xml:space="preserve"> of arm just below the shoulder.</w:t>
      </w:r>
      <w:r w:rsidRPr="00A32C47">
        <w:t xml:space="preserve"> </w:t>
      </w:r>
    </w:p>
    <w:p w:rsidR="0048736B" w:rsidRDefault="0048736B" w:rsidP="0048736B"/>
    <w:p w:rsidR="0048736B" w:rsidRPr="00A32C47" w:rsidRDefault="0048736B" w:rsidP="0048736B">
      <w:r>
        <w:t xml:space="preserve">C6 (Dorsal Surface of Thumb) – </w:t>
      </w:r>
      <w:r w:rsidRPr="00A32C47">
        <w:t>Backside</w:t>
      </w:r>
      <w:r>
        <w:t xml:space="preserve"> of</w:t>
      </w:r>
      <w:r w:rsidRPr="00A32C47">
        <w:t xml:space="preserve"> hand at the tip of the thumb</w:t>
      </w:r>
      <w:r>
        <w:t>.</w:t>
      </w:r>
      <w:r w:rsidRPr="00A32C47">
        <w:t xml:space="preserve"> </w:t>
      </w:r>
    </w:p>
    <w:p w:rsidR="0048736B" w:rsidRDefault="0048736B" w:rsidP="0048736B"/>
    <w:p w:rsidR="0048736B" w:rsidRPr="00A32C47" w:rsidRDefault="0048736B" w:rsidP="0048736B">
      <w:r>
        <w:t xml:space="preserve">C7 (Dorsal Surface of Middle Finger) - </w:t>
      </w:r>
      <w:r w:rsidRPr="00A32C47">
        <w:t>Backside of hand at the tip of the middle finger</w:t>
      </w:r>
      <w:r>
        <w:t>.</w:t>
      </w:r>
    </w:p>
    <w:p w:rsidR="0048736B" w:rsidRDefault="0048736B" w:rsidP="0048736B"/>
    <w:p w:rsidR="0048736B" w:rsidRDefault="0048736B" w:rsidP="0048736B">
      <w:r>
        <w:t xml:space="preserve">C8 (Dorsal Surface of Little Finger) - </w:t>
      </w:r>
      <w:r w:rsidRPr="00A32C47">
        <w:t xml:space="preserve">Backside of hand </w:t>
      </w:r>
      <w:r>
        <w:t>at the base of the little finger.</w:t>
      </w:r>
    </w:p>
    <w:p w:rsidR="0048736B" w:rsidRDefault="0048736B" w:rsidP="0048736B"/>
    <w:p w:rsidR="0048736B" w:rsidRDefault="0048736B" w:rsidP="0048736B">
      <w:r>
        <w:t>T1 (Medial Antecubital Fossa) – Inside of arm just below the elbow.</w:t>
      </w:r>
    </w:p>
    <w:p w:rsidR="0048736B" w:rsidRDefault="0048736B" w:rsidP="0048736B"/>
    <w:p w:rsidR="0048736B" w:rsidRPr="009424CC" w:rsidRDefault="0048736B" w:rsidP="0048736B">
      <w:r w:rsidRPr="009424CC">
        <w:t xml:space="preserve">Lower Limbs (Patient Sitting) </w:t>
      </w:r>
    </w:p>
    <w:p w:rsidR="0048736B" w:rsidRDefault="0048736B" w:rsidP="0048736B"/>
    <w:p w:rsidR="0048736B" w:rsidRDefault="0048736B" w:rsidP="0048736B">
      <w:r>
        <w:t>L2 (Anterior Thigh) – Frontside, top of leg in the middle of the thigh.</w:t>
      </w:r>
    </w:p>
    <w:p w:rsidR="0048736B" w:rsidRDefault="0048736B" w:rsidP="0048736B"/>
    <w:p w:rsidR="0048736B" w:rsidRPr="009424CC" w:rsidRDefault="0048736B" w:rsidP="0048736B">
      <w:r>
        <w:t xml:space="preserve">L3 (Medial Femoral Condyle – Proximal Knee) - </w:t>
      </w:r>
      <w:r w:rsidRPr="009424CC">
        <w:t>Inner part of leg at the knee</w:t>
      </w:r>
      <w:r>
        <w:t>.</w:t>
      </w:r>
    </w:p>
    <w:p w:rsidR="0048736B" w:rsidRDefault="0048736B" w:rsidP="0048736B"/>
    <w:p w:rsidR="0048736B" w:rsidRPr="009424CC" w:rsidRDefault="0048736B" w:rsidP="0048736B">
      <w:r>
        <w:t xml:space="preserve">L4 (Medial Malleolus) - </w:t>
      </w:r>
      <w:r w:rsidRPr="009424CC">
        <w:t xml:space="preserve">Inner part of leg </w:t>
      </w:r>
      <w:r>
        <w:t>at</w:t>
      </w:r>
      <w:r w:rsidRPr="009424CC">
        <w:t xml:space="preserve"> the ankle</w:t>
      </w:r>
      <w:r>
        <w:t>.</w:t>
      </w:r>
    </w:p>
    <w:p w:rsidR="0048736B" w:rsidRDefault="0048736B" w:rsidP="0048736B"/>
    <w:p w:rsidR="0048736B" w:rsidRPr="009424CC" w:rsidRDefault="0048736B" w:rsidP="0048736B">
      <w:r>
        <w:t>L5 (Dorsum of Foot – 2</w:t>
      </w:r>
      <w:r w:rsidRPr="00902151">
        <w:rPr>
          <w:vertAlign w:val="superscript"/>
        </w:rPr>
        <w:t>nd</w:t>
      </w:r>
      <w:r>
        <w:t xml:space="preserve"> Metatarsophalangeal Joint (MTP)) - </w:t>
      </w:r>
      <w:r w:rsidRPr="009424CC">
        <w:t>Inner part of foot between webspace of big toe and the second toe</w:t>
      </w:r>
      <w:r>
        <w:t>.</w:t>
      </w:r>
    </w:p>
    <w:p w:rsidR="0048736B" w:rsidRDefault="0048736B" w:rsidP="0048736B"/>
    <w:p w:rsidR="0048736B" w:rsidRDefault="0048736B" w:rsidP="0048736B">
      <w:r>
        <w:t xml:space="preserve">S1 (Lateral Heel – Calcaneus) - </w:t>
      </w:r>
      <w:r w:rsidRPr="009424CC">
        <w:t>Backside of foot behind the outer portion of the heel</w:t>
      </w:r>
      <w:r>
        <w:t>.</w:t>
      </w:r>
    </w:p>
    <w:p w:rsidR="0048736B" w:rsidRPr="00CA1FE9" w:rsidRDefault="0048736B" w:rsidP="0048736B"/>
    <w:p w:rsidR="0048736B" w:rsidRDefault="0048736B" w:rsidP="0048736B">
      <w:pPr>
        <w:rPr>
          <w:b/>
          <w:bCs/>
          <w:i/>
          <w:iCs/>
        </w:rPr>
      </w:pPr>
      <w:r>
        <w:rPr>
          <w:b/>
          <w:bCs/>
          <w:i/>
          <w:iCs/>
        </w:rPr>
        <w:t>Special Tests</w:t>
      </w:r>
    </w:p>
    <w:p w:rsidR="0048736B" w:rsidRDefault="0048736B" w:rsidP="0048736B">
      <w:pPr>
        <w:rPr>
          <w:b/>
          <w:bCs/>
          <w:i/>
          <w:iCs/>
        </w:rPr>
      </w:pPr>
    </w:p>
    <w:p w:rsidR="0048736B" w:rsidRDefault="0048736B" w:rsidP="0048736B">
      <w:r w:rsidRPr="003D7A1A">
        <w:t>Rapid Alternating Hand Movements</w:t>
      </w:r>
      <w:r>
        <w:t xml:space="preserve"> - T</w:t>
      </w:r>
      <w:r w:rsidRPr="003D7A1A">
        <w:t xml:space="preserve">ouch first the palm and then the dorsal side of one hand repeatedly against </w:t>
      </w:r>
      <w:r>
        <w:t>the other hand as quick as possible.</w:t>
      </w:r>
    </w:p>
    <w:p w:rsidR="0048736B" w:rsidRDefault="0048736B" w:rsidP="0048736B"/>
    <w:p w:rsidR="0048736B" w:rsidRDefault="0048736B" w:rsidP="0048736B">
      <w:r>
        <w:t>Toe-Walking – Walk from one side of the room to the other on just the tip of the toes (making sure to look straight ahead).</w:t>
      </w:r>
    </w:p>
    <w:p w:rsidR="0048736B" w:rsidRDefault="0048736B" w:rsidP="0048736B"/>
    <w:p w:rsidR="0048736B" w:rsidRDefault="0048736B" w:rsidP="0048736B">
      <w:r>
        <w:lastRenderedPageBreak/>
        <w:t>Heel-Waling – Walk from one side of the room to the other on just the base of the heels (making sure to look straight ahead).</w:t>
      </w:r>
    </w:p>
    <w:p w:rsidR="0048736B" w:rsidRDefault="0048736B" w:rsidP="0048736B"/>
    <w:p w:rsidR="0048736B" w:rsidRDefault="0048736B" w:rsidP="0048736B">
      <w:r>
        <w:t>Tandem Gait – Walk from one side of the room to the other with one foot in front of the other (toes of foot touching heels of other foot with each step, making sure to look straight ahead).</w:t>
      </w:r>
    </w:p>
    <w:p w:rsidR="0048736B" w:rsidRDefault="0048736B" w:rsidP="0048736B"/>
    <w:p w:rsidR="0048736B" w:rsidRDefault="0048736B" w:rsidP="0048736B">
      <w:r>
        <w:t>Romberg Test – Hold arms out in front of chest with palms facing upwards. Close eyes and keep hands held up in the same position for 30 seconds.</w:t>
      </w:r>
    </w:p>
    <w:p w:rsidR="0048736B" w:rsidRDefault="0048736B" w:rsidP="0048736B"/>
    <w:p w:rsidR="0048736B" w:rsidRPr="00754F8E" w:rsidRDefault="0048736B" w:rsidP="0048736B">
      <w:pPr>
        <w:rPr>
          <w:b/>
          <w:bCs/>
          <w:i/>
          <w:iCs/>
        </w:rPr>
      </w:pPr>
      <w:r>
        <w:rPr>
          <w:b/>
          <w:bCs/>
          <w:i/>
          <w:iCs/>
        </w:rPr>
        <w:t xml:space="preserve">IB - </w:t>
      </w:r>
      <w:r w:rsidRPr="00754F8E">
        <w:rPr>
          <w:b/>
          <w:bCs/>
          <w:i/>
          <w:iCs/>
        </w:rPr>
        <w:t>Telemedicine Neurological Exam:</w:t>
      </w:r>
    </w:p>
    <w:p w:rsidR="0048736B" w:rsidRDefault="0048736B" w:rsidP="0048736B">
      <w:pPr>
        <w:rPr>
          <w:b/>
          <w:bCs/>
        </w:rPr>
      </w:pPr>
    </w:p>
    <w:p w:rsidR="0048736B" w:rsidRDefault="0048736B" w:rsidP="0048736B">
      <w:r w:rsidRPr="008C6F4A">
        <w:t xml:space="preserve">Each </w:t>
      </w:r>
      <w:r>
        <w:t xml:space="preserve">portion of the Telemedicine Neurological Exam </w:t>
      </w:r>
      <w:r w:rsidR="00972C3D">
        <w:t>will be</w:t>
      </w:r>
      <w:r>
        <w:t xml:space="preserve"> performed and recorded in front of a GoPro at a fixed distance of 6 feet (1.83 m).</w:t>
      </w:r>
      <w:r w:rsidR="00972C3D">
        <w:t xml:space="preserve"> </w:t>
      </w:r>
      <w:r w:rsidR="00165E1A">
        <w:rPr>
          <w:color w:val="000000" w:themeColor="text1"/>
        </w:rPr>
        <w:t>M</w:t>
      </w:r>
      <w:r w:rsidR="004210F5">
        <w:rPr>
          <w:color w:val="000000" w:themeColor="text1"/>
        </w:rPr>
        <w:t xml:space="preserve">inimize any slack in the </w:t>
      </w:r>
      <w:r w:rsidR="004210F5" w:rsidRPr="00FC1286">
        <w:rPr>
          <w:color w:val="000000" w:themeColor="text1"/>
        </w:rPr>
        <w:t>TheraBand</w:t>
      </w:r>
      <w:r w:rsidR="004210F5" w:rsidRPr="00FC1286">
        <w:rPr>
          <w:color w:val="000000" w:themeColor="text1"/>
          <w:vertAlign w:val="superscript"/>
        </w:rPr>
        <w:sym w:font="Symbol" w:char="F0D2"/>
      </w:r>
      <w:r w:rsidR="004210F5">
        <w:rPr>
          <w:color w:val="000000" w:themeColor="text1"/>
          <w:vertAlign w:val="superscript"/>
        </w:rPr>
        <w:t xml:space="preserve"> </w:t>
      </w:r>
      <w:r w:rsidR="004210F5">
        <w:rPr>
          <w:color w:val="000000" w:themeColor="text1"/>
        </w:rPr>
        <w:t xml:space="preserve">prior to performing each exercise in order to provide the most accurate assessment of resistance overcome. </w:t>
      </w:r>
      <w:r w:rsidR="004210F5" w:rsidRPr="00FC1286">
        <w:rPr>
          <w:color w:val="000000" w:themeColor="text1"/>
        </w:rPr>
        <w:t xml:space="preserve"> </w:t>
      </w:r>
    </w:p>
    <w:p w:rsidR="0048736B" w:rsidRDefault="0048736B" w:rsidP="0048736B"/>
    <w:p w:rsidR="0048736B" w:rsidRDefault="0048736B" w:rsidP="0048736B">
      <w:pPr>
        <w:rPr>
          <w:b/>
          <w:bCs/>
          <w:i/>
          <w:iCs/>
        </w:rPr>
      </w:pPr>
      <w:r w:rsidRPr="006B1F65">
        <w:rPr>
          <w:b/>
          <w:bCs/>
          <w:i/>
          <w:iCs/>
        </w:rPr>
        <w:t>Motor</w:t>
      </w:r>
    </w:p>
    <w:p w:rsidR="0048736B" w:rsidRDefault="0048736B" w:rsidP="0048736B">
      <w:pPr>
        <w:rPr>
          <w:b/>
          <w:bCs/>
          <w:i/>
          <w:iCs/>
        </w:rPr>
      </w:pPr>
    </w:p>
    <w:p w:rsidR="0048736B" w:rsidRPr="00472F54" w:rsidRDefault="0048736B" w:rsidP="0048736B">
      <w:r w:rsidRPr="00472F54">
        <w:t xml:space="preserve">Upper Limbs (Patient Standing) </w:t>
      </w:r>
    </w:p>
    <w:p w:rsidR="0048736B" w:rsidRDefault="0048736B" w:rsidP="0048736B"/>
    <w:p w:rsidR="0048736B" w:rsidRPr="00472F54" w:rsidRDefault="0048736B" w:rsidP="0048736B">
      <w:r>
        <w:t xml:space="preserve">C5 (Shoulder Abduction – Deltoids) - </w:t>
      </w:r>
      <w:r w:rsidRPr="00472F54">
        <w:t>Step on tip of resistance band with the other end held in the hand. Raise up band from the side of the body out to the shoulder</w:t>
      </w:r>
      <w:r>
        <w:t>.</w:t>
      </w:r>
    </w:p>
    <w:p w:rsidR="0048736B" w:rsidRDefault="0048736B" w:rsidP="0048736B"/>
    <w:p w:rsidR="0048736B" w:rsidRPr="00472F54" w:rsidRDefault="0048736B" w:rsidP="0048736B">
      <w:r>
        <w:t xml:space="preserve">C6 (Elbow Flexion – Biceps Brachii) - </w:t>
      </w:r>
      <w:r w:rsidRPr="00472F54">
        <w:t>Step on tip of resistance band with other end held in the hand. Position hand</w:t>
      </w:r>
      <w:r>
        <w:t xml:space="preserve"> </w:t>
      </w:r>
      <w:r w:rsidRPr="00472F54">
        <w:t>out in front of the body with the palm side facing up and pull as in performing a biceps curl</w:t>
      </w:r>
      <w:r>
        <w:t>.</w:t>
      </w:r>
    </w:p>
    <w:p w:rsidR="0048736B" w:rsidRDefault="0048736B" w:rsidP="0048736B"/>
    <w:p w:rsidR="0048736B" w:rsidRPr="00472F54" w:rsidRDefault="0048736B" w:rsidP="0048736B">
      <w:r>
        <w:t xml:space="preserve">C7 (Elbow Extensors –Triceps Brachii) - </w:t>
      </w:r>
      <w:r w:rsidRPr="00472F54">
        <w:t>Step on tip of</w:t>
      </w:r>
      <w:r>
        <w:t xml:space="preserve"> </w:t>
      </w:r>
      <w:r w:rsidRPr="00472F54">
        <w:t xml:space="preserve">resistance band with other end held in the hand. Pull the band behind the back and stretch upwards as in performing a triceps extension. </w:t>
      </w:r>
    </w:p>
    <w:p w:rsidR="0048736B" w:rsidRDefault="0048736B" w:rsidP="0048736B"/>
    <w:p w:rsidR="0048736B" w:rsidRDefault="0048736B" w:rsidP="0048736B">
      <w:r>
        <w:t>C8 (Finger Flexors – Flexor Digitorum Superficialis (FDS) and Flexor Digitorum Profundus (FDP)) – Compress ergonomic grip ring with fingers, attempting to grip the object tightly.</w:t>
      </w:r>
    </w:p>
    <w:p w:rsidR="0048736B" w:rsidRDefault="0048736B" w:rsidP="0048736B"/>
    <w:p w:rsidR="0048736B" w:rsidRDefault="0048736B" w:rsidP="0048736B">
      <w:r>
        <w:t>T1 (Finger Abductors – Hand Intrinsic Muscles/Interossei Muscles) – Place fingers inside ergonomic finger stretcher tool and separate fingers against resistance</w:t>
      </w:r>
    </w:p>
    <w:p w:rsidR="0048736B" w:rsidRDefault="0048736B" w:rsidP="0048736B"/>
    <w:p w:rsidR="0048736B" w:rsidRPr="00BB1E55" w:rsidRDefault="0048736B" w:rsidP="0048736B">
      <w:r w:rsidRPr="00BB1E55">
        <w:t xml:space="preserve">Lower Limbs (Patient Sitting) </w:t>
      </w:r>
    </w:p>
    <w:p w:rsidR="0048736B" w:rsidRDefault="0048736B" w:rsidP="0048736B"/>
    <w:p w:rsidR="0048736B" w:rsidRPr="00BB1E55" w:rsidRDefault="0048736B" w:rsidP="0048736B">
      <w:r>
        <w:t xml:space="preserve">L2 (Hip Flexors – Iliopsoas) - </w:t>
      </w:r>
      <w:r w:rsidRPr="00BB1E55">
        <w:t xml:space="preserve">With the resistance band tied against a heavy object (i.e. table or chair leg) into a loop, wrap band over knee and lift upwards. </w:t>
      </w:r>
    </w:p>
    <w:p w:rsidR="0048736B" w:rsidRDefault="0048736B" w:rsidP="0048736B"/>
    <w:p w:rsidR="0048736B" w:rsidRPr="00BB1E55" w:rsidRDefault="0048736B" w:rsidP="0048736B">
      <w:r>
        <w:t xml:space="preserve">L3 (Knee Extensors – Quadriceps) - </w:t>
      </w:r>
      <w:r w:rsidRPr="00BB1E55">
        <w:t xml:space="preserve">With the resistance band tied against a heavy object (i.e. table or chair leg) into a loop, wrap the band around the leg above the ankle and extend leg at the knee </w:t>
      </w:r>
    </w:p>
    <w:p w:rsidR="0048736B" w:rsidRDefault="0048736B" w:rsidP="0048736B"/>
    <w:p w:rsidR="0048736B" w:rsidRPr="00BB1E55" w:rsidRDefault="0048736B" w:rsidP="0048736B">
      <w:r>
        <w:lastRenderedPageBreak/>
        <w:t xml:space="preserve">L4 (Ankle Dorsiflexors – Tibialis Anterior) - </w:t>
      </w:r>
      <w:r w:rsidRPr="00BB1E55">
        <w:t xml:space="preserve">With the resistance band tied against a heavy object (i.e. table or chair leg) into a loop, wrap the band around the foot below the ankle and raise feet up at the ankle. </w:t>
      </w:r>
    </w:p>
    <w:p w:rsidR="0048736B" w:rsidRDefault="0048736B" w:rsidP="0048736B"/>
    <w:p w:rsidR="0048736B" w:rsidRDefault="0048736B" w:rsidP="0048736B">
      <w:r>
        <w:t xml:space="preserve">L5 (Long Toe Extensors – Extensor Hallucis Longus (EHL)) – </w:t>
      </w:r>
      <w:r w:rsidRPr="00BB1E55">
        <w:t>With the resistance band tied against a heavy object (i.e. table or chair leg) into a loop</w:t>
      </w:r>
      <w:r>
        <w:t>, wrap the band around the foot at the toes and extend big toe against resistance</w:t>
      </w:r>
    </w:p>
    <w:p w:rsidR="0048736B" w:rsidRDefault="0048736B" w:rsidP="0048736B"/>
    <w:p w:rsidR="0048736B" w:rsidRDefault="0048736B" w:rsidP="0048736B">
      <w:r>
        <w:t xml:space="preserve">S1 (Ankle Plantar Flexors – Gastrocnemius and Soleus) - </w:t>
      </w:r>
      <w:r w:rsidRPr="00BB1E55">
        <w:t>Hold both ends of the resistance band in each hand with the loop around the bottom of the foot. Push downwards as in pushing down on a gas pedal.</w:t>
      </w:r>
    </w:p>
    <w:p w:rsidR="0048736B" w:rsidRDefault="0048736B" w:rsidP="0048736B">
      <w:pPr>
        <w:rPr>
          <w:b/>
          <w:bCs/>
          <w:i/>
          <w:iCs/>
        </w:rPr>
      </w:pPr>
    </w:p>
    <w:p w:rsidR="0048736B" w:rsidRDefault="0048736B" w:rsidP="0048736B">
      <w:pPr>
        <w:rPr>
          <w:b/>
          <w:bCs/>
          <w:i/>
          <w:iCs/>
        </w:rPr>
      </w:pPr>
      <w:r>
        <w:rPr>
          <w:b/>
          <w:bCs/>
          <w:i/>
          <w:iCs/>
        </w:rPr>
        <w:t>Sensory</w:t>
      </w:r>
    </w:p>
    <w:p w:rsidR="0048736B" w:rsidRPr="00AD6BC0" w:rsidRDefault="0048736B" w:rsidP="0048736B">
      <w:pPr>
        <w:rPr>
          <w:b/>
          <w:bCs/>
          <w:i/>
          <w:iCs/>
        </w:rPr>
      </w:pPr>
    </w:p>
    <w:p w:rsidR="0048736B" w:rsidRPr="00AD6BC0" w:rsidRDefault="0048736B" w:rsidP="0048736B">
      <w:r w:rsidRPr="00AD6BC0">
        <w:t>Patient will test their own sensation by administering force from a Semmes-Weinstein Monofilament (3.61 or 6.85 size). SWM testing was conducted by smoothly applying a filament perpendicular to an individual’s skin until there is evidence of bowing (“buckling”) After an initial bowing of the monofilament, there is no increase in applied force as the filament is further bent—this allows the tester to administer a relatively consistent force despite any unintentional/imperceptible movements in the hand during the application of target force.</w:t>
      </w:r>
      <w:r w:rsidR="006A755C" w:rsidRPr="00AD6BC0">
        <w:fldChar w:fldCharType="begin"/>
      </w:r>
      <w:r w:rsidR="00EC5D3F">
        <w:instrText xml:space="preserve"> ADDIN ZOTERO_ITEM CSL_CITATION {"citationID":"H9XEL4uO","properties":{"formattedCitation":"\\super 57,58\\nosupersub{}","plainCitation":"57,58","noteIndex":0},"citationItems":[{"id":1284,"uris":["http://zotero.org/users/6375896/items/AUGVXDF2"],"uri":["http://zotero.org/users/6375896/items/AUGVXDF2"],"itemData":{"id":1284,"type":"article-journal","abstract":"BACKGROUND: The Semmes-Weinstein Monoﬁlament Test (SWMT) is a clinical widely used test to quantify the sensibility in patients with Carpal Tunnel Syndrome (CTS). No study has investigated the relationship between the SWMT and sensory nerve conduction studies (SNCS) in patients with CTS.\nOBJECTIVE: To assess the relationship between the SWMT and SNCS ﬁndings in patients with CTS.\nMETHODS: This cross-sectional clinical measurement study included 35 patients with CTS (55 hands) with a mean age of 45 ± 12 years. The outcome measures were the SWMT and SNCS measures of distal latency (DLs), amplitude (AMPs), and nerve conduction velocity (NCV). The median innervated ﬁngers were tested using SWMT and electrodiagnostic tests. The primary outcome was the correlations between the SWMTs and NCS measures.\nRESULTS: All of the patients/hands had abnormal NCS ﬁndings. When looking at the three digits of interest (thumb, index and middle), the thumb SWMTs had the highest number of abnormal ﬁndings (58.2%), with the middle digit having the lowest (45.5%). All NCS ﬁndings were statistically different between abnormal and normal thumb SWMTs and abnormal and normal total summed SWMTs. There were signiﬁcant moderate correlations between thumb SWMT scores and all NCS outcomes.\nCONCLUSIONS: Although only approximately 50% of the CTS diagnosed through NCS are corroborated through SWMT; the signiﬁcant associations between SWMT and NCS measures suggest that SWMT is a valid test for assessing sensations in patients with CTS.","container-title":"NeuroRehabilitation","DOI":"10.3233/NRE-141150","ISSN":"18786448, 10538135","issue":"3","journalAbbreviation":"NRE","language":"en","page":"543-552","source":"DOI.org (Crossref)","title":"Relationship between Semmes-Weinstein Monofilaments perception Test and sensory nerve conduction studies in Carpal Tunnel Syndrome","volume":"35","author":[{"family":"Raji","given":"Parvin"},{"family":"Ansari","given":"Noureddin Nakhostin"},{"family":"Naghdi","given":"Soofia"},{"family":"Forogh","given":"Bijan"},{"family":"Hasson","given":"Scott"}],"issued":{"date-parts":[["2014",11,14]]}}},{"id":1272,"uris":["http://zotero.org/users/6375896/items/DVGLNBAM"],"uri":["http://zotero.org/users/6375896/items/DVGLNBAM"],"itemData":{"id":1272,"type":"article-journal","abstract":"Here, we reconsider the status quo in testing mechanical sensitivity with von Frey’s hairs. The aim is to improve paw withdrawal estimates by integrating current psychometric theory, and to maximise the clinical relevance and statistical power of mechanosensory models. A wealth of research into human tactile stimulus perception may be extended to the quantiﬁcation of laboratory animal behaviour. We start by reviewing each step of the test, from its design and application through to data analysis. Filament range is assessed as a whole; possible test designs are compared; techniques of ﬁlament application to mice and rats are considered; curve ﬁtting software is introduced; possibilities for data pooling and curve ﬁtting are evaluated. A rational update of classical methods in line with recent advances in psychometrics and supported by open source software is expected to improve data homogeneity, and Reduce and Reﬁne animal use in accord with the ‘3R’ principles.","container-title":"Journal of Neuroscience Methods","DOI":"10.1016/j.jneumeth.2015.08.010","ISSN":"01650270","journalAbbreviation":"Journal of Neuroscience Methods","language":"en","page":"92-103","source":"DOI.org (Crossref)","title":"Practical mechanical threshold estimation in rodents using von Frey hairs/Semmes–Weinstein monofilaments: Towards a rational method","title-short":"Practical mechanical threshold estimation in rodents using von Frey hairs/Semmes–Weinstein monofilaments","volume":"255","author":[{"family":"Bradman","given":"Matthew J.G."},{"family":"Ferrini","given":"Francesco"},{"family":"Salio","given":"Chiara"},{"family":"Merighi","given":"Adalberto"}],"issued":{"date-parts":[["2015",11]]}}}],"schema":"https://github.com/citation-style-language/schema/raw/master/csl-citation.json"} </w:instrText>
      </w:r>
      <w:r w:rsidR="006A755C" w:rsidRPr="00AD6BC0">
        <w:fldChar w:fldCharType="separate"/>
      </w:r>
      <w:r w:rsidR="003D0F23">
        <w:rPr>
          <w:vertAlign w:val="superscript"/>
        </w:rPr>
        <w:t>39</w:t>
      </w:r>
      <w:r w:rsidR="00EC5D3F" w:rsidRPr="00EC5D3F">
        <w:rPr>
          <w:vertAlign w:val="superscript"/>
        </w:rPr>
        <w:t>,</w:t>
      </w:r>
      <w:r w:rsidR="003D0F23">
        <w:rPr>
          <w:vertAlign w:val="superscript"/>
        </w:rPr>
        <w:t>40</w:t>
      </w:r>
      <w:r w:rsidR="006A755C" w:rsidRPr="00AD6BC0">
        <w:fldChar w:fldCharType="end"/>
      </w:r>
    </w:p>
    <w:p w:rsidR="0048736B" w:rsidRDefault="0048736B" w:rsidP="0048736B"/>
    <w:p w:rsidR="0048736B" w:rsidRPr="00A32C47" w:rsidRDefault="0048736B" w:rsidP="0048736B">
      <w:r w:rsidRPr="00A32C47">
        <w:t xml:space="preserve">Upper Limbs (Patient Sitting) </w:t>
      </w:r>
    </w:p>
    <w:p w:rsidR="0048736B" w:rsidRDefault="0048736B" w:rsidP="0048736B"/>
    <w:p w:rsidR="0048736B" w:rsidRPr="00A32C47" w:rsidRDefault="0048736B" w:rsidP="0048736B">
      <w:r>
        <w:t xml:space="preserve">C5 (Lateral Shoulder) – </w:t>
      </w:r>
      <w:r w:rsidRPr="00A32C47">
        <w:t>Outside</w:t>
      </w:r>
      <w:r>
        <w:t xml:space="preserve"> of arm just below the shoulder.</w:t>
      </w:r>
      <w:r w:rsidRPr="00A32C47">
        <w:t xml:space="preserve"> </w:t>
      </w:r>
    </w:p>
    <w:p w:rsidR="0048736B" w:rsidRDefault="0048736B" w:rsidP="0048736B"/>
    <w:p w:rsidR="0048736B" w:rsidRPr="00A32C47" w:rsidRDefault="0048736B" w:rsidP="0048736B">
      <w:r>
        <w:t xml:space="preserve">C6 (Dorsal Surface of Thumb) – </w:t>
      </w:r>
      <w:r w:rsidRPr="00A32C47">
        <w:t>Backside</w:t>
      </w:r>
      <w:r>
        <w:t xml:space="preserve"> of</w:t>
      </w:r>
      <w:r w:rsidRPr="00A32C47">
        <w:t xml:space="preserve"> hand at the tip of the thumb</w:t>
      </w:r>
      <w:r>
        <w:t>.</w:t>
      </w:r>
      <w:r w:rsidRPr="00A32C47">
        <w:t xml:space="preserve"> </w:t>
      </w:r>
    </w:p>
    <w:p w:rsidR="0048736B" w:rsidRDefault="0048736B" w:rsidP="0048736B"/>
    <w:p w:rsidR="0048736B" w:rsidRPr="00A32C47" w:rsidRDefault="0048736B" w:rsidP="0048736B">
      <w:r>
        <w:t xml:space="preserve">C7 (Dorsal Surface of Middle Finger) - </w:t>
      </w:r>
      <w:r w:rsidRPr="00A32C47">
        <w:t>Backside of hand at the tip of the middle finger</w:t>
      </w:r>
      <w:r>
        <w:t>.</w:t>
      </w:r>
    </w:p>
    <w:p w:rsidR="0048736B" w:rsidRDefault="0048736B" w:rsidP="0048736B"/>
    <w:p w:rsidR="0048736B" w:rsidRDefault="0048736B" w:rsidP="0048736B">
      <w:r>
        <w:t xml:space="preserve">C8 (Dorsal Surface of Little Finger) - </w:t>
      </w:r>
      <w:r w:rsidRPr="00A32C47">
        <w:t xml:space="preserve">Backside of hand </w:t>
      </w:r>
      <w:r>
        <w:t>at the base of the little finger.</w:t>
      </w:r>
    </w:p>
    <w:p w:rsidR="0048736B" w:rsidRDefault="0048736B" w:rsidP="0048736B"/>
    <w:p w:rsidR="0048736B" w:rsidRDefault="0048736B" w:rsidP="0048736B">
      <w:r>
        <w:t>T1 (Medial Antecubital Fossa) – Inside of arm just below the elbow.</w:t>
      </w:r>
    </w:p>
    <w:p w:rsidR="0048736B" w:rsidRDefault="0048736B" w:rsidP="0048736B"/>
    <w:p w:rsidR="0048736B" w:rsidRPr="009424CC" w:rsidRDefault="0048736B" w:rsidP="0048736B">
      <w:r w:rsidRPr="009424CC">
        <w:t xml:space="preserve">Lower Limbs (Patient Sitting) </w:t>
      </w:r>
    </w:p>
    <w:p w:rsidR="0048736B" w:rsidRDefault="0048736B" w:rsidP="0048736B"/>
    <w:p w:rsidR="0048736B" w:rsidRDefault="0048736B" w:rsidP="0048736B">
      <w:r>
        <w:t>L2 (Anterior Thigh) – Frontside, top of leg in the middle of the thigh.</w:t>
      </w:r>
    </w:p>
    <w:p w:rsidR="0048736B" w:rsidRDefault="0048736B" w:rsidP="0048736B"/>
    <w:p w:rsidR="0048736B" w:rsidRPr="009424CC" w:rsidRDefault="0048736B" w:rsidP="0048736B">
      <w:r>
        <w:t xml:space="preserve">L3 (Medial Femoral Condyle – Proximal Knee) - </w:t>
      </w:r>
      <w:r w:rsidRPr="009424CC">
        <w:t>Inner part of leg at the knee</w:t>
      </w:r>
      <w:r>
        <w:t>.</w:t>
      </w:r>
    </w:p>
    <w:p w:rsidR="0048736B" w:rsidRDefault="0048736B" w:rsidP="0048736B"/>
    <w:p w:rsidR="0048736B" w:rsidRPr="009424CC" w:rsidRDefault="0048736B" w:rsidP="0048736B">
      <w:r>
        <w:t xml:space="preserve">L4 (Medial Malleolus) - </w:t>
      </w:r>
      <w:r w:rsidRPr="009424CC">
        <w:t xml:space="preserve">Inner part of leg </w:t>
      </w:r>
      <w:r>
        <w:t>at</w:t>
      </w:r>
      <w:r w:rsidRPr="009424CC">
        <w:t xml:space="preserve"> the ankle</w:t>
      </w:r>
      <w:r>
        <w:t>.</w:t>
      </w:r>
    </w:p>
    <w:p w:rsidR="0048736B" w:rsidRDefault="0048736B" w:rsidP="0048736B"/>
    <w:p w:rsidR="0048736B" w:rsidRPr="009424CC" w:rsidRDefault="0048736B" w:rsidP="0048736B">
      <w:r>
        <w:t>L5 (Dorsum of Foot – 2</w:t>
      </w:r>
      <w:r w:rsidRPr="00902151">
        <w:rPr>
          <w:vertAlign w:val="superscript"/>
        </w:rPr>
        <w:t>nd</w:t>
      </w:r>
      <w:r>
        <w:t xml:space="preserve"> Metatarsophalangeal Joint (MTP)) - </w:t>
      </w:r>
      <w:r w:rsidRPr="009424CC">
        <w:t>Inner part of foot between webspace of big toe and the second toe</w:t>
      </w:r>
      <w:r>
        <w:t>.</w:t>
      </w:r>
    </w:p>
    <w:p w:rsidR="0048736B" w:rsidRDefault="0048736B" w:rsidP="0048736B"/>
    <w:p w:rsidR="0048736B" w:rsidRPr="009A7088" w:rsidRDefault="0048736B" w:rsidP="0048736B">
      <w:r>
        <w:t xml:space="preserve">S1 (Lateral Heel – Calcaneus) - </w:t>
      </w:r>
      <w:r w:rsidRPr="009424CC">
        <w:t>Backside of foot behind the outer portion of the heel</w:t>
      </w:r>
      <w:r>
        <w:t>.</w:t>
      </w:r>
    </w:p>
    <w:p w:rsidR="0048736B" w:rsidRDefault="0048736B" w:rsidP="0048736B">
      <w:pPr>
        <w:rPr>
          <w:b/>
          <w:bCs/>
          <w:i/>
          <w:iCs/>
        </w:rPr>
      </w:pPr>
    </w:p>
    <w:p w:rsidR="0048736B" w:rsidRDefault="0048736B" w:rsidP="0048736B">
      <w:pPr>
        <w:rPr>
          <w:b/>
          <w:bCs/>
          <w:i/>
          <w:iCs/>
        </w:rPr>
      </w:pPr>
      <w:r>
        <w:rPr>
          <w:b/>
          <w:bCs/>
          <w:i/>
          <w:iCs/>
        </w:rPr>
        <w:lastRenderedPageBreak/>
        <w:t>Special Tests</w:t>
      </w:r>
    </w:p>
    <w:p w:rsidR="0048736B" w:rsidRDefault="0048736B" w:rsidP="0048736B">
      <w:pPr>
        <w:rPr>
          <w:b/>
          <w:bCs/>
          <w:i/>
          <w:iCs/>
        </w:rPr>
      </w:pPr>
    </w:p>
    <w:p w:rsidR="0048736B" w:rsidRDefault="0048736B" w:rsidP="0048736B">
      <w:r w:rsidRPr="003D7A1A">
        <w:t>Rapid Alternating Hand Movements</w:t>
      </w:r>
      <w:r>
        <w:t xml:space="preserve"> - T</w:t>
      </w:r>
      <w:r w:rsidRPr="003D7A1A">
        <w:t xml:space="preserve">ouch first the palm and then the dorsal side of one hand repeatedly against </w:t>
      </w:r>
      <w:r>
        <w:t>the other hand as quick as possible.</w:t>
      </w:r>
    </w:p>
    <w:p w:rsidR="0048736B" w:rsidRDefault="0048736B" w:rsidP="0048736B"/>
    <w:p w:rsidR="0048736B" w:rsidRDefault="0048736B" w:rsidP="0048736B">
      <w:r>
        <w:t>Toe-Walking – Walk from one side of the room to the other on just the tip of the toes (making sure to look straight ahead).</w:t>
      </w:r>
    </w:p>
    <w:p w:rsidR="0048736B" w:rsidRDefault="0048736B" w:rsidP="0048736B"/>
    <w:p w:rsidR="0048736B" w:rsidRDefault="0048736B" w:rsidP="0048736B">
      <w:r>
        <w:t>Heel-Waling – Walk from one side of the room to the other on just the base of the heels (making sure to look straight ahead).</w:t>
      </w:r>
    </w:p>
    <w:p w:rsidR="0048736B" w:rsidRDefault="0048736B" w:rsidP="0048736B"/>
    <w:p w:rsidR="0048736B" w:rsidRDefault="0048736B" w:rsidP="0048736B">
      <w:r>
        <w:t>Tandem Gait – Walk from one side of the room to the other with one foot in front of the other (toes of foot touching heels of other foot with each step, making sure to look straight ahead).</w:t>
      </w:r>
    </w:p>
    <w:p w:rsidR="0048736B" w:rsidRDefault="0048736B" w:rsidP="0048736B"/>
    <w:p w:rsidR="0048736B" w:rsidRPr="009A7088" w:rsidRDefault="0048736B" w:rsidP="0048736B">
      <w:r>
        <w:t>Romberg Test – Hold arms out in front of chest with palms facing upwards. Close eyes and keep hands held up in the same position for 30 seconds.</w:t>
      </w:r>
    </w:p>
    <w:p w:rsidR="0048736B" w:rsidRDefault="0048736B" w:rsidP="0048736B">
      <w:pPr>
        <w:rPr>
          <w:b/>
          <w:bCs/>
        </w:rPr>
      </w:pPr>
    </w:p>
    <w:p w:rsidR="0048736B" w:rsidRDefault="0048736B" w:rsidP="0048736B">
      <w:pPr>
        <w:rPr>
          <w:b/>
          <w:bCs/>
        </w:rPr>
      </w:pPr>
      <w:r w:rsidRPr="002218B5">
        <w:rPr>
          <w:b/>
          <w:bCs/>
        </w:rPr>
        <w:t>IC - Satisfaction Survey</w:t>
      </w:r>
    </w:p>
    <w:p w:rsidR="0048736B" w:rsidRDefault="0048736B" w:rsidP="0048736B">
      <w:pPr>
        <w:rPr>
          <w:b/>
          <w:bCs/>
        </w:rPr>
      </w:pPr>
    </w:p>
    <w:p w:rsidR="0048736B" w:rsidRPr="00CE639D" w:rsidRDefault="0048736B" w:rsidP="0048736B">
      <w:r w:rsidRPr="00CE639D">
        <w:t>The trial will conclude with the following satisfaction survey (no follow-up</w:t>
      </w:r>
      <w:r>
        <w:t xml:space="preserve"> visits</w:t>
      </w:r>
      <w:r w:rsidRPr="00CE639D">
        <w:t>):</w:t>
      </w:r>
    </w:p>
    <w:p w:rsidR="0048736B" w:rsidRDefault="0048736B" w:rsidP="0048736B">
      <w:pPr>
        <w:rPr>
          <w:b/>
          <w:bCs/>
        </w:rPr>
      </w:pPr>
    </w:p>
    <w:p w:rsidR="0048736B" w:rsidRDefault="0048736B" w:rsidP="0048736B">
      <w:pPr>
        <w:rPr>
          <w:b/>
          <w:bCs/>
        </w:rPr>
      </w:pPr>
      <w:r w:rsidRPr="00FC1286">
        <w:rPr>
          <w:b/>
          <w:bCs/>
          <w:noProof/>
        </w:rPr>
        <w:drawing>
          <wp:anchor distT="0" distB="0" distL="114300" distR="114300" simplePos="0" relativeHeight="251688960" behindDoc="1" locked="0" layoutInCell="1" allowOverlap="1">
            <wp:simplePos x="0" y="0"/>
            <wp:positionH relativeFrom="column">
              <wp:posOffset>0</wp:posOffset>
            </wp:positionH>
            <wp:positionV relativeFrom="page">
              <wp:posOffset>4277430</wp:posOffset>
            </wp:positionV>
            <wp:extent cx="5943600" cy="2927985"/>
            <wp:effectExtent l="0" t="0" r="0" b="571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8 at 11.34.11 A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927985"/>
                    </a:xfrm>
                    <a:prstGeom prst="rect">
                      <a:avLst/>
                    </a:prstGeom>
                  </pic:spPr>
                </pic:pic>
              </a:graphicData>
            </a:graphic>
          </wp:anchor>
        </w:drawing>
      </w: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48736B" w:rsidRDefault="0048736B" w:rsidP="0048736B">
      <w:pPr>
        <w:rPr>
          <w:b/>
          <w:bCs/>
        </w:rPr>
      </w:pPr>
    </w:p>
    <w:p w:rsidR="00541D28" w:rsidRDefault="00541D28" w:rsidP="00541D28">
      <w:pPr>
        <w:rPr>
          <w:b/>
          <w:bCs/>
        </w:rPr>
      </w:pPr>
      <w:r>
        <w:rPr>
          <w:b/>
          <w:bCs/>
        </w:rPr>
        <w:t>II - Telemedicine Neurological Exam Tools</w:t>
      </w:r>
    </w:p>
    <w:p w:rsidR="00541D28" w:rsidRDefault="00541D28" w:rsidP="00541D28">
      <w:pPr>
        <w:rPr>
          <w:b/>
          <w:bCs/>
        </w:rPr>
      </w:pPr>
    </w:p>
    <w:p w:rsidR="00541D28" w:rsidRDefault="00541D28" w:rsidP="00541D28">
      <w:pPr>
        <w:rPr>
          <w:b/>
          <w:bCs/>
          <w:i/>
          <w:iCs/>
        </w:rPr>
      </w:pPr>
      <w:r w:rsidRPr="007344C3">
        <w:rPr>
          <w:b/>
          <w:bCs/>
          <w:i/>
          <w:iCs/>
        </w:rPr>
        <w:t>Motor</w:t>
      </w:r>
    </w:p>
    <w:p w:rsidR="00541D28" w:rsidRDefault="00541D28" w:rsidP="00541D28">
      <w:pPr>
        <w:rPr>
          <w:b/>
          <w:bCs/>
          <w:i/>
          <w:iCs/>
        </w:rPr>
      </w:pPr>
    </w:p>
    <w:p w:rsidR="00541D28" w:rsidRDefault="00541D28" w:rsidP="00541D28">
      <w:pPr>
        <w:contextualSpacing/>
        <w:rPr>
          <w:color w:val="000000" w:themeColor="text1"/>
        </w:rPr>
      </w:pPr>
      <w:r w:rsidRPr="007344C3">
        <w:rPr>
          <w:color w:val="000000" w:themeColor="text1"/>
        </w:rPr>
        <w:lastRenderedPageBreak/>
        <w:t>TheraBand</w:t>
      </w:r>
      <w:r w:rsidRPr="007344C3">
        <w:rPr>
          <w:color w:val="000000" w:themeColor="text1"/>
          <w:vertAlign w:val="superscript"/>
        </w:rPr>
        <w:sym w:font="Symbol" w:char="F0D2"/>
      </w:r>
      <w:r w:rsidRPr="007344C3">
        <w:rPr>
          <w:color w:val="000000" w:themeColor="text1"/>
          <w:vertAlign w:val="superscript"/>
        </w:rPr>
        <w:t xml:space="preserve"> </w:t>
      </w:r>
      <w:r w:rsidRPr="007344C3">
        <w:rPr>
          <w:color w:val="000000" w:themeColor="text1"/>
        </w:rPr>
        <w:t>resistance tools are a common component employed in physical therapy for muscle strengthening exercises and conditioning. These resistance tools come in two major varieties, bands or tubes, and have been developed to accurately assess one’s resistance effort in pounds, based on the distance each band or tube has been elongated. The bands and tubes come in latex and non-latex equivalents, with 8 colors that progressively increase in the resistance required to stretch to a distance of 100% the original length</w:t>
      </w:r>
      <w:r>
        <w:rPr>
          <w:color w:val="000000" w:themeColor="text1"/>
        </w:rPr>
        <w:t>.</w:t>
      </w:r>
      <w:r w:rsidR="006A755C">
        <w:rPr>
          <w:color w:val="000000" w:themeColor="text1"/>
        </w:rPr>
        <w:fldChar w:fldCharType="begin"/>
      </w:r>
      <w:r w:rsidR="00EC5D3F">
        <w:rPr>
          <w:color w:val="000000" w:themeColor="text1"/>
        </w:rPr>
        <w:instrText xml:space="preserve"> ADDIN ZOTERO_ITEM CSL_CITATION {"citationID":"mrkWaLzV","properties":{"formattedCitation":"\\super 59,60\\nosupersub{}","plainCitation":"59,60","noteIndex":0},"citationItems":[{"id":1521,"uris":["http://zotero.org/users/6375896/items/MHI389AY"],"uri":["http://zotero.org/users/6375896/items/MHI389AY"],"itemData":{"id":1521,"type":"webpage","title":"TheraBand Professional Latex Resistance Tubing, 5 Foot, Yellow &amp; Red &amp; Green, Beginner Set. TheraBand. http://www.theraband.com/products/resistance-bandstubes/ theraband-professional-latex-resistance-tubing-5-foot-yellow-red-green-beginnerset. html. Accessed January 21, 2019."}},{"id":1522,"uris":["http://zotero.org/users/6375896/items/C4DH7IAA"],"uri":["http://zotero.org/users/6375896/items/C4DH7IAA"],"itemData":{"id":1522,"type":"webpage","title":"TheraBand Professional Latex Resistance Band Loop. TheraBand. http://www.theraband.com/products/resistance-bands-tubes/latex-resistancebands/ theraband-professional-latex-resistance-band-loops.html. Accessed January 21, 2019."}}],"schema":"https://github.com/citation-style-language/schema/raw/master/csl-citation.json"} </w:instrText>
      </w:r>
      <w:r w:rsidR="006A755C">
        <w:rPr>
          <w:color w:val="000000" w:themeColor="text1"/>
        </w:rPr>
        <w:fldChar w:fldCharType="separate"/>
      </w:r>
      <w:r w:rsidR="00B67EC0">
        <w:rPr>
          <w:color w:val="000000"/>
          <w:vertAlign w:val="superscript"/>
        </w:rPr>
        <w:t>41</w:t>
      </w:r>
      <w:r w:rsidR="00EC5D3F" w:rsidRPr="00EC5D3F">
        <w:rPr>
          <w:color w:val="000000"/>
          <w:vertAlign w:val="superscript"/>
        </w:rPr>
        <w:t>,</w:t>
      </w:r>
      <w:r w:rsidR="00B67EC0">
        <w:rPr>
          <w:color w:val="000000"/>
          <w:vertAlign w:val="superscript"/>
        </w:rPr>
        <w:t>42</w:t>
      </w:r>
      <w:r w:rsidR="006A755C">
        <w:rPr>
          <w:color w:val="000000" w:themeColor="text1"/>
        </w:rPr>
        <w:fldChar w:fldCharType="end"/>
      </w:r>
    </w:p>
    <w:p w:rsidR="00541D28" w:rsidRDefault="00541D28" w:rsidP="00541D28">
      <w:pPr>
        <w:contextualSpacing/>
        <w:rPr>
          <w:color w:val="000000" w:themeColor="text1"/>
        </w:rPr>
      </w:pPr>
    </w:p>
    <w:p w:rsidR="00541D28" w:rsidRPr="00D71E01" w:rsidRDefault="00541D28" w:rsidP="00541D28">
      <w:pPr>
        <w:contextualSpacing/>
        <w:rPr>
          <w:i/>
          <w:iCs/>
          <w:color w:val="000000" w:themeColor="text1"/>
        </w:rPr>
      </w:pPr>
      <w:r w:rsidRPr="00D71E01">
        <w:rPr>
          <w:i/>
          <w:iCs/>
          <w:color w:val="000000" w:themeColor="text1"/>
        </w:rPr>
        <w:t>TheraBand</w:t>
      </w:r>
      <w:r w:rsidRPr="00D71E01">
        <w:rPr>
          <w:i/>
          <w:iCs/>
          <w:color w:val="000000" w:themeColor="text1"/>
          <w:vertAlign w:val="superscript"/>
        </w:rPr>
        <w:sym w:font="Symbol" w:char="F0D2"/>
      </w:r>
      <w:r w:rsidRPr="00D71E01">
        <w:rPr>
          <w:i/>
          <w:iCs/>
          <w:color w:val="000000" w:themeColor="text1"/>
        </w:rPr>
        <w:t xml:space="preserve"> Colors:</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G</w:t>
      </w:r>
      <w:r w:rsidRPr="007344C3">
        <w:rPr>
          <w:color w:val="000000" w:themeColor="text1"/>
        </w:rPr>
        <w:t xml:space="preserve">old = 6.44 </w:t>
      </w:r>
      <w:r>
        <w:rPr>
          <w:color w:val="000000" w:themeColor="text1"/>
        </w:rPr>
        <w:t>k</w:t>
      </w:r>
      <w:r w:rsidRPr="007344C3">
        <w:rPr>
          <w:color w:val="000000" w:themeColor="text1"/>
        </w:rPr>
        <w:t>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S</w:t>
      </w:r>
      <w:r w:rsidRPr="007344C3">
        <w:rPr>
          <w:color w:val="000000" w:themeColor="text1"/>
        </w:rPr>
        <w:t>ilver = 4.62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B</w:t>
      </w:r>
      <w:r w:rsidRPr="007344C3">
        <w:rPr>
          <w:color w:val="000000" w:themeColor="text1"/>
        </w:rPr>
        <w:t>lack = 3.31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B</w:t>
      </w:r>
      <w:r w:rsidRPr="007344C3">
        <w:rPr>
          <w:color w:val="000000" w:themeColor="text1"/>
        </w:rPr>
        <w:t>lue = 2.63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G</w:t>
      </w:r>
      <w:r w:rsidRPr="007344C3">
        <w:rPr>
          <w:color w:val="000000" w:themeColor="text1"/>
        </w:rPr>
        <w:t>reen = 2.09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R</w:t>
      </w:r>
      <w:r w:rsidRPr="007344C3">
        <w:rPr>
          <w:color w:val="000000" w:themeColor="text1"/>
        </w:rPr>
        <w:t>ed = 1.68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Y</w:t>
      </w:r>
      <w:r w:rsidRPr="007344C3">
        <w:rPr>
          <w:color w:val="000000" w:themeColor="text1"/>
        </w:rPr>
        <w:t>ellow = 1.36 kg force</w:t>
      </w:r>
      <w:r>
        <w:rPr>
          <w:color w:val="000000" w:themeColor="text1"/>
        </w:rPr>
        <w:t xml:space="preserve"> </w:t>
      </w:r>
    </w:p>
    <w:p w:rsidR="00541D28" w:rsidRDefault="00541D28" w:rsidP="00541D28">
      <w:pPr>
        <w:contextualSpacing/>
        <w:rPr>
          <w:color w:val="000000" w:themeColor="text1"/>
        </w:rPr>
      </w:pPr>
    </w:p>
    <w:p w:rsidR="00541D28" w:rsidRPr="007344C3" w:rsidRDefault="00541D28" w:rsidP="00541D28">
      <w:pPr>
        <w:contextualSpacing/>
        <w:rPr>
          <w:color w:val="000000" w:themeColor="text1"/>
        </w:rPr>
      </w:pPr>
      <w:r w:rsidRPr="007344C3">
        <w:rPr>
          <w:color w:val="000000" w:themeColor="text1"/>
        </w:rPr>
        <w:t>In the present study, every TheraBand</w:t>
      </w:r>
      <w:r w:rsidRPr="007344C3">
        <w:rPr>
          <w:color w:val="000000" w:themeColor="text1"/>
          <w:vertAlign w:val="superscript"/>
        </w:rPr>
        <w:sym w:font="Symbol" w:char="F0D2"/>
      </w:r>
      <w:r w:rsidRPr="007344C3">
        <w:rPr>
          <w:color w:val="000000" w:themeColor="text1"/>
          <w:vertAlign w:val="superscript"/>
        </w:rPr>
        <w:t xml:space="preserve"> </w:t>
      </w:r>
      <w:r w:rsidRPr="007344C3">
        <w:rPr>
          <w:color w:val="000000" w:themeColor="text1"/>
        </w:rPr>
        <w:t xml:space="preserve">color was employed except for the </w:t>
      </w:r>
      <w:r>
        <w:rPr>
          <w:color w:val="000000" w:themeColor="text1"/>
        </w:rPr>
        <w:t>T</w:t>
      </w:r>
      <w:r w:rsidRPr="007344C3">
        <w:rPr>
          <w:color w:val="000000" w:themeColor="text1"/>
        </w:rPr>
        <w:t>an band</w:t>
      </w:r>
      <w:r>
        <w:rPr>
          <w:color w:val="000000" w:themeColor="text1"/>
        </w:rPr>
        <w:t xml:space="preserve"> (1.09 kg force)</w:t>
      </w:r>
      <w:r w:rsidRPr="007344C3">
        <w:rPr>
          <w:color w:val="000000" w:themeColor="text1"/>
        </w:rPr>
        <w:t xml:space="preserve">—the lowest resistance band. </w:t>
      </w:r>
    </w:p>
    <w:p w:rsidR="00541D28" w:rsidRPr="007344C3" w:rsidRDefault="00541D28" w:rsidP="00541D28">
      <w:pPr>
        <w:contextualSpacing/>
        <w:rPr>
          <w:color w:val="000000" w:themeColor="text1"/>
        </w:rPr>
      </w:pPr>
    </w:p>
    <w:p w:rsidR="00541D28" w:rsidRDefault="00541D28" w:rsidP="00541D28">
      <w:pPr>
        <w:contextualSpacing/>
        <w:rPr>
          <w:color w:val="000000" w:themeColor="text1"/>
        </w:rPr>
      </w:pPr>
      <w:r w:rsidRPr="007344C3">
        <w:rPr>
          <w:color w:val="000000" w:themeColor="text1"/>
        </w:rPr>
        <w:t>HerculesGrip</w:t>
      </w:r>
      <w:r w:rsidRPr="007344C3">
        <w:rPr>
          <w:color w:val="000000" w:themeColor="text1"/>
          <w:vertAlign w:val="superscript"/>
        </w:rPr>
        <w:t>TM</w:t>
      </w:r>
      <w:r w:rsidRPr="007344C3">
        <w:rPr>
          <w:color w:val="000000" w:themeColor="text1"/>
        </w:rPr>
        <w:t xml:space="preserve"> ergonomic resistance tools are commonly employed for forearm and hand strength strengthening regimens and with varying resistance</w:t>
      </w:r>
      <w:r>
        <w:rPr>
          <w:color w:val="000000" w:themeColor="text1"/>
        </w:rPr>
        <w:t>.</w:t>
      </w:r>
      <w:r w:rsidR="006A755C">
        <w:rPr>
          <w:color w:val="000000" w:themeColor="text1"/>
        </w:rPr>
        <w:fldChar w:fldCharType="begin"/>
      </w:r>
      <w:r w:rsidR="00EC5D3F">
        <w:rPr>
          <w:color w:val="000000" w:themeColor="text1"/>
        </w:rPr>
        <w:instrText xml:space="preserve"> ADDIN ZOTERO_ITEM CSL_CITATION {"citationID":"pY0F6fjX","properties":{"formattedCitation":"\\super 61\\nosupersub{}","plainCitation":"61","noteIndex":0},"citationItems":[{"id":1523,"uris":["http://zotero.org/users/6375896/items/NJV5DT4K"],"uri":["http://zotero.org/users/6375896/items/NJV5DT4K"],"itemData":{"id":1523,"type":"webpage","title":"HerculesGrip Hand Exerciser Kit. HerculesGrip. https://herculesgrip.com/collections/all"}}],"schema":"https://github.com/citation-style-language/schema/raw/master/csl-citation.json"} </w:instrText>
      </w:r>
      <w:r w:rsidR="006A755C">
        <w:rPr>
          <w:color w:val="000000" w:themeColor="text1"/>
        </w:rPr>
        <w:fldChar w:fldCharType="separate"/>
      </w:r>
      <w:r w:rsidR="0055448F">
        <w:rPr>
          <w:color w:val="000000"/>
          <w:vertAlign w:val="superscript"/>
        </w:rPr>
        <w:t>43</w:t>
      </w:r>
      <w:r w:rsidR="006A755C">
        <w:rPr>
          <w:color w:val="000000" w:themeColor="text1"/>
        </w:rPr>
        <w:fldChar w:fldCharType="end"/>
      </w:r>
    </w:p>
    <w:p w:rsidR="00541D28" w:rsidRDefault="00541D28" w:rsidP="00541D28">
      <w:pPr>
        <w:contextualSpacing/>
        <w:rPr>
          <w:color w:val="000000" w:themeColor="text1"/>
        </w:rPr>
      </w:pPr>
    </w:p>
    <w:p w:rsidR="00541D28" w:rsidRPr="00D71E01" w:rsidRDefault="00541D28" w:rsidP="00541D28">
      <w:pPr>
        <w:contextualSpacing/>
        <w:rPr>
          <w:i/>
          <w:iCs/>
          <w:color w:val="000000" w:themeColor="text1"/>
        </w:rPr>
      </w:pPr>
      <w:r w:rsidRPr="00D71E01">
        <w:rPr>
          <w:i/>
          <w:iCs/>
          <w:color w:val="000000" w:themeColor="text1"/>
        </w:rPr>
        <w:t>Grip Ring Colors:</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D</w:t>
      </w:r>
      <w:r w:rsidRPr="007344C3">
        <w:rPr>
          <w:color w:val="000000" w:themeColor="text1"/>
        </w:rPr>
        <w:t>ark green = “heavy” resistance = 28.0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L</w:t>
      </w:r>
      <w:r w:rsidRPr="007344C3">
        <w:rPr>
          <w:color w:val="000000" w:themeColor="text1"/>
        </w:rPr>
        <w:t>ighter green = “medium” resistance = 23.0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L</w:t>
      </w:r>
      <w:r w:rsidRPr="007344C3">
        <w:rPr>
          <w:color w:val="000000" w:themeColor="text1"/>
        </w:rPr>
        <w:t>ightest green = “light” resistance = 18.0 kg force</w:t>
      </w:r>
    </w:p>
    <w:p w:rsidR="00541D28" w:rsidRDefault="00541D28" w:rsidP="00541D28">
      <w:pPr>
        <w:contextualSpacing/>
        <w:rPr>
          <w:color w:val="000000" w:themeColor="text1"/>
        </w:rPr>
      </w:pPr>
    </w:p>
    <w:p w:rsidR="00541D28" w:rsidRPr="00D71E01" w:rsidRDefault="00541D28" w:rsidP="00541D28">
      <w:pPr>
        <w:contextualSpacing/>
        <w:rPr>
          <w:i/>
          <w:iCs/>
          <w:color w:val="000000" w:themeColor="text1"/>
        </w:rPr>
      </w:pPr>
      <w:r w:rsidRPr="00D71E01">
        <w:rPr>
          <w:i/>
          <w:iCs/>
          <w:color w:val="000000" w:themeColor="text1"/>
        </w:rPr>
        <w:t>Finger Stretcher Colors:</w:t>
      </w:r>
    </w:p>
    <w:p w:rsidR="00541D28" w:rsidRDefault="00541D28" w:rsidP="00541D28">
      <w:pPr>
        <w:contextualSpacing/>
        <w:rPr>
          <w:color w:val="000000" w:themeColor="text1"/>
        </w:rPr>
      </w:pPr>
    </w:p>
    <w:p w:rsidR="00541D28" w:rsidRDefault="00541D28" w:rsidP="00541D28">
      <w:pPr>
        <w:contextualSpacing/>
        <w:rPr>
          <w:color w:val="000000" w:themeColor="text1"/>
        </w:rPr>
      </w:pPr>
      <w:r w:rsidRPr="007344C3">
        <w:rPr>
          <w:color w:val="000000" w:themeColor="text1"/>
        </w:rPr>
        <w:t xml:space="preserve"> </w:t>
      </w:r>
      <w:r>
        <w:rPr>
          <w:color w:val="000000" w:themeColor="text1"/>
        </w:rPr>
        <w:t>D</w:t>
      </w:r>
      <w:r w:rsidRPr="007344C3">
        <w:rPr>
          <w:color w:val="000000" w:themeColor="text1"/>
        </w:rPr>
        <w:t>ark green = “heavy” resistance = 5.0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L</w:t>
      </w:r>
      <w:r w:rsidRPr="007344C3">
        <w:rPr>
          <w:color w:val="000000" w:themeColor="text1"/>
        </w:rPr>
        <w:t>ighter green = “medium” resistance = 4.0 kg force</w:t>
      </w:r>
    </w:p>
    <w:p w:rsidR="00541D28" w:rsidRDefault="00541D28" w:rsidP="00541D28">
      <w:pPr>
        <w:contextualSpacing/>
        <w:rPr>
          <w:color w:val="000000" w:themeColor="text1"/>
        </w:rPr>
      </w:pPr>
    </w:p>
    <w:p w:rsidR="00541D28" w:rsidRDefault="00541D28" w:rsidP="00541D28">
      <w:pPr>
        <w:contextualSpacing/>
        <w:rPr>
          <w:color w:val="000000" w:themeColor="text1"/>
        </w:rPr>
      </w:pPr>
      <w:r>
        <w:rPr>
          <w:color w:val="000000" w:themeColor="text1"/>
        </w:rPr>
        <w:t>L</w:t>
      </w:r>
      <w:r w:rsidRPr="007344C3">
        <w:rPr>
          <w:color w:val="000000" w:themeColor="text1"/>
        </w:rPr>
        <w:t>ightest green = “light” resistance = 3.0 kg force</w:t>
      </w:r>
    </w:p>
    <w:p w:rsidR="00541D28" w:rsidRDefault="00541D28" w:rsidP="00541D28">
      <w:pPr>
        <w:contextualSpacing/>
        <w:rPr>
          <w:color w:val="000000" w:themeColor="text1"/>
        </w:rPr>
      </w:pPr>
    </w:p>
    <w:p w:rsidR="00541D28" w:rsidRDefault="00541D28" w:rsidP="00541D28">
      <w:pPr>
        <w:contextualSpacing/>
        <w:rPr>
          <w:b/>
          <w:bCs/>
          <w:i/>
          <w:iCs/>
          <w:color w:val="000000" w:themeColor="text1"/>
        </w:rPr>
      </w:pPr>
      <w:r>
        <w:rPr>
          <w:b/>
          <w:bCs/>
          <w:i/>
          <w:iCs/>
          <w:color w:val="000000" w:themeColor="text1"/>
        </w:rPr>
        <w:t>Sensory</w:t>
      </w:r>
    </w:p>
    <w:p w:rsidR="00541D28" w:rsidRDefault="00541D28" w:rsidP="00541D28">
      <w:pPr>
        <w:contextualSpacing/>
        <w:rPr>
          <w:b/>
          <w:bCs/>
          <w:i/>
          <w:iCs/>
          <w:color w:val="000000" w:themeColor="text1"/>
        </w:rPr>
      </w:pPr>
    </w:p>
    <w:p w:rsidR="00541D28" w:rsidRPr="007344C3" w:rsidRDefault="00541D28" w:rsidP="00541D28">
      <w:pPr>
        <w:contextualSpacing/>
        <w:rPr>
          <w:color w:val="000000" w:themeColor="text1"/>
        </w:rPr>
      </w:pPr>
    </w:p>
    <w:p w:rsidR="00541D28" w:rsidRDefault="00541D28" w:rsidP="00541D28">
      <w:pPr>
        <w:contextualSpacing/>
      </w:pPr>
      <w:r w:rsidRPr="001832C0">
        <w:t>Semmes-Weinstein Monofilaments (SWM) are commonly used in the objective detection of sensation and</w:t>
      </w:r>
      <w:r>
        <w:t xml:space="preserve"> </w:t>
      </w:r>
      <w:r w:rsidRPr="001832C0">
        <w:t>are inexpensive and easy to administer. They have been validated in a series of sensory nerve conduction studies for a variety of pathological states.</w:t>
      </w:r>
      <w:r w:rsidR="006A755C" w:rsidRPr="001832C0">
        <w:fldChar w:fldCharType="begin"/>
      </w:r>
      <w:r w:rsidR="00EC5D3F">
        <w:instrText xml:space="preserve"> ADDIN ZOTERO_ITEM CSL_CITATION {"citationID":"HNjHhHa6","properties":{"formattedCitation":"\\super 57,62,63\\nosupersub{}","plainCitation":"57,62,63","noteIndex":0},"citationItems":[{"id":1292,"uris":["http://zotero.org/users/6375896/items/5DJKFHBU"],"uri":["http://zotero.org/users/6375896/items/5DJKFHBU"],"itemData":{"id":1292,"type":"article-journal","abstract":"Applied as a bedside test of gross dorsal column function, the testing of light touch (LT) sensation is of high clinical value in the diagnosis of human spinal cord injury (SCI). However, the assessment of overall dorsal column deﬁcit by testing only LT may be limited, because the dorsal column pathway conveys several large diameter afferent modalities (e.g., sensation of touch, two-point discrimination, and proprioception). Therefore, the objective of this study was to compare the epicritic sensation assessed by LT, Semmes–Weinstein monoﬁlament (SWM), and electrical perception threshold (EPT) across cervical dermatomes (C3–C8) in individuals with cervical SCI. A multicenter cross-sectional study was performed at 6 months after cervical SCI, applying combined measures of LT, SWM, and EPT, bilaterally over predeﬁned key sensory points (C3–C8). A total of 300 left- and right-sided dermatomes were tested for each outcome measure in 25 participants. The percentage agreement between classiﬁcations according to LT and SWM/EPT testing for all dermatomes between C3 and C8 ranged from 95.5% to 36.2%. The degree of agreement showed considerably variable j coefﬁcients ( - 0.1 ‡ kw £ 0.7) for each dermatome between C3 and C8. The additional measurements of epicritic sensation by SWM and EPT increased sensitivity by detecting and quantifying differences in sensory thresholds above, at, and below the LT level of injury. This is relevant for early clinical trials (phase 1/2), in which disclosing any biological activity of an intervention may be revealed by subtle sensory changes that might gain a clinical relevance.","container-title":"Journal of Neurotrauma","DOI":"10.1089/neu.2012.2828","ISSN":"0897-7151, 1557-9042","issue":"15","journalAbbreviation":"Journal of Neurotrauma","language":"en","page":"1342-1348","source":"DOI.org (Crossref)","title":"Epicritic Sensation in Cervical Spinal Cord Injury: Diagnostic Gains Beyond Testing Light Touch","title-short":"Epicritic Sensation in Cervical Spinal Cord Injury","volume":"30","author":[{"family":"Velstra","given":"Inge-Marie"},{"family":"Bolliger","given":"Marc"},{"family":"Baumberger","given":"Michael"},{"family":"Rietman","given":"Johan Swanik"},{"family":"Curt","given":"Armin"}],"issued":{"date-parts":[["2013",8]]}}},{"id":1530,"uris":["http://zotero.org/users/6375896/items/M3MSYY8S"],"uri":["http://zotero.org/users/6375896/items/M3MSYY8S"],"itemData":{"id":1530,"type":"article-journal","abstract":"&lt;h2&gt;Abstract&lt;/h2&gt;&lt;p&gt;In this study, the intra- and interobserver reliability of the Semmes-Weinstein monofilaments (SWMFs) was determined in the hands of 15 patients with Charcot-Marie-Tooth disease. In addition, the amount and distribution of sensory loss in the hand, and the relation between sensory loss, intrinsic muscle strength, and hand dexterity was explored in 45 patients. SWMF testing had good intra- and interobserver reliability with intraclass correlation coefficients of 0.91 and 0.86, respectively. The SWMF testing revealed normal sensory function in 43% of all six locations. The average loss of the intrinsic hand muscle strength was 57%. Poor strength was found in patients with both poor and with good sensory function. The correlation between the measurements of intrinsic muscle strength and the Sollerman test for dexterity was 0.70.&lt;/p&gt;","container-title":"Journal of Hand Therapy","DOI":"10.1197/j.jht.2007.07.020","ISSN":"0894-1130, 1545-004X","issue":"1","journalAbbreviation":"Journal of Hand Therapy","language":"English","note":"publisher: Elsevier\nPMID: 18215749","page":"28-35","source":"www.jhandtherapy.org","title":"Sensory Evaluation of the Hands in Patients with Charcot-Marie-Tooth Disease Using Semmes-Weinstein Monofilaments","volume":"21","author":[{"family":"Schreuders","given":"Ton A. R."},{"family":"Selles","given":"Ruud W."},{"family":"Ginneken","given":"Berbke T. J.","dropping-particle":"van"},{"family":"Janssen","given":"Wim G. M."},{"family":"Stam","given":"Henk J."}],"issued":{"date-parts":[["2008",1,1]]}}},{"id":1284,"uris":["http://zotero.org/users/6375896/items/AUGVXDF2"],"uri":["http://zotero.org/users/6375896/items/AUGVXDF2"],"itemData":{"id":1284,"type":"article-journal","abstract":"BACKGROUND: The Semmes-Weinstein Monoﬁlament Test (SWMT) is a clinical widely used test to quantify the sensibility in patients with Carpal Tunnel Syndrome (CTS). No study has investigated the relationship between the SWMT and sensory nerve conduction studies (SNCS) in patients with CTS.\nOBJECTIVE: To assess the relationship between the SWMT and SNCS ﬁndings in patients with CTS.\nMETHODS: This cross-sectional clinical measurement study included 35 patients with CTS (55 hands) with a mean age of 45 ± 12 years. The outcome measures were the SWMT and SNCS measures of distal latency (DLs), amplitude (AMPs), and nerve conduction velocity (NCV). The median innervated ﬁngers were tested using SWMT and electrodiagnostic tests. The primary outcome was the correlations between the SWMTs and NCS measures.\nRESULTS: All of the patients/hands had abnormal NCS ﬁndings. When looking at the three digits of interest (thumb, index and middle), the thumb SWMTs had the highest number of abnormal ﬁndings (58.2%), with the middle digit having the lowest (45.5%). All NCS ﬁndings were statistically different between abnormal and normal thumb SWMTs and abnormal and normal total summed SWMTs. There were signiﬁcant moderate correlations between thumb SWMT scores and all NCS outcomes.\nCONCLUSIONS: Although only approximately 50% of the CTS diagnosed through NCS are corroborated through SWMT; the signiﬁcant associations between SWMT and NCS measures suggest that SWMT is a valid test for assessing sensations in patients with CTS.","container-title":"NeuroRehabilitation","DOI":"10.3233/NRE-141150","ISSN":"18786448, 10538135","issue":"3","journalAbbreviation":"NRE","language":"en","page":"543-552","source":"DOI.org (Crossref)","title":"Relationship between Semmes-Weinstein Monofilaments perception Test and sensory nerve conduction studies in Carpal Tunnel Syndrome","volume":"35","author":[{"family":"Raji","given":"Parvin"},{"family":"Ansari","given":"Noureddin Nakhostin"},{"family":"Naghdi","given":"Soofia"},{"family":"Forogh","given":"Bijan"},{"family":"Hasson","given":"Scott"}],"issued":{"date-parts":[["2014",11,14]]}}}],"schema":"https://github.com/citation-style-language/schema/raw/master/csl-citation.json"} </w:instrText>
      </w:r>
      <w:r w:rsidR="006A755C" w:rsidRPr="001832C0">
        <w:fldChar w:fldCharType="separate"/>
      </w:r>
      <w:r w:rsidR="00BB5F23">
        <w:rPr>
          <w:vertAlign w:val="superscript"/>
        </w:rPr>
        <w:t>39</w:t>
      </w:r>
      <w:r w:rsidR="00EC5D3F" w:rsidRPr="00EC5D3F">
        <w:rPr>
          <w:vertAlign w:val="superscript"/>
        </w:rPr>
        <w:t>,</w:t>
      </w:r>
      <w:r w:rsidR="00BB5F23">
        <w:rPr>
          <w:vertAlign w:val="superscript"/>
        </w:rPr>
        <w:t>44</w:t>
      </w:r>
      <w:r w:rsidR="00EC5D3F" w:rsidRPr="00EC5D3F">
        <w:rPr>
          <w:vertAlign w:val="superscript"/>
        </w:rPr>
        <w:t>,</w:t>
      </w:r>
      <w:r w:rsidR="00BB5F23">
        <w:rPr>
          <w:vertAlign w:val="superscript"/>
        </w:rPr>
        <w:t>45</w:t>
      </w:r>
      <w:r w:rsidR="006A755C" w:rsidRPr="001832C0">
        <w:fldChar w:fldCharType="end"/>
      </w:r>
      <w:r w:rsidRPr="001832C0">
        <w:t xml:space="preserve"> </w:t>
      </w:r>
    </w:p>
    <w:p w:rsidR="00541D28" w:rsidRDefault="00541D28" w:rsidP="00541D28">
      <w:pPr>
        <w:contextualSpacing/>
      </w:pPr>
    </w:p>
    <w:p w:rsidR="00541D28" w:rsidRDefault="00541D28" w:rsidP="00541D28">
      <w:pPr>
        <w:contextualSpacing/>
      </w:pPr>
      <w:r w:rsidRPr="001832C0">
        <w:t xml:space="preserve">These tools are nylon-based monofilaments that come in 20 standard sizes—each of which has been logarithmically transformed to denote the “target force” (g) that may be administered. </w:t>
      </w:r>
    </w:p>
    <w:p w:rsidR="00541D28" w:rsidRDefault="00541D28" w:rsidP="00541D28">
      <w:pPr>
        <w:contextualSpacing/>
      </w:pPr>
    </w:p>
    <w:p w:rsidR="00541D28" w:rsidRDefault="00541D28" w:rsidP="00541D28">
      <w:pPr>
        <w:contextualSpacing/>
      </w:pPr>
      <w:r w:rsidRPr="001832C0">
        <w:t>Only green, blue, and red SWM sizes were</w:t>
      </w:r>
      <w:r>
        <w:t xml:space="preserve"> obtained and</w:t>
      </w:r>
      <w:r w:rsidRPr="001832C0">
        <w:t xml:space="preserve"> </w:t>
      </w:r>
      <w:r>
        <w:t>considered</w:t>
      </w:r>
      <w:r w:rsidRPr="001832C0">
        <w:t xml:space="preserve"> into this pilot trial</w:t>
      </w:r>
      <w:r>
        <w:t>:</w:t>
      </w:r>
      <w:r w:rsidRPr="001832C0">
        <w:t xml:space="preserve"> </w:t>
      </w:r>
    </w:p>
    <w:p w:rsidR="00541D28" w:rsidRDefault="00541D28" w:rsidP="00541D28">
      <w:pPr>
        <w:contextualSpacing/>
      </w:pPr>
    </w:p>
    <w:p w:rsidR="00541D28" w:rsidRDefault="00541D28" w:rsidP="00541D28">
      <w:pPr>
        <w:contextualSpacing/>
      </w:pPr>
      <w:r>
        <w:t>G</w:t>
      </w:r>
      <w:r w:rsidRPr="001832C0">
        <w:t xml:space="preserve">reen monofilament (size = 2.83) </w:t>
      </w:r>
      <w:r>
        <w:t>–</w:t>
      </w:r>
      <w:r w:rsidRPr="001832C0">
        <w:t xml:space="preserve"> </w:t>
      </w:r>
      <w:r>
        <w:t>smallest</w:t>
      </w:r>
      <w:r w:rsidRPr="001832C0">
        <w:t xml:space="preserve"> filament</w:t>
      </w:r>
      <w:r>
        <w:t xml:space="preserve"> available with lowest amount of graded force (not utilized in trial)</w:t>
      </w:r>
      <w:r w:rsidRPr="001832C0">
        <w:t xml:space="preserve"> (force = 0.07 grams)</w:t>
      </w:r>
    </w:p>
    <w:p w:rsidR="00541D28" w:rsidRDefault="00541D28" w:rsidP="00541D28">
      <w:pPr>
        <w:contextualSpacing/>
      </w:pPr>
    </w:p>
    <w:p w:rsidR="00541D28" w:rsidRDefault="00541D28" w:rsidP="00541D28">
      <w:pPr>
        <w:contextualSpacing/>
      </w:pPr>
      <w:r>
        <w:t>Blue</w:t>
      </w:r>
      <w:r w:rsidRPr="001832C0">
        <w:t xml:space="preserve"> monofilament (size = 3.61) </w:t>
      </w:r>
      <w:r>
        <w:t>-</w:t>
      </w:r>
      <w:r w:rsidRPr="001832C0">
        <w:t xml:space="preserve"> next size</w:t>
      </w:r>
      <w:r>
        <w:t xml:space="preserve"> up (baseline filament used for trial)</w:t>
      </w:r>
      <w:r w:rsidRPr="001832C0">
        <w:t xml:space="preserve"> (force = 0.4 grams)</w:t>
      </w:r>
    </w:p>
    <w:p w:rsidR="00541D28" w:rsidRDefault="00541D28" w:rsidP="00541D28">
      <w:pPr>
        <w:contextualSpacing/>
      </w:pPr>
    </w:p>
    <w:p w:rsidR="00541D28" w:rsidRPr="001832C0" w:rsidRDefault="00541D28" w:rsidP="00541D28">
      <w:pPr>
        <w:contextualSpacing/>
      </w:pPr>
      <w:r>
        <w:t>Red</w:t>
      </w:r>
      <w:r w:rsidRPr="001832C0">
        <w:t xml:space="preserve"> monofilament (size = 6.85) </w:t>
      </w:r>
      <w:r>
        <w:t>-</w:t>
      </w:r>
      <w:r w:rsidRPr="001832C0">
        <w:t xml:space="preserve"> largest filament available</w:t>
      </w:r>
      <w:r>
        <w:t xml:space="preserve"> (utilized if baseline filament did not elicit a sensation)</w:t>
      </w:r>
      <w:r w:rsidRPr="001832C0">
        <w:t xml:space="preserve"> (force = 300.0 grams)</w:t>
      </w:r>
    </w:p>
    <w:p w:rsidR="00B03056" w:rsidRDefault="00B03056" w:rsidP="0048736B">
      <w:pPr>
        <w:contextualSpacing/>
      </w:pPr>
    </w:p>
    <w:p w:rsidR="00B03056" w:rsidRPr="001832C0" w:rsidRDefault="00B03056" w:rsidP="0048736B">
      <w:pPr>
        <w:contextualSpacing/>
      </w:pPr>
    </w:p>
    <w:p w:rsidR="0048736B" w:rsidRPr="00FC1286" w:rsidRDefault="0048736B" w:rsidP="0046301E">
      <w:pPr>
        <w:tabs>
          <w:tab w:val="left" w:pos="3131"/>
        </w:tabs>
      </w:pPr>
    </w:p>
    <w:sectPr w:rsidR="0048736B" w:rsidRPr="00FC1286" w:rsidSect="000564E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A1" w:rsidRDefault="00022DA1" w:rsidP="007E688A">
      <w:r>
        <w:separator/>
      </w:r>
    </w:p>
  </w:endnote>
  <w:endnote w:type="continuationSeparator" w:id="0">
    <w:p w:rsidR="00022DA1" w:rsidRDefault="00022DA1" w:rsidP="007E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41115736"/>
      <w:docPartObj>
        <w:docPartGallery w:val="Page Numbers (Bottom of Page)"/>
        <w:docPartUnique/>
      </w:docPartObj>
    </w:sdtPr>
    <w:sdtContent>
      <w:p w:rsidR="00E95220" w:rsidRDefault="006A755C" w:rsidP="008C4F20">
        <w:pPr>
          <w:pStyle w:val="Footer"/>
          <w:framePr w:wrap="none" w:vAnchor="text" w:hAnchor="margin" w:xAlign="center" w:y="1"/>
          <w:rPr>
            <w:rStyle w:val="PageNumber"/>
            <w:rFonts w:ascii="Times New Roman" w:hAnsi="Times New Roman" w:cs="Times New Roman"/>
          </w:rPr>
        </w:pPr>
        <w:r>
          <w:rPr>
            <w:rStyle w:val="PageNumber"/>
          </w:rPr>
          <w:fldChar w:fldCharType="begin"/>
        </w:r>
        <w:r w:rsidR="00E95220">
          <w:rPr>
            <w:rStyle w:val="PageNumber"/>
          </w:rPr>
          <w:instrText xml:space="preserve"> PAGE </w:instrText>
        </w:r>
        <w:r>
          <w:rPr>
            <w:rStyle w:val="PageNumber"/>
          </w:rPr>
          <w:fldChar w:fldCharType="end"/>
        </w:r>
      </w:p>
    </w:sdtContent>
  </w:sdt>
  <w:p w:rsidR="00E95220" w:rsidRDefault="00E95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53401627"/>
      <w:docPartObj>
        <w:docPartGallery w:val="Page Numbers (Bottom of Page)"/>
        <w:docPartUnique/>
      </w:docPartObj>
    </w:sdtPr>
    <w:sdtContent>
      <w:p w:rsidR="00E95220" w:rsidRDefault="006A755C" w:rsidP="008C4F20">
        <w:pPr>
          <w:pStyle w:val="Footer"/>
          <w:framePr w:wrap="none" w:vAnchor="text" w:hAnchor="margin" w:xAlign="center" w:y="1"/>
          <w:rPr>
            <w:rStyle w:val="PageNumber"/>
            <w:rFonts w:ascii="Times New Roman" w:hAnsi="Times New Roman" w:cs="Times New Roman"/>
          </w:rPr>
        </w:pPr>
        <w:r>
          <w:rPr>
            <w:rStyle w:val="PageNumber"/>
          </w:rPr>
          <w:fldChar w:fldCharType="begin"/>
        </w:r>
        <w:r w:rsidR="00E95220">
          <w:rPr>
            <w:rStyle w:val="PageNumber"/>
          </w:rPr>
          <w:instrText xml:space="preserve"> PAGE </w:instrText>
        </w:r>
        <w:r>
          <w:rPr>
            <w:rStyle w:val="PageNumber"/>
          </w:rPr>
          <w:fldChar w:fldCharType="separate"/>
        </w:r>
        <w:r w:rsidR="00BB5F23">
          <w:rPr>
            <w:rStyle w:val="PageNumber"/>
            <w:noProof/>
          </w:rPr>
          <w:t>7</w:t>
        </w:r>
        <w:r>
          <w:rPr>
            <w:rStyle w:val="PageNumber"/>
          </w:rPr>
          <w:fldChar w:fldCharType="end"/>
        </w:r>
      </w:p>
    </w:sdtContent>
  </w:sdt>
  <w:p w:rsidR="00E95220" w:rsidRDefault="00E95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A1" w:rsidRDefault="00022DA1" w:rsidP="007E688A">
      <w:r>
        <w:separator/>
      </w:r>
    </w:p>
  </w:footnote>
  <w:footnote w:type="continuationSeparator" w:id="0">
    <w:p w:rsidR="00022DA1" w:rsidRDefault="00022DA1" w:rsidP="007E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20" w:rsidRPr="00351A15" w:rsidRDefault="00E95220">
    <w:pPr>
      <w:pStyle w:val="Header"/>
      <w:rPr>
        <w:rFonts w:ascii="Times New Roman" w:hAnsi="Times New Roman" w:cs="Times New Roman"/>
        <w:sz w:val="20"/>
        <w:szCs w:val="20"/>
      </w:rPr>
    </w:pPr>
    <w:r w:rsidRPr="00351A15">
      <w:rPr>
        <w:rFonts w:ascii="Times New Roman" w:hAnsi="Times New Roman" w:cs="Times New Roman"/>
        <w:sz w:val="20"/>
        <w:szCs w:val="20"/>
      </w:rPr>
      <w:tab/>
    </w:r>
    <w:r w:rsidRPr="00351A15">
      <w:rPr>
        <w:rFonts w:ascii="Times New Roman" w:hAnsi="Times New Roman" w:cs="Times New Roman"/>
        <w:sz w:val="20"/>
        <w:szCs w:val="20"/>
      </w:rPr>
      <w:tab/>
      <w:t>Telemedicine Neurological Exam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759"/>
    <w:multiLevelType w:val="hybridMultilevel"/>
    <w:tmpl w:val="05084914"/>
    <w:lvl w:ilvl="0" w:tplc="65BC38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B7E57B7"/>
    <w:multiLevelType w:val="hybridMultilevel"/>
    <w:tmpl w:val="89C23E80"/>
    <w:lvl w:ilvl="0" w:tplc="153AC09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206E543A"/>
    <w:multiLevelType w:val="hybridMultilevel"/>
    <w:tmpl w:val="E410BBA0"/>
    <w:lvl w:ilvl="0" w:tplc="153AC0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3D83B24"/>
    <w:multiLevelType w:val="hybridMultilevel"/>
    <w:tmpl w:val="BA84104A"/>
    <w:lvl w:ilvl="0" w:tplc="153AC0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TrackMoves/>
  <w:defaultTabStop w:val="720"/>
  <w:characterSpacingControl w:val="doNotCompress"/>
  <w:footnotePr>
    <w:footnote w:id="-1"/>
    <w:footnote w:id="0"/>
  </w:footnotePr>
  <w:endnotePr>
    <w:endnote w:id="-1"/>
    <w:endnote w:id="0"/>
  </w:endnotePr>
  <w:compat/>
  <w:rsids>
    <w:rsidRoot w:val="00D2605E"/>
    <w:rsid w:val="000010D4"/>
    <w:rsid w:val="000013B9"/>
    <w:rsid w:val="000019C8"/>
    <w:rsid w:val="000050B0"/>
    <w:rsid w:val="0001041C"/>
    <w:rsid w:val="0001401E"/>
    <w:rsid w:val="00020C6F"/>
    <w:rsid w:val="000214BB"/>
    <w:rsid w:val="0002158F"/>
    <w:rsid w:val="00021630"/>
    <w:rsid w:val="00022DA1"/>
    <w:rsid w:val="00023FF0"/>
    <w:rsid w:val="00025FC0"/>
    <w:rsid w:val="0003626D"/>
    <w:rsid w:val="00037001"/>
    <w:rsid w:val="00045008"/>
    <w:rsid w:val="000513B4"/>
    <w:rsid w:val="00051C9C"/>
    <w:rsid w:val="0005305E"/>
    <w:rsid w:val="0005457E"/>
    <w:rsid w:val="00056136"/>
    <w:rsid w:val="000564E2"/>
    <w:rsid w:val="00060B20"/>
    <w:rsid w:val="000616F3"/>
    <w:rsid w:val="00065815"/>
    <w:rsid w:val="00070064"/>
    <w:rsid w:val="00071250"/>
    <w:rsid w:val="000712AE"/>
    <w:rsid w:val="000734E4"/>
    <w:rsid w:val="0007407C"/>
    <w:rsid w:val="00080E55"/>
    <w:rsid w:val="00083A9A"/>
    <w:rsid w:val="00083E6F"/>
    <w:rsid w:val="00084161"/>
    <w:rsid w:val="00085DAD"/>
    <w:rsid w:val="00085FA3"/>
    <w:rsid w:val="0008692C"/>
    <w:rsid w:val="00091E88"/>
    <w:rsid w:val="0009314A"/>
    <w:rsid w:val="000A2F45"/>
    <w:rsid w:val="000A2F8B"/>
    <w:rsid w:val="000A4858"/>
    <w:rsid w:val="000A685C"/>
    <w:rsid w:val="000B2797"/>
    <w:rsid w:val="000B4E5D"/>
    <w:rsid w:val="000C4AB9"/>
    <w:rsid w:val="000D2888"/>
    <w:rsid w:val="000D3FD8"/>
    <w:rsid w:val="000D74C3"/>
    <w:rsid w:val="000E1A27"/>
    <w:rsid w:val="000F3882"/>
    <w:rsid w:val="000F3C7B"/>
    <w:rsid w:val="00101156"/>
    <w:rsid w:val="00102B3B"/>
    <w:rsid w:val="00104EB0"/>
    <w:rsid w:val="001110D9"/>
    <w:rsid w:val="001140CF"/>
    <w:rsid w:val="00114F3C"/>
    <w:rsid w:val="00117545"/>
    <w:rsid w:val="00117554"/>
    <w:rsid w:val="001175BD"/>
    <w:rsid w:val="00120EAD"/>
    <w:rsid w:val="001213E4"/>
    <w:rsid w:val="00122BE3"/>
    <w:rsid w:val="001251FA"/>
    <w:rsid w:val="00125508"/>
    <w:rsid w:val="001275C7"/>
    <w:rsid w:val="0013649C"/>
    <w:rsid w:val="00142E84"/>
    <w:rsid w:val="00144E71"/>
    <w:rsid w:val="0014553E"/>
    <w:rsid w:val="001469C7"/>
    <w:rsid w:val="0015269A"/>
    <w:rsid w:val="00156790"/>
    <w:rsid w:val="00157790"/>
    <w:rsid w:val="00164006"/>
    <w:rsid w:val="00165E1A"/>
    <w:rsid w:val="0016772A"/>
    <w:rsid w:val="00171829"/>
    <w:rsid w:val="00172FF6"/>
    <w:rsid w:val="001747E7"/>
    <w:rsid w:val="00185148"/>
    <w:rsid w:val="00190948"/>
    <w:rsid w:val="00191260"/>
    <w:rsid w:val="00191283"/>
    <w:rsid w:val="00191AF9"/>
    <w:rsid w:val="0019204A"/>
    <w:rsid w:val="00196459"/>
    <w:rsid w:val="001A0959"/>
    <w:rsid w:val="001A0C38"/>
    <w:rsid w:val="001A488F"/>
    <w:rsid w:val="001A52C8"/>
    <w:rsid w:val="001B06A0"/>
    <w:rsid w:val="001B1868"/>
    <w:rsid w:val="001B5E9A"/>
    <w:rsid w:val="001B60DF"/>
    <w:rsid w:val="001B69A5"/>
    <w:rsid w:val="001C6EDA"/>
    <w:rsid w:val="001C7487"/>
    <w:rsid w:val="001C79CC"/>
    <w:rsid w:val="001C7D5C"/>
    <w:rsid w:val="001D2506"/>
    <w:rsid w:val="001D6BFE"/>
    <w:rsid w:val="001D6C36"/>
    <w:rsid w:val="001D738A"/>
    <w:rsid w:val="001F1345"/>
    <w:rsid w:val="001F2EBE"/>
    <w:rsid w:val="001F40CB"/>
    <w:rsid w:val="001F4C1C"/>
    <w:rsid w:val="001F60ED"/>
    <w:rsid w:val="001F634A"/>
    <w:rsid w:val="001F6EAC"/>
    <w:rsid w:val="00202265"/>
    <w:rsid w:val="00203293"/>
    <w:rsid w:val="00204B6B"/>
    <w:rsid w:val="00204ECC"/>
    <w:rsid w:val="002062EF"/>
    <w:rsid w:val="00210610"/>
    <w:rsid w:val="0021173B"/>
    <w:rsid w:val="00213F7B"/>
    <w:rsid w:val="00215A33"/>
    <w:rsid w:val="002241AB"/>
    <w:rsid w:val="002328B3"/>
    <w:rsid w:val="00234C48"/>
    <w:rsid w:val="00234C73"/>
    <w:rsid w:val="00245745"/>
    <w:rsid w:val="00247896"/>
    <w:rsid w:val="0025068A"/>
    <w:rsid w:val="00250762"/>
    <w:rsid w:val="0025259A"/>
    <w:rsid w:val="00252DAB"/>
    <w:rsid w:val="002534B7"/>
    <w:rsid w:val="00256631"/>
    <w:rsid w:val="00256EF3"/>
    <w:rsid w:val="00260442"/>
    <w:rsid w:val="00261B58"/>
    <w:rsid w:val="00267473"/>
    <w:rsid w:val="00267EB6"/>
    <w:rsid w:val="00274B23"/>
    <w:rsid w:val="00274D30"/>
    <w:rsid w:val="00275840"/>
    <w:rsid w:val="002763B2"/>
    <w:rsid w:val="00276EF7"/>
    <w:rsid w:val="00281751"/>
    <w:rsid w:val="0028595C"/>
    <w:rsid w:val="00286444"/>
    <w:rsid w:val="00286A90"/>
    <w:rsid w:val="00287EC3"/>
    <w:rsid w:val="002918A7"/>
    <w:rsid w:val="00291D32"/>
    <w:rsid w:val="00292025"/>
    <w:rsid w:val="00292F05"/>
    <w:rsid w:val="002A2C81"/>
    <w:rsid w:val="002A78A5"/>
    <w:rsid w:val="002B06CD"/>
    <w:rsid w:val="002B2CBB"/>
    <w:rsid w:val="002B313B"/>
    <w:rsid w:val="002B63E1"/>
    <w:rsid w:val="002B665F"/>
    <w:rsid w:val="002B67ED"/>
    <w:rsid w:val="002C4DAA"/>
    <w:rsid w:val="002C6ADD"/>
    <w:rsid w:val="002C6E4F"/>
    <w:rsid w:val="002C7C2D"/>
    <w:rsid w:val="002D12F6"/>
    <w:rsid w:val="002D4A86"/>
    <w:rsid w:val="002D7249"/>
    <w:rsid w:val="002E4C5B"/>
    <w:rsid w:val="002E5820"/>
    <w:rsid w:val="002E59E0"/>
    <w:rsid w:val="002E63D7"/>
    <w:rsid w:val="002E7CF9"/>
    <w:rsid w:val="002F1B47"/>
    <w:rsid w:val="002F4100"/>
    <w:rsid w:val="0030152E"/>
    <w:rsid w:val="00304632"/>
    <w:rsid w:val="00307463"/>
    <w:rsid w:val="003074A0"/>
    <w:rsid w:val="00311374"/>
    <w:rsid w:val="00314678"/>
    <w:rsid w:val="00315C01"/>
    <w:rsid w:val="00320CCA"/>
    <w:rsid w:val="00321A07"/>
    <w:rsid w:val="00323486"/>
    <w:rsid w:val="003234B5"/>
    <w:rsid w:val="00323735"/>
    <w:rsid w:val="003249D3"/>
    <w:rsid w:val="00324A0D"/>
    <w:rsid w:val="0032505A"/>
    <w:rsid w:val="003259B1"/>
    <w:rsid w:val="00325F3C"/>
    <w:rsid w:val="00326406"/>
    <w:rsid w:val="003268DE"/>
    <w:rsid w:val="00327154"/>
    <w:rsid w:val="003334BA"/>
    <w:rsid w:val="0033360A"/>
    <w:rsid w:val="003338D6"/>
    <w:rsid w:val="00333BEE"/>
    <w:rsid w:val="003350ED"/>
    <w:rsid w:val="00336510"/>
    <w:rsid w:val="003405DB"/>
    <w:rsid w:val="00340E29"/>
    <w:rsid w:val="00343EA3"/>
    <w:rsid w:val="003461DE"/>
    <w:rsid w:val="00351A15"/>
    <w:rsid w:val="003532FC"/>
    <w:rsid w:val="00354DC6"/>
    <w:rsid w:val="00355834"/>
    <w:rsid w:val="00355C98"/>
    <w:rsid w:val="00376D00"/>
    <w:rsid w:val="00381C41"/>
    <w:rsid w:val="0038214F"/>
    <w:rsid w:val="00382772"/>
    <w:rsid w:val="00382B20"/>
    <w:rsid w:val="00390B50"/>
    <w:rsid w:val="003932BE"/>
    <w:rsid w:val="00393341"/>
    <w:rsid w:val="00393AF1"/>
    <w:rsid w:val="00394882"/>
    <w:rsid w:val="0039502D"/>
    <w:rsid w:val="00395E64"/>
    <w:rsid w:val="00396022"/>
    <w:rsid w:val="003969DB"/>
    <w:rsid w:val="00396B54"/>
    <w:rsid w:val="003A064C"/>
    <w:rsid w:val="003A13BB"/>
    <w:rsid w:val="003A19DC"/>
    <w:rsid w:val="003A1FB5"/>
    <w:rsid w:val="003A289B"/>
    <w:rsid w:val="003A2F26"/>
    <w:rsid w:val="003A5F3A"/>
    <w:rsid w:val="003B0A6A"/>
    <w:rsid w:val="003B0C6D"/>
    <w:rsid w:val="003B2D45"/>
    <w:rsid w:val="003B61F2"/>
    <w:rsid w:val="003B7147"/>
    <w:rsid w:val="003C0539"/>
    <w:rsid w:val="003C2A81"/>
    <w:rsid w:val="003C3F26"/>
    <w:rsid w:val="003D08C4"/>
    <w:rsid w:val="003D0F23"/>
    <w:rsid w:val="003D3B44"/>
    <w:rsid w:val="003D5141"/>
    <w:rsid w:val="003D5F57"/>
    <w:rsid w:val="003D6EC5"/>
    <w:rsid w:val="003E7AC0"/>
    <w:rsid w:val="003F0327"/>
    <w:rsid w:val="003F2A3C"/>
    <w:rsid w:val="003F5C4D"/>
    <w:rsid w:val="003F5D2F"/>
    <w:rsid w:val="00400459"/>
    <w:rsid w:val="00400CF3"/>
    <w:rsid w:val="00401218"/>
    <w:rsid w:val="00403D13"/>
    <w:rsid w:val="004104A9"/>
    <w:rsid w:val="00410B79"/>
    <w:rsid w:val="004210F5"/>
    <w:rsid w:val="00424D15"/>
    <w:rsid w:val="00433AB1"/>
    <w:rsid w:val="00436D25"/>
    <w:rsid w:val="004423B6"/>
    <w:rsid w:val="00444789"/>
    <w:rsid w:val="00447856"/>
    <w:rsid w:val="004479FB"/>
    <w:rsid w:val="00447E28"/>
    <w:rsid w:val="00447FC1"/>
    <w:rsid w:val="0045295A"/>
    <w:rsid w:val="00453233"/>
    <w:rsid w:val="00453E6B"/>
    <w:rsid w:val="00453EBB"/>
    <w:rsid w:val="004613E9"/>
    <w:rsid w:val="0046301E"/>
    <w:rsid w:val="00464643"/>
    <w:rsid w:val="00465AA0"/>
    <w:rsid w:val="00465C3B"/>
    <w:rsid w:val="004661E0"/>
    <w:rsid w:val="00470836"/>
    <w:rsid w:val="00473838"/>
    <w:rsid w:val="004768F9"/>
    <w:rsid w:val="00480E95"/>
    <w:rsid w:val="00483C8A"/>
    <w:rsid w:val="0048736B"/>
    <w:rsid w:val="004927A0"/>
    <w:rsid w:val="00493151"/>
    <w:rsid w:val="004A14EE"/>
    <w:rsid w:val="004A1733"/>
    <w:rsid w:val="004A76D0"/>
    <w:rsid w:val="004B3CC7"/>
    <w:rsid w:val="004B46AB"/>
    <w:rsid w:val="004B48F8"/>
    <w:rsid w:val="004B4BA5"/>
    <w:rsid w:val="004C058F"/>
    <w:rsid w:val="004C0B59"/>
    <w:rsid w:val="004C5251"/>
    <w:rsid w:val="004C7810"/>
    <w:rsid w:val="004D1DD8"/>
    <w:rsid w:val="004D59E6"/>
    <w:rsid w:val="004E2B84"/>
    <w:rsid w:val="004E49E2"/>
    <w:rsid w:val="004E6423"/>
    <w:rsid w:val="004E655E"/>
    <w:rsid w:val="004E781B"/>
    <w:rsid w:val="004E7E89"/>
    <w:rsid w:val="004F01FE"/>
    <w:rsid w:val="004F2630"/>
    <w:rsid w:val="004F481B"/>
    <w:rsid w:val="00500402"/>
    <w:rsid w:val="00503ACC"/>
    <w:rsid w:val="005045C1"/>
    <w:rsid w:val="00504F18"/>
    <w:rsid w:val="0050631C"/>
    <w:rsid w:val="00507937"/>
    <w:rsid w:val="00514703"/>
    <w:rsid w:val="0051589C"/>
    <w:rsid w:val="005168A8"/>
    <w:rsid w:val="0052152B"/>
    <w:rsid w:val="00522FAF"/>
    <w:rsid w:val="00523153"/>
    <w:rsid w:val="005232E6"/>
    <w:rsid w:val="00523888"/>
    <w:rsid w:val="00523A6F"/>
    <w:rsid w:val="0052601E"/>
    <w:rsid w:val="00530535"/>
    <w:rsid w:val="00530573"/>
    <w:rsid w:val="00531739"/>
    <w:rsid w:val="00537A09"/>
    <w:rsid w:val="00541D28"/>
    <w:rsid w:val="00541F38"/>
    <w:rsid w:val="00542E7B"/>
    <w:rsid w:val="00543726"/>
    <w:rsid w:val="0054493B"/>
    <w:rsid w:val="00547264"/>
    <w:rsid w:val="005472F8"/>
    <w:rsid w:val="0055448F"/>
    <w:rsid w:val="0055685E"/>
    <w:rsid w:val="00557230"/>
    <w:rsid w:val="0055764E"/>
    <w:rsid w:val="00561DE3"/>
    <w:rsid w:val="0056464D"/>
    <w:rsid w:val="00565E92"/>
    <w:rsid w:val="005665CD"/>
    <w:rsid w:val="00566DA5"/>
    <w:rsid w:val="00567365"/>
    <w:rsid w:val="00571B3D"/>
    <w:rsid w:val="0057517C"/>
    <w:rsid w:val="00575AC2"/>
    <w:rsid w:val="00576BF0"/>
    <w:rsid w:val="00577164"/>
    <w:rsid w:val="00580277"/>
    <w:rsid w:val="00581903"/>
    <w:rsid w:val="0058358F"/>
    <w:rsid w:val="005848EA"/>
    <w:rsid w:val="00591B07"/>
    <w:rsid w:val="005A0D66"/>
    <w:rsid w:val="005A3047"/>
    <w:rsid w:val="005A46B2"/>
    <w:rsid w:val="005A5D2B"/>
    <w:rsid w:val="005B0EAF"/>
    <w:rsid w:val="005B6CE5"/>
    <w:rsid w:val="005B6EF7"/>
    <w:rsid w:val="005C229F"/>
    <w:rsid w:val="005C3278"/>
    <w:rsid w:val="005C481F"/>
    <w:rsid w:val="005C72FD"/>
    <w:rsid w:val="005D094A"/>
    <w:rsid w:val="005D190B"/>
    <w:rsid w:val="005D223F"/>
    <w:rsid w:val="005D6B0D"/>
    <w:rsid w:val="005E0678"/>
    <w:rsid w:val="005E29D7"/>
    <w:rsid w:val="005E4DB6"/>
    <w:rsid w:val="005E6A6A"/>
    <w:rsid w:val="005E7FFE"/>
    <w:rsid w:val="005F1788"/>
    <w:rsid w:val="005F4D27"/>
    <w:rsid w:val="005F7893"/>
    <w:rsid w:val="005F7A54"/>
    <w:rsid w:val="00600A97"/>
    <w:rsid w:val="00601513"/>
    <w:rsid w:val="00602B44"/>
    <w:rsid w:val="00604380"/>
    <w:rsid w:val="006047F6"/>
    <w:rsid w:val="0061185C"/>
    <w:rsid w:val="006159BB"/>
    <w:rsid w:val="00616278"/>
    <w:rsid w:val="00622701"/>
    <w:rsid w:val="00624890"/>
    <w:rsid w:val="00637CC9"/>
    <w:rsid w:val="00644E61"/>
    <w:rsid w:val="006455D4"/>
    <w:rsid w:val="0064764E"/>
    <w:rsid w:val="0065195F"/>
    <w:rsid w:val="00654073"/>
    <w:rsid w:val="006545E0"/>
    <w:rsid w:val="0066248F"/>
    <w:rsid w:val="00666FD5"/>
    <w:rsid w:val="00670FAA"/>
    <w:rsid w:val="0067204D"/>
    <w:rsid w:val="00672E99"/>
    <w:rsid w:val="0067635C"/>
    <w:rsid w:val="00676E6A"/>
    <w:rsid w:val="00677502"/>
    <w:rsid w:val="00677CA4"/>
    <w:rsid w:val="00677F9B"/>
    <w:rsid w:val="006801A1"/>
    <w:rsid w:val="006813CE"/>
    <w:rsid w:val="0068143B"/>
    <w:rsid w:val="00681D93"/>
    <w:rsid w:val="0068223F"/>
    <w:rsid w:val="00682FBA"/>
    <w:rsid w:val="0068513D"/>
    <w:rsid w:val="006865CB"/>
    <w:rsid w:val="00687FD6"/>
    <w:rsid w:val="006913FD"/>
    <w:rsid w:val="006A0700"/>
    <w:rsid w:val="006A09A4"/>
    <w:rsid w:val="006A107C"/>
    <w:rsid w:val="006A1CDF"/>
    <w:rsid w:val="006A42EE"/>
    <w:rsid w:val="006A7409"/>
    <w:rsid w:val="006A755C"/>
    <w:rsid w:val="006B4774"/>
    <w:rsid w:val="006B74B3"/>
    <w:rsid w:val="006B7781"/>
    <w:rsid w:val="006B7E20"/>
    <w:rsid w:val="006C23C0"/>
    <w:rsid w:val="006C4078"/>
    <w:rsid w:val="006D16BE"/>
    <w:rsid w:val="006D201B"/>
    <w:rsid w:val="006D259A"/>
    <w:rsid w:val="006D2EC1"/>
    <w:rsid w:val="006D4422"/>
    <w:rsid w:val="006D57CE"/>
    <w:rsid w:val="006E0E38"/>
    <w:rsid w:val="006E292E"/>
    <w:rsid w:val="006E46EB"/>
    <w:rsid w:val="006E679A"/>
    <w:rsid w:val="006F1775"/>
    <w:rsid w:val="006F3B45"/>
    <w:rsid w:val="006F5191"/>
    <w:rsid w:val="006F5594"/>
    <w:rsid w:val="006F635B"/>
    <w:rsid w:val="00701920"/>
    <w:rsid w:val="00704928"/>
    <w:rsid w:val="0070689A"/>
    <w:rsid w:val="007068F7"/>
    <w:rsid w:val="00706DEB"/>
    <w:rsid w:val="007114B7"/>
    <w:rsid w:val="00713B7E"/>
    <w:rsid w:val="007146BD"/>
    <w:rsid w:val="007156C9"/>
    <w:rsid w:val="0072012F"/>
    <w:rsid w:val="007205BF"/>
    <w:rsid w:val="0072174F"/>
    <w:rsid w:val="0073121C"/>
    <w:rsid w:val="00731733"/>
    <w:rsid w:val="007331D8"/>
    <w:rsid w:val="00733839"/>
    <w:rsid w:val="00733BE4"/>
    <w:rsid w:val="007345E3"/>
    <w:rsid w:val="007349C3"/>
    <w:rsid w:val="00734FD4"/>
    <w:rsid w:val="00735632"/>
    <w:rsid w:val="007372BE"/>
    <w:rsid w:val="0074234A"/>
    <w:rsid w:val="00742BFA"/>
    <w:rsid w:val="00746F2B"/>
    <w:rsid w:val="007510A0"/>
    <w:rsid w:val="00751C58"/>
    <w:rsid w:val="00753000"/>
    <w:rsid w:val="00753871"/>
    <w:rsid w:val="00757EBA"/>
    <w:rsid w:val="00762F70"/>
    <w:rsid w:val="00764020"/>
    <w:rsid w:val="00764F80"/>
    <w:rsid w:val="00765CA8"/>
    <w:rsid w:val="00766695"/>
    <w:rsid w:val="00772BB5"/>
    <w:rsid w:val="00777BF0"/>
    <w:rsid w:val="00781ABA"/>
    <w:rsid w:val="00793EB4"/>
    <w:rsid w:val="00794B14"/>
    <w:rsid w:val="0079536E"/>
    <w:rsid w:val="00795A77"/>
    <w:rsid w:val="00795B30"/>
    <w:rsid w:val="00795EC9"/>
    <w:rsid w:val="007A2690"/>
    <w:rsid w:val="007A3FB3"/>
    <w:rsid w:val="007A52F1"/>
    <w:rsid w:val="007B0B03"/>
    <w:rsid w:val="007B21AD"/>
    <w:rsid w:val="007B3C59"/>
    <w:rsid w:val="007B42DF"/>
    <w:rsid w:val="007B4366"/>
    <w:rsid w:val="007B50C9"/>
    <w:rsid w:val="007B62AE"/>
    <w:rsid w:val="007C0462"/>
    <w:rsid w:val="007C1586"/>
    <w:rsid w:val="007C754D"/>
    <w:rsid w:val="007D0E41"/>
    <w:rsid w:val="007D64E4"/>
    <w:rsid w:val="007E0DBA"/>
    <w:rsid w:val="007E1767"/>
    <w:rsid w:val="007E1855"/>
    <w:rsid w:val="007E1B89"/>
    <w:rsid w:val="007E20AC"/>
    <w:rsid w:val="007E276E"/>
    <w:rsid w:val="007E6547"/>
    <w:rsid w:val="007E688A"/>
    <w:rsid w:val="007F1843"/>
    <w:rsid w:val="007F2718"/>
    <w:rsid w:val="007F7C58"/>
    <w:rsid w:val="0080340A"/>
    <w:rsid w:val="00813256"/>
    <w:rsid w:val="008136E8"/>
    <w:rsid w:val="008137D3"/>
    <w:rsid w:val="00817A3A"/>
    <w:rsid w:val="00817FAC"/>
    <w:rsid w:val="00824518"/>
    <w:rsid w:val="00826C21"/>
    <w:rsid w:val="0083323D"/>
    <w:rsid w:val="00834738"/>
    <w:rsid w:val="0083519A"/>
    <w:rsid w:val="00837051"/>
    <w:rsid w:val="008373C6"/>
    <w:rsid w:val="00837F1F"/>
    <w:rsid w:val="0084276B"/>
    <w:rsid w:val="008448B2"/>
    <w:rsid w:val="0084505D"/>
    <w:rsid w:val="008477B2"/>
    <w:rsid w:val="00847BEC"/>
    <w:rsid w:val="00851F27"/>
    <w:rsid w:val="00857061"/>
    <w:rsid w:val="008572C5"/>
    <w:rsid w:val="008574E8"/>
    <w:rsid w:val="008654FC"/>
    <w:rsid w:val="00865712"/>
    <w:rsid w:val="00866BA0"/>
    <w:rsid w:val="00867485"/>
    <w:rsid w:val="008701BD"/>
    <w:rsid w:val="008752DF"/>
    <w:rsid w:val="00876981"/>
    <w:rsid w:val="00876F64"/>
    <w:rsid w:val="00880256"/>
    <w:rsid w:val="008829EA"/>
    <w:rsid w:val="00882F9D"/>
    <w:rsid w:val="00887060"/>
    <w:rsid w:val="00891C8C"/>
    <w:rsid w:val="00892C80"/>
    <w:rsid w:val="00893790"/>
    <w:rsid w:val="00893A25"/>
    <w:rsid w:val="008957C8"/>
    <w:rsid w:val="008A06FA"/>
    <w:rsid w:val="008A191C"/>
    <w:rsid w:val="008A30D7"/>
    <w:rsid w:val="008A3330"/>
    <w:rsid w:val="008A40E8"/>
    <w:rsid w:val="008A5A60"/>
    <w:rsid w:val="008A757D"/>
    <w:rsid w:val="008A7987"/>
    <w:rsid w:val="008A7ED9"/>
    <w:rsid w:val="008B1581"/>
    <w:rsid w:val="008B7155"/>
    <w:rsid w:val="008B7A19"/>
    <w:rsid w:val="008B7AD4"/>
    <w:rsid w:val="008C11E1"/>
    <w:rsid w:val="008C17E6"/>
    <w:rsid w:val="008C2CB9"/>
    <w:rsid w:val="008C2F88"/>
    <w:rsid w:val="008C4F20"/>
    <w:rsid w:val="008C5E3E"/>
    <w:rsid w:val="008C723E"/>
    <w:rsid w:val="008C7403"/>
    <w:rsid w:val="008E0F51"/>
    <w:rsid w:val="008E172F"/>
    <w:rsid w:val="008E1B6C"/>
    <w:rsid w:val="008E32F4"/>
    <w:rsid w:val="008E3302"/>
    <w:rsid w:val="008E3C1D"/>
    <w:rsid w:val="008E6DA4"/>
    <w:rsid w:val="008F709A"/>
    <w:rsid w:val="0090349B"/>
    <w:rsid w:val="009038B0"/>
    <w:rsid w:val="009045C3"/>
    <w:rsid w:val="00905BF3"/>
    <w:rsid w:val="009132A9"/>
    <w:rsid w:val="00913D3F"/>
    <w:rsid w:val="00913D83"/>
    <w:rsid w:val="009140A2"/>
    <w:rsid w:val="0091441A"/>
    <w:rsid w:val="00914B20"/>
    <w:rsid w:val="009225CA"/>
    <w:rsid w:val="009229FC"/>
    <w:rsid w:val="00923795"/>
    <w:rsid w:val="0092620F"/>
    <w:rsid w:val="00930703"/>
    <w:rsid w:val="00930FA1"/>
    <w:rsid w:val="00931B6B"/>
    <w:rsid w:val="009339BC"/>
    <w:rsid w:val="0093491C"/>
    <w:rsid w:val="009353B0"/>
    <w:rsid w:val="009429F7"/>
    <w:rsid w:val="00942A94"/>
    <w:rsid w:val="0094477F"/>
    <w:rsid w:val="00946571"/>
    <w:rsid w:val="00947B81"/>
    <w:rsid w:val="0095151F"/>
    <w:rsid w:val="00952774"/>
    <w:rsid w:val="009533B9"/>
    <w:rsid w:val="00954C40"/>
    <w:rsid w:val="00954FDC"/>
    <w:rsid w:val="009557BC"/>
    <w:rsid w:val="009572A3"/>
    <w:rsid w:val="0095769F"/>
    <w:rsid w:val="00960B4C"/>
    <w:rsid w:val="00961EF5"/>
    <w:rsid w:val="00962515"/>
    <w:rsid w:val="0096294F"/>
    <w:rsid w:val="0097148F"/>
    <w:rsid w:val="00972C3D"/>
    <w:rsid w:val="00974818"/>
    <w:rsid w:val="00983DD6"/>
    <w:rsid w:val="00985AF4"/>
    <w:rsid w:val="0099172B"/>
    <w:rsid w:val="00997EDD"/>
    <w:rsid w:val="009A04A5"/>
    <w:rsid w:val="009A1F42"/>
    <w:rsid w:val="009A2347"/>
    <w:rsid w:val="009A344D"/>
    <w:rsid w:val="009A4B20"/>
    <w:rsid w:val="009C3211"/>
    <w:rsid w:val="009C3A8D"/>
    <w:rsid w:val="009C3D2D"/>
    <w:rsid w:val="009C41DA"/>
    <w:rsid w:val="009C4C39"/>
    <w:rsid w:val="009D1E19"/>
    <w:rsid w:val="009D3248"/>
    <w:rsid w:val="009D4BC8"/>
    <w:rsid w:val="009D509A"/>
    <w:rsid w:val="009E0457"/>
    <w:rsid w:val="009E7987"/>
    <w:rsid w:val="009F3783"/>
    <w:rsid w:val="009F5421"/>
    <w:rsid w:val="009F5EE8"/>
    <w:rsid w:val="009F7453"/>
    <w:rsid w:val="00A00419"/>
    <w:rsid w:val="00A02D8F"/>
    <w:rsid w:val="00A033A9"/>
    <w:rsid w:val="00A05D68"/>
    <w:rsid w:val="00A071D9"/>
    <w:rsid w:val="00A07BCF"/>
    <w:rsid w:val="00A07DC9"/>
    <w:rsid w:val="00A13CE4"/>
    <w:rsid w:val="00A15851"/>
    <w:rsid w:val="00A15A23"/>
    <w:rsid w:val="00A15D18"/>
    <w:rsid w:val="00A160CE"/>
    <w:rsid w:val="00A27EAD"/>
    <w:rsid w:val="00A34372"/>
    <w:rsid w:val="00A37281"/>
    <w:rsid w:val="00A4142A"/>
    <w:rsid w:val="00A41F69"/>
    <w:rsid w:val="00A4253D"/>
    <w:rsid w:val="00A42FCA"/>
    <w:rsid w:val="00A462D2"/>
    <w:rsid w:val="00A50479"/>
    <w:rsid w:val="00A50D7E"/>
    <w:rsid w:val="00A5181D"/>
    <w:rsid w:val="00A6127E"/>
    <w:rsid w:val="00A61F6D"/>
    <w:rsid w:val="00A62971"/>
    <w:rsid w:val="00A65D8C"/>
    <w:rsid w:val="00A701C4"/>
    <w:rsid w:val="00A70AFC"/>
    <w:rsid w:val="00A73275"/>
    <w:rsid w:val="00A7343A"/>
    <w:rsid w:val="00A7591D"/>
    <w:rsid w:val="00A76C42"/>
    <w:rsid w:val="00A7718C"/>
    <w:rsid w:val="00A77AA9"/>
    <w:rsid w:val="00A807C0"/>
    <w:rsid w:val="00A813CD"/>
    <w:rsid w:val="00A817BE"/>
    <w:rsid w:val="00A85DD2"/>
    <w:rsid w:val="00A86B01"/>
    <w:rsid w:val="00A91265"/>
    <w:rsid w:val="00A916B8"/>
    <w:rsid w:val="00A92255"/>
    <w:rsid w:val="00A93240"/>
    <w:rsid w:val="00A9486C"/>
    <w:rsid w:val="00A95BBB"/>
    <w:rsid w:val="00A97609"/>
    <w:rsid w:val="00A979E0"/>
    <w:rsid w:val="00AA1754"/>
    <w:rsid w:val="00AA1DEB"/>
    <w:rsid w:val="00AA660F"/>
    <w:rsid w:val="00AA76AA"/>
    <w:rsid w:val="00AA7C23"/>
    <w:rsid w:val="00AB0456"/>
    <w:rsid w:val="00AB27CA"/>
    <w:rsid w:val="00AC537D"/>
    <w:rsid w:val="00AD0CFB"/>
    <w:rsid w:val="00AD446E"/>
    <w:rsid w:val="00AD45B4"/>
    <w:rsid w:val="00AD4F47"/>
    <w:rsid w:val="00AD553F"/>
    <w:rsid w:val="00AD5640"/>
    <w:rsid w:val="00AD574B"/>
    <w:rsid w:val="00AE1444"/>
    <w:rsid w:val="00AE36C4"/>
    <w:rsid w:val="00AE7133"/>
    <w:rsid w:val="00AF215C"/>
    <w:rsid w:val="00AF5006"/>
    <w:rsid w:val="00AF5037"/>
    <w:rsid w:val="00AF57E1"/>
    <w:rsid w:val="00B01021"/>
    <w:rsid w:val="00B03056"/>
    <w:rsid w:val="00B11A27"/>
    <w:rsid w:val="00B12D3F"/>
    <w:rsid w:val="00B145F7"/>
    <w:rsid w:val="00B204A4"/>
    <w:rsid w:val="00B216BC"/>
    <w:rsid w:val="00B22AA5"/>
    <w:rsid w:val="00B22E3B"/>
    <w:rsid w:val="00B2428E"/>
    <w:rsid w:val="00B31E10"/>
    <w:rsid w:val="00B34F9B"/>
    <w:rsid w:val="00B36961"/>
    <w:rsid w:val="00B40F8B"/>
    <w:rsid w:val="00B417D5"/>
    <w:rsid w:val="00B41EB8"/>
    <w:rsid w:val="00B4227E"/>
    <w:rsid w:val="00B45AD0"/>
    <w:rsid w:val="00B47855"/>
    <w:rsid w:val="00B500E0"/>
    <w:rsid w:val="00B515BB"/>
    <w:rsid w:val="00B60A6B"/>
    <w:rsid w:val="00B619B0"/>
    <w:rsid w:val="00B67EC0"/>
    <w:rsid w:val="00B7191B"/>
    <w:rsid w:val="00B755E1"/>
    <w:rsid w:val="00B755F9"/>
    <w:rsid w:val="00B8181E"/>
    <w:rsid w:val="00B82947"/>
    <w:rsid w:val="00B82EDE"/>
    <w:rsid w:val="00B82FCB"/>
    <w:rsid w:val="00B90D9F"/>
    <w:rsid w:val="00B9311C"/>
    <w:rsid w:val="00BA04CB"/>
    <w:rsid w:val="00BA424E"/>
    <w:rsid w:val="00BA5451"/>
    <w:rsid w:val="00BB007B"/>
    <w:rsid w:val="00BB3F31"/>
    <w:rsid w:val="00BB4E6A"/>
    <w:rsid w:val="00BB5594"/>
    <w:rsid w:val="00BB5F23"/>
    <w:rsid w:val="00BE038F"/>
    <w:rsid w:val="00BE157D"/>
    <w:rsid w:val="00BE329D"/>
    <w:rsid w:val="00BE740A"/>
    <w:rsid w:val="00BF4EB0"/>
    <w:rsid w:val="00BF76CE"/>
    <w:rsid w:val="00C00F06"/>
    <w:rsid w:val="00C027D7"/>
    <w:rsid w:val="00C0620D"/>
    <w:rsid w:val="00C10D99"/>
    <w:rsid w:val="00C146B5"/>
    <w:rsid w:val="00C174B9"/>
    <w:rsid w:val="00C20DD6"/>
    <w:rsid w:val="00C22F2B"/>
    <w:rsid w:val="00C2470B"/>
    <w:rsid w:val="00C2786F"/>
    <w:rsid w:val="00C33736"/>
    <w:rsid w:val="00C35AD3"/>
    <w:rsid w:val="00C36271"/>
    <w:rsid w:val="00C36633"/>
    <w:rsid w:val="00C414E6"/>
    <w:rsid w:val="00C468E5"/>
    <w:rsid w:val="00C46C36"/>
    <w:rsid w:val="00C50A88"/>
    <w:rsid w:val="00C55C60"/>
    <w:rsid w:val="00C64A3F"/>
    <w:rsid w:val="00C6546D"/>
    <w:rsid w:val="00C67EDF"/>
    <w:rsid w:val="00C71A72"/>
    <w:rsid w:val="00C73A8D"/>
    <w:rsid w:val="00C7405D"/>
    <w:rsid w:val="00C75B99"/>
    <w:rsid w:val="00C75C25"/>
    <w:rsid w:val="00C765B3"/>
    <w:rsid w:val="00C7743B"/>
    <w:rsid w:val="00C80177"/>
    <w:rsid w:val="00C80957"/>
    <w:rsid w:val="00C82852"/>
    <w:rsid w:val="00C855FA"/>
    <w:rsid w:val="00C86A45"/>
    <w:rsid w:val="00C9016B"/>
    <w:rsid w:val="00C904D3"/>
    <w:rsid w:val="00C90AE5"/>
    <w:rsid w:val="00C90F96"/>
    <w:rsid w:val="00C9269F"/>
    <w:rsid w:val="00C94099"/>
    <w:rsid w:val="00C95999"/>
    <w:rsid w:val="00CA0D26"/>
    <w:rsid w:val="00CA2BC6"/>
    <w:rsid w:val="00CA5A56"/>
    <w:rsid w:val="00CA6CF7"/>
    <w:rsid w:val="00CA7A87"/>
    <w:rsid w:val="00CB2F38"/>
    <w:rsid w:val="00CB6AE1"/>
    <w:rsid w:val="00CB7E52"/>
    <w:rsid w:val="00CC0620"/>
    <w:rsid w:val="00CC159C"/>
    <w:rsid w:val="00CC24E6"/>
    <w:rsid w:val="00CC3D60"/>
    <w:rsid w:val="00CC4D21"/>
    <w:rsid w:val="00CC506F"/>
    <w:rsid w:val="00CC557F"/>
    <w:rsid w:val="00CC5922"/>
    <w:rsid w:val="00CC6DE6"/>
    <w:rsid w:val="00CC6ECD"/>
    <w:rsid w:val="00CD007C"/>
    <w:rsid w:val="00CD00EA"/>
    <w:rsid w:val="00CD07EE"/>
    <w:rsid w:val="00CD275C"/>
    <w:rsid w:val="00CE2FCC"/>
    <w:rsid w:val="00CF39AB"/>
    <w:rsid w:val="00CF6533"/>
    <w:rsid w:val="00CF7407"/>
    <w:rsid w:val="00D016C5"/>
    <w:rsid w:val="00D01A59"/>
    <w:rsid w:val="00D0247B"/>
    <w:rsid w:val="00D0285E"/>
    <w:rsid w:val="00D03E18"/>
    <w:rsid w:val="00D071DD"/>
    <w:rsid w:val="00D077C2"/>
    <w:rsid w:val="00D1339C"/>
    <w:rsid w:val="00D172C6"/>
    <w:rsid w:val="00D2411F"/>
    <w:rsid w:val="00D2442F"/>
    <w:rsid w:val="00D24BFD"/>
    <w:rsid w:val="00D24FBF"/>
    <w:rsid w:val="00D2605E"/>
    <w:rsid w:val="00D26A1F"/>
    <w:rsid w:val="00D3574C"/>
    <w:rsid w:val="00D35EED"/>
    <w:rsid w:val="00D36B6C"/>
    <w:rsid w:val="00D43242"/>
    <w:rsid w:val="00D450E6"/>
    <w:rsid w:val="00D4574F"/>
    <w:rsid w:val="00D45A94"/>
    <w:rsid w:val="00D5158C"/>
    <w:rsid w:val="00D5225C"/>
    <w:rsid w:val="00D53493"/>
    <w:rsid w:val="00D54327"/>
    <w:rsid w:val="00D54609"/>
    <w:rsid w:val="00D54CC0"/>
    <w:rsid w:val="00D54CF4"/>
    <w:rsid w:val="00D571D4"/>
    <w:rsid w:val="00D6027E"/>
    <w:rsid w:val="00D626B7"/>
    <w:rsid w:val="00D65F18"/>
    <w:rsid w:val="00D667B6"/>
    <w:rsid w:val="00D70748"/>
    <w:rsid w:val="00D7120F"/>
    <w:rsid w:val="00D778A9"/>
    <w:rsid w:val="00D82E11"/>
    <w:rsid w:val="00D859D4"/>
    <w:rsid w:val="00D86140"/>
    <w:rsid w:val="00D96331"/>
    <w:rsid w:val="00D9757F"/>
    <w:rsid w:val="00D976F9"/>
    <w:rsid w:val="00DA2787"/>
    <w:rsid w:val="00DA4043"/>
    <w:rsid w:val="00DA541E"/>
    <w:rsid w:val="00DB03CE"/>
    <w:rsid w:val="00DB16A8"/>
    <w:rsid w:val="00DB1D06"/>
    <w:rsid w:val="00DB221D"/>
    <w:rsid w:val="00DB2B33"/>
    <w:rsid w:val="00DC2F70"/>
    <w:rsid w:val="00DC556B"/>
    <w:rsid w:val="00DC726C"/>
    <w:rsid w:val="00DD64D8"/>
    <w:rsid w:val="00DE5855"/>
    <w:rsid w:val="00DF0C23"/>
    <w:rsid w:val="00DF1A1C"/>
    <w:rsid w:val="00DF5EF0"/>
    <w:rsid w:val="00DF75D2"/>
    <w:rsid w:val="00E00BE9"/>
    <w:rsid w:val="00E0233F"/>
    <w:rsid w:val="00E02F10"/>
    <w:rsid w:val="00E10480"/>
    <w:rsid w:val="00E10677"/>
    <w:rsid w:val="00E11396"/>
    <w:rsid w:val="00E1145F"/>
    <w:rsid w:val="00E1257D"/>
    <w:rsid w:val="00E14B7D"/>
    <w:rsid w:val="00E1586C"/>
    <w:rsid w:val="00E22B01"/>
    <w:rsid w:val="00E23E05"/>
    <w:rsid w:val="00E269F6"/>
    <w:rsid w:val="00E3055E"/>
    <w:rsid w:val="00E322E6"/>
    <w:rsid w:val="00E32519"/>
    <w:rsid w:val="00E329F9"/>
    <w:rsid w:val="00E334E2"/>
    <w:rsid w:val="00E3391C"/>
    <w:rsid w:val="00E37480"/>
    <w:rsid w:val="00E374F2"/>
    <w:rsid w:val="00E378AB"/>
    <w:rsid w:val="00E41129"/>
    <w:rsid w:val="00E42C91"/>
    <w:rsid w:val="00E45927"/>
    <w:rsid w:val="00E46658"/>
    <w:rsid w:val="00E476E7"/>
    <w:rsid w:val="00E53B08"/>
    <w:rsid w:val="00E5465A"/>
    <w:rsid w:val="00E56EE0"/>
    <w:rsid w:val="00E57CAA"/>
    <w:rsid w:val="00E62793"/>
    <w:rsid w:val="00E709AC"/>
    <w:rsid w:val="00E71931"/>
    <w:rsid w:val="00E72D4A"/>
    <w:rsid w:val="00E73AB4"/>
    <w:rsid w:val="00E764C7"/>
    <w:rsid w:val="00E76A80"/>
    <w:rsid w:val="00E80178"/>
    <w:rsid w:val="00E830AD"/>
    <w:rsid w:val="00E84268"/>
    <w:rsid w:val="00E92E34"/>
    <w:rsid w:val="00E95220"/>
    <w:rsid w:val="00E96871"/>
    <w:rsid w:val="00EA077A"/>
    <w:rsid w:val="00EA59C7"/>
    <w:rsid w:val="00EB0A59"/>
    <w:rsid w:val="00EB28FB"/>
    <w:rsid w:val="00EB2A47"/>
    <w:rsid w:val="00EB3C11"/>
    <w:rsid w:val="00EB4D37"/>
    <w:rsid w:val="00EB4FB0"/>
    <w:rsid w:val="00EC2A12"/>
    <w:rsid w:val="00EC39FB"/>
    <w:rsid w:val="00EC4B02"/>
    <w:rsid w:val="00EC4B97"/>
    <w:rsid w:val="00EC5D3F"/>
    <w:rsid w:val="00ED05BC"/>
    <w:rsid w:val="00ED18A5"/>
    <w:rsid w:val="00ED18F1"/>
    <w:rsid w:val="00ED55C1"/>
    <w:rsid w:val="00ED679D"/>
    <w:rsid w:val="00EE1995"/>
    <w:rsid w:val="00EE2698"/>
    <w:rsid w:val="00EE416E"/>
    <w:rsid w:val="00EE7419"/>
    <w:rsid w:val="00EF05E7"/>
    <w:rsid w:val="00EF0842"/>
    <w:rsid w:val="00EF1AD1"/>
    <w:rsid w:val="00EF1B7C"/>
    <w:rsid w:val="00EF7A13"/>
    <w:rsid w:val="00F06C65"/>
    <w:rsid w:val="00F07A71"/>
    <w:rsid w:val="00F10534"/>
    <w:rsid w:val="00F11DB1"/>
    <w:rsid w:val="00F12C4B"/>
    <w:rsid w:val="00F132C7"/>
    <w:rsid w:val="00F13B27"/>
    <w:rsid w:val="00F15BDB"/>
    <w:rsid w:val="00F16FD2"/>
    <w:rsid w:val="00F22216"/>
    <w:rsid w:val="00F230E7"/>
    <w:rsid w:val="00F23A11"/>
    <w:rsid w:val="00F24613"/>
    <w:rsid w:val="00F27374"/>
    <w:rsid w:val="00F27C8D"/>
    <w:rsid w:val="00F301CA"/>
    <w:rsid w:val="00F37464"/>
    <w:rsid w:val="00F401D0"/>
    <w:rsid w:val="00F44179"/>
    <w:rsid w:val="00F44DA2"/>
    <w:rsid w:val="00F5033E"/>
    <w:rsid w:val="00F5258A"/>
    <w:rsid w:val="00F5264D"/>
    <w:rsid w:val="00F53B24"/>
    <w:rsid w:val="00F53C7F"/>
    <w:rsid w:val="00F54DDD"/>
    <w:rsid w:val="00F550A4"/>
    <w:rsid w:val="00F562B6"/>
    <w:rsid w:val="00F57C81"/>
    <w:rsid w:val="00F6127E"/>
    <w:rsid w:val="00F61D1A"/>
    <w:rsid w:val="00F625B7"/>
    <w:rsid w:val="00F64C50"/>
    <w:rsid w:val="00F66C71"/>
    <w:rsid w:val="00F67169"/>
    <w:rsid w:val="00F71B10"/>
    <w:rsid w:val="00F834C7"/>
    <w:rsid w:val="00F85BD2"/>
    <w:rsid w:val="00F87381"/>
    <w:rsid w:val="00F932A2"/>
    <w:rsid w:val="00F94B7F"/>
    <w:rsid w:val="00F96568"/>
    <w:rsid w:val="00F97072"/>
    <w:rsid w:val="00F975F6"/>
    <w:rsid w:val="00FA3445"/>
    <w:rsid w:val="00FA4763"/>
    <w:rsid w:val="00FA5A24"/>
    <w:rsid w:val="00FB03BD"/>
    <w:rsid w:val="00FB21D7"/>
    <w:rsid w:val="00FB2E87"/>
    <w:rsid w:val="00FB4B45"/>
    <w:rsid w:val="00FB58E9"/>
    <w:rsid w:val="00FB79D4"/>
    <w:rsid w:val="00FC1286"/>
    <w:rsid w:val="00FC15F9"/>
    <w:rsid w:val="00FC2F1E"/>
    <w:rsid w:val="00FC3D89"/>
    <w:rsid w:val="00FC49C6"/>
    <w:rsid w:val="00FD0300"/>
    <w:rsid w:val="00FD2885"/>
    <w:rsid w:val="00FD5292"/>
    <w:rsid w:val="00FD5D6E"/>
    <w:rsid w:val="00FE05EB"/>
    <w:rsid w:val="00FE0600"/>
    <w:rsid w:val="00FE1DD7"/>
    <w:rsid w:val="00FE319C"/>
    <w:rsid w:val="00FE4121"/>
    <w:rsid w:val="00FE4361"/>
    <w:rsid w:val="00FE6579"/>
    <w:rsid w:val="00FF06E1"/>
    <w:rsid w:val="00FF3423"/>
    <w:rsid w:val="00FF3910"/>
    <w:rsid w:val="00FF5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88A"/>
    <w:rPr>
      <w:color w:val="0563C1" w:themeColor="hyperlink"/>
      <w:u w:val="single"/>
    </w:rPr>
  </w:style>
  <w:style w:type="character" w:customStyle="1" w:styleId="UnresolvedMention1">
    <w:name w:val="Unresolved Mention1"/>
    <w:basedOn w:val="DefaultParagraphFont"/>
    <w:uiPriority w:val="99"/>
    <w:semiHidden/>
    <w:unhideWhenUsed/>
    <w:rsid w:val="007E688A"/>
    <w:rPr>
      <w:color w:val="605E5C"/>
      <w:shd w:val="clear" w:color="auto" w:fill="E1DFDD"/>
    </w:rPr>
  </w:style>
  <w:style w:type="paragraph" w:styleId="Header">
    <w:name w:val="header"/>
    <w:basedOn w:val="Normal"/>
    <w:link w:val="HeaderChar"/>
    <w:uiPriority w:val="99"/>
    <w:unhideWhenUsed/>
    <w:rsid w:val="007E688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E688A"/>
  </w:style>
  <w:style w:type="paragraph" w:styleId="Footer">
    <w:name w:val="footer"/>
    <w:basedOn w:val="Normal"/>
    <w:link w:val="FooterChar"/>
    <w:uiPriority w:val="99"/>
    <w:unhideWhenUsed/>
    <w:rsid w:val="007E688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E688A"/>
  </w:style>
  <w:style w:type="character" w:styleId="PageNumber">
    <w:name w:val="page number"/>
    <w:basedOn w:val="DefaultParagraphFont"/>
    <w:uiPriority w:val="99"/>
    <w:semiHidden/>
    <w:unhideWhenUsed/>
    <w:rsid w:val="0095769F"/>
  </w:style>
  <w:style w:type="paragraph" w:styleId="Bibliography">
    <w:name w:val="Bibliography"/>
    <w:basedOn w:val="Normal"/>
    <w:next w:val="Normal"/>
    <w:uiPriority w:val="37"/>
    <w:unhideWhenUsed/>
    <w:rsid w:val="00FB79D4"/>
    <w:pPr>
      <w:tabs>
        <w:tab w:val="left" w:pos="380"/>
      </w:tabs>
      <w:spacing w:after="240"/>
      <w:ind w:left="384" w:hanging="384"/>
    </w:pPr>
    <w:rPr>
      <w:rFonts w:asciiTheme="minorHAnsi" w:eastAsiaTheme="minorHAnsi" w:hAnsiTheme="minorHAnsi" w:cstheme="minorBidi"/>
    </w:rPr>
  </w:style>
  <w:style w:type="table" w:styleId="TableGrid">
    <w:name w:val="Table Grid"/>
    <w:basedOn w:val="TableNormal"/>
    <w:uiPriority w:val="39"/>
    <w:rsid w:val="0031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C0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D5141"/>
    <w:rPr>
      <w:sz w:val="18"/>
      <w:szCs w:val="18"/>
    </w:rPr>
  </w:style>
  <w:style w:type="character" w:customStyle="1" w:styleId="BalloonTextChar">
    <w:name w:val="Balloon Text Char"/>
    <w:basedOn w:val="DefaultParagraphFont"/>
    <w:link w:val="BalloonText"/>
    <w:uiPriority w:val="99"/>
    <w:semiHidden/>
    <w:rsid w:val="003D5141"/>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1C6EDA"/>
  </w:style>
  <w:style w:type="character" w:styleId="CommentReference">
    <w:name w:val="annotation reference"/>
    <w:basedOn w:val="DefaultParagraphFont"/>
    <w:uiPriority w:val="99"/>
    <w:semiHidden/>
    <w:unhideWhenUsed/>
    <w:rsid w:val="00D3574C"/>
    <w:rPr>
      <w:sz w:val="16"/>
      <w:szCs w:val="16"/>
    </w:rPr>
  </w:style>
  <w:style w:type="paragraph" w:styleId="CommentText">
    <w:name w:val="annotation text"/>
    <w:basedOn w:val="Normal"/>
    <w:link w:val="CommentTextChar"/>
    <w:uiPriority w:val="99"/>
    <w:unhideWhenUsed/>
    <w:rsid w:val="00D3574C"/>
    <w:rPr>
      <w:sz w:val="20"/>
      <w:szCs w:val="20"/>
    </w:rPr>
  </w:style>
  <w:style w:type="character" w:customStyle="1" w:styleId="CommentTextChar">
    <w:name w:val="Comment Text Char"/>
    <w:basedOn w:val="DefaultParagraphFont"/>
    <w:link w:val="CommentText"/>
    <w:uiPriority w:val="99"/>
    <w:rsid w:val="00D357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74C"/>
    <w:rPr>
      <w:b/>
      <w:bCs/>
    </w:rPr>
  </w:style>
  <w:style w:type="character" w:customStyle="1" w:styleId="CommentSubjectChar">
    <w:name w:val="Comment Subject Char"/>
    <w:basedOn w:val="CommentTextChar"/>
    <w:link w:val="CommentSubject"/>
    <w:uiPriority w:val="99"/>
    <w:semiHidden/>
    <w:rsid w:val="00D357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54C40"/>
    <w:rPr>
      <w:color w:val="954F72" w:themeColor="followedHyperlink"/>
      <w:u w:val="single"/>
    </w:rPr>
  </w:style>
  <w:style w:type="character" w:customStyle="1" w:styleId="UnresolvedMention">
    <w:name w:val="Unresolved Mention"/>
    <w:basedOn w:val="DefaultParagraphFont"/>
    <w:uiPriority w:val="99"/>
    <w:semiHidden/>
    <w:unhideWhenUsed/>
    <w:rsid w:val="00A41F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4265651">
      <w:bodyDiv w:val="1"/>
      <w:marLeft w:val="0"/>
      <w:marRight w:val="0"/>
      <w:marTop w:val="0"/>
      <w:marBottom w:val="0"/>
      <w:divBdr>
        <w:top w:val="none" w:sz="0" w:space="0" w:color="auto"/>
        <w:left w:val="none" w:sz="0" w:space="0" w:color="auto"/>
        <w:bottom w:val="none" w:sz="0" w:space="0" w:color="auto"/>
        <w:right w:val="none" w:sz="0" w:space="0" w:color="auto"/>
      </w:divBdr>
    </w:div>
    <w:div w:id="1569488770">
      <w:bodyDiv w:val="1"/>
      <w:marLeft w:val="0"/>
      <w:marRight w:val="0"/>
      <w:marTop w:val="0"/>
      <w:marBottom w:val="0"/>
      <w:divBdr>
        <w:top w:val="none" w:sz="0" w:space="0" w:color="auto"/>
        <w:left w:val="none" w:sz="0" w:space="0" w:color="auto"/>
        <w:bottom w:val="none" w:sz="0" w:space="0" w:color="auto"/>
        <w:right w:val="none" w:sz="0" w:space="0" w:color="auto"/>
      </w:divBdr>
    </w:div>
    <w:div w:id="1595745602">
      <w:bodyDiv w:val="1"/>
      <w:marLeft w:val="0"/>
      <w:marRight w:val="0"/>
      <w:marTop w:val="0"/>
      <w:marBottom w:val="0"/>
      <w:divBdr>
        <w:top w:val="none" w:sz="0" w:space="0" w:color="auto"/>
        <w:left w:val="none" w:sz="0" w:space="0" w:color="auto"/>
        <w:bottom w:val="none" w:sz="0" w:space="0" w:color="auto"/>
        <w:right w:val="none" w:sz="0" w:space="0" w:color="auto"/>
      </w:divBdr>
    </w:div>
    <w:div w:id="1881748728">
      <w:bodyDiv w:val="1"/>
      <w:marLeft w:val="0"/>
      <w:marRight w:val="0"/>
      <w:marTop w:val="0"/>
      <w:marBottom w:val="0"/>
      <w:divBdr>
        <w:top w:val="none" w:sz="0" w:space="0" w:color="auto"/>
        <w:left w:val="none" w:sz="0" w:space="0" w:color="auto"/>
        <w:bottom w:val="none" w:sz="0" w:space="0" w:color="auto"/>
        <w:right w:val="none" w:sz="0" w:space="0" w:color="auto"/>
      </w:divBdr>
    </w:div>
    <w:div w:id="1889342276">
      <w:bodyDiv w:val="1"/>
      <w:marLeft w:val="0"/>
      <w:marRight w:val="0"/>
      <w:marTop w:val="0"/>
      <w:marBottom w:val="0"/>
      <w:divBdr>
        <w:top w:val="none" w:sz="0" w:space="0" w:color="auto"/>
        <w:left w:val="none" w:sz="0" w:space="0" w:color="auto"/>
        <w:bottom w:val="none" w:sz="0" w:space="0" w:color="auto"/>
        <w:right w:val="none" w:sz="0" w:space="0" w:color="auto"/>
      </w:divBdr>
    </w:div>
    <w:div w:id="2052730973">
      <w:bodyDiv w:val="1"/>
      <w:marLeft w:val="0"/>
      <w:marRight w:val="0"/>
      <w:marTop w:val="0"/>
      <w:marBottom w:val="0"/>
      <w:divBdr>
        <w:top w:val="none" w:sz="0" w:space="0" w:color="auto"/>
        <w:left w:val="none" w:sz="0" w:space="0" w:color="auto"/>
        <w:bottom w:val="none" w:sz="0" w:space="0" w:color="auto"/>
        <w:right w:val="none" w:sz="0" w:space="0" w:color="auto"/>
      </w:divBdr>
    </w:div>
    <w:div w:id="21175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7</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Goyal</dc:creator>
  <cp:keywords/>
  <dc:description/>
  <cp:lastModifiedBy>MAC007384</cp:lastModifiedBy>
  <cp:revision>168</cp:revision>
  <cp:lastPrinted>2020-03-31T13:06:00Z</cp:lastPrinted>
  <dcterms:created xsi:type="dcterms:W3CDTF">2020-04-16T18:45:00Z</dcterms:created>
  <dcterms:modified xsi:type="dcterms:W3CDTF">2020-09-15T16:05:00Z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id="d0Uov4zB"/&gt;&lt;style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 name="dontAskDelayCitationUpdates" value="true"/&gt;&lt;/prefs&gt;&lt;/data&gt;</vt:lpwstr>
  </property>
</Properties>
</file>