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7393D" w:rsidRDefault="00751132">
      <w:pPr>
        <w:pStyle w:val="a3"/>
        <w:spacing w:before="0" w:beforeAutospacing="0" w:after="0" w:afterAutospacing="0"/>
        <w:ind w:firstLineChars="100" w:firstLine="201"/>
        <w:rPr>
          <w:rFonts w:ascii="Times New Roman" w:hAnsi="Times New Roman" w:cs="Times New Roman"/>
          <w:sz w:val="20"/>
          <w:szCs w:val="20"/>
          <w:shd w:val="pct10" w:color="auto" w:fill="FFFFFF"/>
        </w:rPr>
      </w:pPr>
      <w:r>
        <w:rPr>
          <w:rFonts w:ascii="Times New Roman" w:hAnsi="Times New Roman" w:cs="Times New Roman"/>
          <w:b/>
          <w:bCs/>
          <w:sz w:val="20"/>
          <w:szCs w:val="20"/>
          <w:shd w:val="pct10" w:color="auto" w:fill="FFFFFF"/>
        </w:rPr>
        <w:t>Supplementary File 4</w:t>
      </w:r>
    </w:p>
    <w:p w:rsidR="0047393D" w:rsidRDefault="0047393D">
      <w:pPr>
        <w:pStyle w:val="a3"/>
        <w:spacing w:before="0" w:beforeAutospacing="0" w:after="0" w:afterAutospacing="0"/>
        <w:ind w:firstLineChars="100" w:firstLine="200"/>
        <w:rPr>
          <w:rFonts w:ascii="Times New Roman" w:hAnsi="Times New Roman" w:cs="Times New Roman"/>
          <w:sz w:val="20"/>
          <w:szCs w:val="20"/>
          <w:shd w:val="pct10" w:color="auto" w:fill="FFFFFF"/>
        </w:rPr>
      </w:pPr>
    </w:p>
    <w:p w:rsidR="00595998" w:rsidRDefault="00751132" w:rsidP="00595998">
      <w:pPr>
        <w:pStyle w:val="a3"/>
        <w:spacing w:before="0" w:beforeAutospacing="0" w:after="0" w:afterAutospacing="0"/>
        <w:ind w:firstLineChars="100" w:firstLine="200"/>
        <w:rPr>
          <w:rFonts w:ascii="Times New Roman" w:hAnsi="Times New Roman" w:cs="Times New Roman"/>
          <w:sz w:val="20"/>
          <w:szCs w:val="20"/>
          <w:shd w:val="pct10" w:color="auto" w:fill="FFFFFF"/>
        </w:rPr>
      </w:pPr>
      <w:r>
        <w:rPr>
          <w:rFonts w:ascii="Times New Roman" w:hAnsi="Times New Roman" w:cs="Times New Roman"/>
          <w:sz w:val="20"/>
          <w:szCs w:val="20"/>
          <w:shd w:val="pct10" w:color="auto" w:fill="FFFFFF"/>
        </w:rPr>
        <w:t xml:space="preserve">Neoadjuvant therapy is an important part of comprehensive treatment for breast cancer. The long-term follow-up results of the NSABP B18 study, NSABP B27 study, and EBCTCG meta-analysis showed no statistically significant difference in overall survival or disease-free survival between the neoadjuvant group and the adjuvant group </w:t>
      </w:r>
      <w:r>
        <w:rPr>
          <w:rFonts w:ascii="Times New Roman" w:hAnsi="Times New Roman" w:cs="Times New Roman"/>
          <w:sz w:val="20"/>
          <w:szCs w:val="20"/>
          <w:shd w:val="pct10" w:color="auto" w:fill="FFFFFF"/>
          <w:vertAlign w:val="superscript"/>
        </w:rPr>
        <w:t>[1,2]</w:t>
      </w:r>
      <w:r>
        <w:rPr>
          <w:rFonts w:ascii="Times New Roman" w:hAnsi="Times New Roman" w:cs="Times New Roman"/>
          <w:sz w:val="20"/>
          <w:szCs w:val="20"/>
          <w:shd w:val="pct10" w:color="auto" w:fill="FFFFFF"/>
        </w:rPr>
        <w:t xml:space="preserve">. Therefore, the panel agreed to recommend neoadjuvant therapy for patients with inoperable breast cancer and for patients with a large primary tumor relative to the breast size when breast conservation is desired. For ≥T2 or ≥N1 operable breast cancer, it is recommended to refer to the molecular type of cancer. Prior to preoperative systemic therapy, image-detectable marker(s) must be placed to demarcate the tumor bed. Additionally, the clinical stage, pathological diagnosis, histological grade, and molecular characteristics should be clarified before neoadjuvant therapy </w:t>
      </w:r>
      <w:r>
        <w:rPr>
          <w:rFonts w:ascii="Times New Roman" w:hAnsi="Times New Roman" w:cs="Times New Roman"/>
          <w:sz w:val="20"/>
          <w:szCs w:val="20"/>
          <w:shd w:val="pct10" w:color="auto" w:fill="FFFFFF"/>
          <w:vertAlign w:val="superscript"/>
        </w:rPr>
        <w:t>[3]</w:t>
      </w:r>
      <w:r>
        <w:rPr>
          <w:rFonts w:ascii="Times New Roman" w:hAnsi="Times New Roman" w:cs="Times New Roman"/>
          <w:sz w:val="20"/>
          <w:szCs w:val="20"/>
          <w:shd w:val="pct10" w:color="auto" w:fill="FFFFFF"/>
        </w:rPr>
        <w:t xml:space="preserve">. The tumor response should be routinely assessed by clinical examination and imaging studies during delivery of preoperative therapy </w:t>
      </w:r>
      <w:r>
        <w:rPr>
          <w:rFonts w:ascii="Times New Roman" w:hAnsi="Times New Roman" w:cs="Times New Roman"/>
          <w:sz w:val="20"/>
          <w:szCs w:val="20"/>
          <w:shd w:val="pct10" w:color="auto" w:fill="FFFFFF"/>
          <w:vertAlign w:val="superscript"/>
        </w:rPr>
        <w:t>[3]</w:t>
      </w:r>
      <w:r>
        <w:rPr>
          <w:rFonts w:ascii="Times New Roman" w:hAnsi="Times New Roman" w:cs="Times New Roman"/>
          <w:sz w:val="20"/>
          <w:szCs w:val="20"/>
          <w:shd w:val="pct10" w:color="auto" w:fill="FFFFFF"/>
        </w:rPr>
        <w:t xml:space="preserve">. The panel recommended response evaluation using breast ultrasound, mammography, and contrast-enhanced breast MRI </w:t>
      </w:r>
      <w:r>
        <w:rPr>
          <w:rFonts w:ascii="Times New Roman" w:hAnsi="Times New Roman" w:cs="Times New Roman"/>
          <w:sz w:val="20"/>
          <w:szCs w:val="20"/>
          <w:shd w:val="pct10" w:color="auto" w:fill="FFFFFF"/>
          <w:vertAlign w:val="superscript"/>
        </w:rPr>
        <w:t>[4,5]</w:t>
      </w:r>
      <w:r>
        <w:rPr>
          <w:rFonts w:ascii="Times New Roman" w:hAnsi="Times New Roman" w:cs="Times New Roman"/>
          <w:sz w:val="20"/>
          <w:szCs w:val="20"/>
          <w:shd w:val="pct10" w:color="auto" w:fill="FFFFFF"/>
        </w:rPr>
        <w:t xml:space="preserve">. The results of the meta-analysis showed that patients with a </w:t>
      </w:r>
      <w:r>
        <w:rPr>
          <w:rFonts w:ascii="Times New Roman" w:hAnsi="Times New Roman" w:cs="Times New Roman" w:hint="eastAsia"/>
          <w:sz w:val="20"/>
          <w:szCs w:val="20"/>
          <w:shd w:val="pct10" w:color="auto" w:fill="FFFFFF"/>
        </w:rPr>
        <w:t>p</w:t>
      </w:r>
      <w:r>
        <w:rPr>
          <w:rFonts w:ascii="Times New Roman" w:hAnsi="Times New Roman" w:cs="Times New Roman"/>
          <w:sz w:val="20"/>
          <w:szCs w:val="20"/>
          <w:shd w:val="pct10" w:color="auto" w:fill="FFFFFF"/>
        </w:rPr>
        <w:t xml:space="preserve">athologic complete response (pCR) had better survival than those without a pCR after neoadjuvant therapy </w:t>
      </w:r>
      <w:r>
        <w:rPr>
          <w:rFonts w:ascii="Times New Roman" w:hAnsi="Times New Roman" w:cs="Times New Roman"/>
          <w:sz w:val="20"/>
          <w:szCs w:val="20"/>
          <w:shd w:val="pct10" w:color="auto" w:fill="FFFFFF"/>
          <w:vertAlign w:val="superscript"/>
        </w:rPr>
        <w:t>[6,7]</w:t>
      </w:r>
      <w:r>
        <w:rPr>
          <w:rFonts w:ascii="Times New Roman" w:hAnsi="Times New Roman" w:cs="Times New Roman"/>
          <w:sz w:val="20"/>
          <w:szCs w:val="20"/>
          <w:shd w:val="pct10" w:color="auto" w:fill="FFFFFF"/>
        </w:rPr>
        <w:t xml:space="preserve">, and intensive adjuvant therapy for patients without a pCR could reduce the risk of recurrence </w:t>
      </w:r>
      <w:r>
        <w:rPr>
          <w:rFonts w:ascii="Times New Roman" w:hAnsi="Times New Roman" w:cs="Times New Roman"/>
          <w:sz w:val="20"/>
          <w:szCs w:val="20"/>
          <w:shd w:val="pct10" w:color="auto" w:fill="FFFFFF"/>
          <w:vertAlign w:val="superscript"/>
        </w:rPr>
        <w:t>[8,9]</w:t>
      </w:r>
      <w:r>
        <w:rPr>
          <w:rFonts w:ascii="Times New Roman" w:hAnsi="Times New Roman" w:cs="Times New Roman"/>
          <w:sz w:val="20"/>
          <w:szCs w:val="20"/>
          <w:shd w:val="pct10" w:color="auto" w:fill="FFFFFF"/>
        </w:rPr>
        <w:t xml:space="preserve">. The panel recommended evaluation of the pathologic efficacy of the primary lesion and lymph nodes after neoadjuvant therapy with reference to the Miller/Payne or RCB grading system </w:t>
      </w:r>
      <w:r>
        <w:rPr>
          <w:rFonts w:ascii="Times New Roman" w:hAnsi="Times New Roman" w:cs="Times New Roman"/>
          <w:sz w:val="20"/>
          <w:szCs w:val="20"/>
          <w:shd w:val="pct10" w:color="auto" w:fill="FFFFFF"/>
          <w:vertAlign w:val="superscript"/>
        </w:rPr>
        <w:t>[10,11]</w:t>
      </w:r>
      <w:r>
        <w:rPr>
          <w:rFonts w:ascii="Times New Roman" w:hAnsi="Times New Roman" w:cs="Times New Roman"/>
          <w:sz w:val="20"/>
          <w:szCs w:val="20"/>
          <w:shd w:val="pct10" w:color="auto" w:fill="FFFFFF"/>
        </w:rPr>
        <w:t>.</w:t>
      </w:r>
    </w:p>
    <w:p w:rsidR="00595998" w:rsidRPr="00595998" w:rsidRDefault="00595998" w:rsidP="00595998">
      <w:pPr>
        <w:pStyle w:val="a3"/>
        <w:spacing w:before="0" w:beforeAutospacing="0" w:after="0" w:afterAutospacing="0"/>
        <w:ind w:firstLineChars="100" w:firstLine="200"/>
        <w:rPr>
          <w:rFonts w:ascii="Times New Roman" w:hAnsi="Times New Roman" w:cs="Times New Roman"/>
          <w:kern w:val="2"/>
          <w:sz w:val="20"/>
          <w:szCs w:val="20"/>
          <w:lang w:bidi="ar"/>
        </w:rPr>
      </w:pPr>
    </w:p>
    <w:p w:rsidR="00595998" w:rsidRDefault="00595998" w:rsidP="00595998">
      <w:pPr>
        <w:pStyle w:val="a3"/>
        <w:numPr>
          <w:ilvl w:val="0"/>
          <w:numId w:val="1"/>
        </w:numPr>
        <w:spacing w:before="0" w:beforeAutospacing="0" w:after="0" w:afterAutospacing="0"/>
        <w:rPr>
          <w:rFonts w:ascii="Times New Roman" w:hAnsi="Times New Roman" w:cs="Times New Roman"/>
          <w:kern w:val="2"/>
          <w:sz w:val="20"/>
          <w:szCs w:val="20"/>
          <w:lang w:bidi="ar"/>
        </w:rPr>
      </w:pPr>
      <w:r>
        <w:rPr>
          <w:rFonts w:ascii="Times New Roman" w:hAnsi="Times New Roman" w:cs="Times New Roman"/>
          <w:kern w:val="2"/>
          <w:sz w:val="20"/>
          <w:szCs w:val="20"/>
          <w:lang w:bidi="ar"/>
        </w:rPr>
        <w:t xml:space="preserve">Priya Rastogi, Stewart J. Anderson, Harry D. Bear, </w:t>
      </w:r>
      <w:r w:rsidRPr="00595998">
        <w:rPr>
          <w:rFonts w:ascii="Times New Roman" w:hAnsi="Times New Roman" w:cs="Times New Roman"/>
          <w:kern w:val="2"/>
          <w:sz w:val="20"/>
          <w:szCs w:val="20"/>
          <w:lang w:bidi="ar"/>
        </w:rPr>
        <w:t>Charles E Geyer, Morton S Kahlenberg, André Robidoux, </w:t>
      </w:r>
      <w:r>
        <w:rPr>
          <w:rFonts w:ascii="Times New Roman" w:hAnsi="Times New Roman" w:cs="Times New Roman"/>
          <w:kern w:val="2"/>
          <w:sz w:val="20"/>
          <w:szCs w:val="20"/>
          <w:lang w:bidi="ar"/>
        </w:rPr>
        <w:t>et al. Preoperative Chemotherapy: Updates of National Surgical Adjuvant Breast and Bowel Project Protocols B-18 and B-27. J Clin Oncol 26:778-785.</w:t>
      </w:r>
      <w:r w:rsidRPr="00595998">
        <w:rPr>
          <w:rFonts w:ascii="Times New Roman" w:hAnsi="Times New Roman" w:cs="Times New Roman"/>
          <w:kern w:val="2"/>
          <w:sz w:val="20"/>
          <w:szCs w:val="20"/>
          <w:lang w:bidi="ar"/>
        </w:rPr>
        <w:t xml:space="preserve"> doi: 10.1200/JCO.2007.15.0235.</w:t>
      </w:r>
    </w:p>
    <w:p w:rsidR="0047393D" w:rsidRPr="00595998" w:rsidRDefault="00751132" w:rsidP="00595998">
      <w:pPr>
        <w:pStyle w:val="a3"/>
        <w:numPr>
          <w:ilvl w:val="0"/>
          <w:numId w:val="1"/>
        </w:numPr>
        <w:spacing w:before="0" w:beforeAutospacing="0" w:after="0" w:afterAutospacing="0"/>
        <w:rPr>
          <w:rFonts w:ascii="Times New Roman" w:hAnsi="Times New Roman" w:cs="Times New Roman"/>
          <w:kern w:val="2"/>
          <w:sz w:val="20"/>
          <w:szCs w:val="20"/>
          <w:lang w:bidi="ar"/>
        </w:rPr>
      </w:pPr>
      <w:r w:rsidRPr="00595998">
        <w:rPr>
          <w:rFonts w:ascii="Times New Roman" w:hAnsi="Times New Roman" w:cs="Times New Roman"/>
          <w:kern w:val="2"/>
          <w:sz w:val="20"/>
          <w:szCs w:val="20"/>
          <w:lang w:bidi="ar"/>
        </w:rPr>
        <w:t>Early Breast Cancer Trialists’ Collaborative Group (EBCTCG). Long-term outcomes for neoadjuvant versus adjuvant chemotherapy in early breast cancer: meta-analysis of individual patient data from ten randomised trials. Lancet Oncol 2018; 19: 27–39.</w:t>
      </w:r>
      <w:r w:rsidR="00595998" w:rsidRPr="00595998">
        <w:rPr>
          <w:rFonts w:ascii="Times New Roman" w:hAnsi="Times New Roman" w:cs="Times New Roman"/>
          <w:kern w:val="2"/>
          <w:sz w:val="20"/>
          <w:szCs w:val="20"/>
          <w:lang w:bidi="ar"/>
        </w:rPr>
        <w:t xml:space="preserve"> doi: 10.1016/S1470-2045(17)30777-5.</w:t>
      </w:r>
    </w:p>
    <w:p w:rsidR="0047393D" w:rsidRDefault="00751132">
      <w:pPr>
        <w:pStyle w:val="a3"/>
        <w:numPr>
          <w:ilvl w:val="0"/>
          <w:numId w:val="1"/>
        </w:numPr>
        <w:spacing w:before="0" w:after="0" w:line="320" w:lineRule="exact"/>
        <w:rPr>
          <w:rFonts w:ascii="Times New Roman" w:hAnsi="Times New Roman" w:cs="Times New Roman"/>
          <w:sz w:val="20"/>
          <w:szCs w:val="20"/>
        </w:rPr>
      </w:pPr>
      <w:r>
        <w:rPr>
          <w:rFonts w:ascii="Times New Roman" w:hAnsi="Times New Roman" w:cs="Times New Roman"/>
          <w:sz w:val="20"/>
          <w:szCs w:val="20"/>
          <w:lang w:bidi="ar"/>
        </w:rPr>
        <w:t xml:space="preserve">National Comprehensive Cancer Network. NCCN Clinical Practice Guidelines in Oncology version6, 2020: Breast. NCCN Clinical Practice Guidelines in Oncology. </w:t>
      </w:r>
      <w:hyperlink r:id="rId6" w:history="1">
        <w:r>
          <w:rPr>
            <w:rStyle w:val="a4"/>
            <w:rFonts w:ascii="Times New Roman" w:hAnsi="Times New Roman" w:cs="Times New Roman"/>
            <w:sz w:val="20"/>
            <w:szCs w:val="20"/>
          </w:rPr>
          <w:t>https://www.nccn.org</w:t>
        </w:r>
      </w:hyperlink>
      <w:r>
        <w:rPr>
          <w:rFonts w:ascii="Times New Roman" w:hAnsi="Times New Roman" w:cs="Times New Roman"/>
          <w:sz w:val="20"/>
          <w:szCs w:val="20"/>
          <w:lang w:bidi="ar"/>
        </w:rPr>
        <w:t>.</w:t>
      </w:r>
      <w:r w:rsidRPr="00751132">
        <w:rPr>
          <w:rFonts w:ascii="Times New Roman" w:hAnsi="Times New Roman" w:cs="Times New Roman" w:hint="eastAsia"/>
          <w:sz w:val="20"/>
          <w:szCs w:val="20"/>
          <w:lang w:bidi="ar"/>
        </w:rPr>
        <w:t xml:space="preserve"> </w:t>
      </w:r>
      <w:r>
        <w:rPr>
          <w:rFonts w:ascii="Times New Roman" w:hAnsi="Times New Roman" w:cs="Times New Roman" w:hint="eastAsia"/>
          <w:sz w:val="20"/>
          <w:szCs w:val="20"/>
          <w:lang w:bidi="ar"/>
        </w:rPr>
        <w:t>(Last Accessed at</w:t>
      </w:r>
      <w:r>
        <w:rPr>
          <w:rFonts w:ascii="Times New Roman" w:hAnsi="Times New Roman" w:cs="Times New Roman"/>
          <w:sz w:val="20"/>
          <w:szCs w:val="20"/>
          <w:lang w:bidi="ar"/>
        </w:rPr>
        <w:t xml:space="preserve"> 1</w:t>
      </w:r>
      <w:r w:rsidR="001323CF">
        <w:rPr>
          <w:rFonts w:ascii="Times New Roman" w:hAnsi="Times New Roman" w:cs="Times New Roman"/>
          <w:sz w:val="20"/>
          <w:szCs w:val="20"/>
          <w:lang w:bidi="ar"/>
        </w:rPr>
        <w:t>1</w:t>
      </w:r>
      <w:r>
        <w:rPr>
          <w:rFonts w:ascii="Times New Roman" w:hAnsi="Times New Roman" w:cs="Times New Roman"/>
          <w:sz w:val="20"/>
          <w:szCs w:val="20"/>
          <w:lang w:bidi="ar"/>
        </w:rPr>
        <w:t>/8,</w:t>
      </w:r>
      <w:r>
        <w:rPr>
          <w:rFonts w:ascii="Times New Roman" w:hAnsi="Times New Roman" w:cs="Times New Roman" w:hint="eastAsia"/>
          <w:sz w:val="20"/>
          <w:szCs w:val="20"/>
          <w:lang w:bidi="ar"/>
        </w:rPr>
        <w:t>2</w:t>
      </w:r>
      <w:r>
        <w:rPr>
          <w:rFonts w:ascii="Times New Roman" w:hAnsi="Times New Roman" w:cs="Times New Roman"/>
          <w:sz w:val="20"/>
          <w:szCs w:val="20"/>
          <w:lang w:bidi="ar"/>
        </w:rPr>
        <w:t>020</w:t>
      </w:r>
      <w:r>
        <w:rPr>
          <w:rFonts w:ascii="Times New Roman" w:hAnsi="Times New Roman" w:cs="Times New Roman" w:hint="eastAsia"/>
          <w:sz w:val="20"/>
          <w:szCs w:val="20"/>
          <w:lang w:bidi="ar"/>
        </w:rPr>
        <w:t>)</w:t>
      </w:r>
    </w:p>
    <w:p w:rsidR="00866E66" w:rsidRDefault="00866E66" w:rsidP="00866E66">
      <w:pPr>
        <w:pStyle w:val="a3"/>
        <w:numPr>
          <w:ilvl w:val="0"/>
          <w:numId w:val="1"/>
        </w:numPr>
        <w:spacing w:before="0" w:beforeAutospacing="0" w:after="0" w:afterAutospacing="0" w:line="320" w:lineRule="exact"/>
        <w:ind w:left="357" w:hanging="357"/>
        <w:rPr>
          <w:rFonts w:ascii="Times New Roman" w:hAnsi="Times New Roman" w:cs="Times New Roman"/>
          <w:sz w:val="20"/>
          <w:szCs w:val="20"/>
          <w:lang w:bidi="ar"/>
        </w:rPr>
      </w:pPr>
      <w:r w:rsidRPr="00574AB2">
        <w:rPr>
          <w:rFonts w:ascii="Times New Roman" w:hAnsi="Times New Roman" w:cs="Times New Roman"/>
          <w:sz w:val="20"/>
          <w:szCs w:val="20"/>
          <w:lang w:bidi="ar"/>
        </w:rPr>
        <w:t>Michael L. Marinovich, Petra Macaskill, Les Irwig, Francesco Sardanelli, Eleftherios Mamounas, Gunter von Minckwitz, et al. Agreement between MRI and pathologic breast tumor size after neoadjuvant chemotherapy, and comparison with alternative tests: individual patient data meta-analysis. BMC Cancer 2015; 15:662. doi: 10.1186/s12885-015-1664-4.</w:t>
      </w:r>
    </w:p>
    <w:p w:rsidR="00C75300" w:rsidRDefault="00751132" w:rsidP="00C75300">
      <w:pPr>
        <w:pStyle w:val="a3"/>
        <w:numPr>
          <w:ilvl w:val="0"/>
          <w:numId w:val="1"/>
        </w:numPr>
        <w:spacing w:before="0" w:beforeAutospacing="0" w:after="0" w:afterAutospacing="0" w:line="320" w:lineRule="exact"/>
        <w:ind w:left="357" w:hanging="357"/>
        <w:rPr>
          <w:rFonts w:ascii="Times New Roman" w:hAnsi="Times New Roman" w:cs="Times New Roman"/>
          <w:sz w:val="20"/>
          <w:szCs w:val="20"/>
          <w:lang w:bidi="ar"/>
        </w:rPr>
      </w:pPr>
      <w:r w:rsidRPr="00866E66">
        <w:rPr>
          <w:rFonts w:ascii="Times New Roman" w:hAnsi="Times New Roman" w:cs="Times New Roman"/>
          <w:sz w:val="20"/>
          <w:szCs w:val="20"/>
          <w:lang w:bidi="ar"/>
        </w:rPr>
        <w:t xml:space="preserve">Eren Yeh, Priscilla Slanetz, Daniel B.Kopans, </w:t>
      </w:r>
      <w:r w:rsidR="00866E66" w:rsidRPr="00866E66">
        <w:rPr>
          <w:rFonts w:ascii="Times New Roman" w:hAnsi="Times New Roman" w:cs="Times New Roman"/>
          <w:sz w:val="20"/>
          <w:szCs w:val="20"/>
          <w:lang w:bidi="ar"/>
        </w:rPr>
        <w:t>Elizabeth Rafferty, Dianne Georgian-Smith, Linda Moy, </w:t>
      </w:r>
      <w:r w:rsidRPr="00866E66">
        <w:rPr>
          <w:rFonts w:ascii="Times New Roman" w:hAnsi="Times New Roman" w:cs="Times New Roman"/>
          <w:sz w:val="20"/>
          <w:szCs w:val="20"/>
          <w:lang w:bidi="ar"/>
        </w:rPr>
        <w:t>et al. Prospective comparison of mammography, sonography, and MRI in patients undergoing neoadjuvant chemotherapy for palpable breast cancer. AJR Am J Roentgenol. 2005;184:868-77.</w:t>
      </w:r>
      <w:r w:rsidR="00866E66" w:rsidRPr="00866E66">
        <w:rPr>
          <w:rFonts w:ascii="Times New Roman" w:hAnsi="Times New Roman" w:cs="Times New Roman"/>
          <w:sz w:val="20"/>
          <w:szCs w:val="20"/>
          <w:lang w:bidi="ar"/>
        </w:rPr>
        <w:t xml:space="preserve"> doi: 10.2214/ajr.184.3.01840868.</w:t>
      </w:r>
    </w:p>
    <w:p w:rsidR="00C75300" w:rsidRDefault="00751132" w:rsidP="00C75300">
      <w:pPr>
        <w:pStyle w:val="a3"/>
        <w:numPr>
          <w:ilvl w:val="0"/>
          <w:numId w:val="1"/>
        </w:numPr>
        <w:spacing w:before="0" w:beforeAutospacing="0" w:after="0" w:afterAutospacing="0" w:line="320" w:lineRule="exact"/>
        <w:ind w:left="357" w:hanging="357"/>
        <w:rPr>
          <w:rFonts w:ascii="Times New Roman" w:hAnsi="Times New Roman" w:cs="Times New Roman"/>
          <w:sz w:val="20"/>
          <w:szCs w:val="20"/>
          <w:lang w:bidi="ar"/>
        </w:rPr>
      </w:pPr>
      <w:r w:rsidRPr="00C75300">
        <w:rPr>
          <w:rFonts w:ascii="Times New Roman" w:hAnsi="Times New Roman" w:cs="Times New Roman"/>
          <w:sz w:val="20"/>
          <w:szCs w:val="20"/>
          <w:lang w:bidi="ar"/>
        </w:rPr>
        <w:t>Cortazar P, Zhang L, Untch M,</w:t>
      </w:r>
      <w:r w:rsidR="00C75300" w:rsidRPr="00C75300">
        <w:rPr>
          <w:rFonts w:ascii="Times New Roman" w:hAnsi="Times New Roman" w:cs="Times New Roman"/>
          <w:sz w:val="20"/>
          <w:szCs w:val="20"/>
          <w:lang w:bidi="ar"/>
        </w:rPr>
        <w:t xml:space="preserve"> Keyur Mehta, Joseph P Costantino, Norman Wolmark, </w:t>
      </w:r>
      <w:r w:rsidRPr="00C75300">
        <w:rPr>
          <w:rFonts w:ascii="Times New Roman" w:hAnsi="Times New Roman" w:cs="Times New Roman"/>
          <w:sz w:val="20"/>
          <w:szCs w:val="20"/>
          <w:lang w:bidi="ar"/>
        </w:rPr>
        <w:t>et al. Pathological complete response and long-term clinical benefit in breast cancer: the CTNeoBC pooled analysis. Lancet 2014;384:164-172.</w:t>
      </w:r>
      <w:r w:rsidR="00C75300" w:rsidRPr="00C75300">
        <w:rPr>
          <w:rFonts w:ascii="Times New Roman" w:hAnsi="Times New Roman" w:cs="Times New Roman"/>
          <w:sz w:val="20"/>
          <w:szCs w:val="20"/>
          <w:lang w:bidi="ar"/>
        </w:rPr>
        <w:t xml:space="preserve"> doi: 10.1016/S0140-6736(13)62422-8.</w:t>
      </w:r>
    </w:p>
    <w:p w:rsidR="00FF5086" w:rsidRDefault="00751132" w:rsidP="00FF5086">
      <w:pPr>
        <w:pStyle w:val="a3"/>
        <w:numPr>
          <w:ilvl w:val="0"/>
          <w:numId w:val="1"/>
        </w:numPr>
        <w:spacing w:before="0" w:beforeAutospacing="0" w:after="0" w:afterAutospacing="0" w:line="320" w:lineRule="exact"/>
        <w:ind w:left="357" w:hanging="357"/>
        <w:rPr>
          <w:rFonts w:ascii="Times New Roman" w:hAnsi="Times New Roman" w:cs="Times New Roman"/>
          <w:sz w:val="20"/>
          <w:szCs w:val="20"/>
          <w:lang w:bidi="ar"/>
        </w:rPr>
      </w:pPr>
      <w:r w:rsidRPr="00C75300">
        <w:rPr>
          <w:rFonts w:ascii="Times New Roman" w:hAnsi="Times New Roman" w:cs="Times New Roman"/>
          <w:sz w:val="20"/>
          <w:szCs w:val="20"/>
          <w:lang w:bidi="ar"/>
        </w:rPr>
        <w:t xml:space="preserve">von Minckwitz G, Untch M, Blohmer JU, </w:t>
      </w:r>
      <w:r w:rsidR="00C75300" w:rsidRPr="00C75300">
        <w:rPr>
          <w:rFonts w:ascii="Times New Roman" w:hAnsi="Times New Roman" w:cs="Times New Roman"/>
          <w:sz w:val="20"/>
          <w:szCs w:val="20"/>
          <w:lang w:bidi="ar"/>
        </w:rPr>
        <w:t xml:space="preserve">Costa SD, Eidtmann H, Fasching PA, </w:t>
      </w:r>
      <w:r w:rsidRPr="00C75300">
        <w:rPr>
          <w:rFonts w:ascii="Times New Roman" w:hAnsi="Times New Roman" w:cs="Times New Roman"/>
          <w:sz w:val="20"/>
          <w:szCs w:val="20"/>
          <w:lang w:bidi="ar"/>
        </w:rPr>
        <w:t xml:space="preserve">et al. Definition and impact of pathologic complete response on prognosis after neoadjuvant chemotherapy in </w:t>
      </w:r>
      <w:r w:rsidRPr="00C75300">
        <w:rPr>
          <w:rFonts w:ascii="Times New Roman" w:hAnsi="Times New Roman" w:cs="Times New Roman"/>
          <w:sz w:val="20"/>
          <w:szCs w:val="20"/>
          <w:lang w:bidi="ar"/>
        </w:rPr>
        <w:lastRenderedPageBreak/>
        <w:t>various intrinsic breast cancer subtypes. J Clin Oncol 2012;</w:t>
      </w:r>
      <w:r w:rsidR="00C75300">
        <w:rPr>
          <w:rFonts w:ascii="Times New Roman" w:hAnsi="Times New Roman" w:cs="Times New Roman"/>
          <w:sz w:val="20"/>
          <w:szCs w:val="20"/>
          <w:lang w:bidi="ar"/>
        </w:rPr>
        <w:t xml:space="preserve"> </w:t>
      </w:r>
      <w:r w:rsidRPr="00C75300">
        <w:rPr>
          <w:rFonts w:ascii="Times New Roman" w:hAnsi="Times New Roman" w:cs="Times New Roman"/>
          <w:sz w:val="20"/>
          <w:szCs w:val="20"/>
          <w:lang w:bidi="ar"/>
        </w:rPr>
        <w:t xml:space="preserve">30:1796-1804. </w:t>
      </w:r>
      <w:r w:rsidR="00C75300" w:rsidRPr="00C75300">
        <w:rPr>
          <w:rFonts w:ascii="Times New Roman" w:hAnsi="Times New Roman" w:cs="Times New Roman"/>
          <w:sz w:val="20"/>
          <w:szCs w:val="20"/>
          <w:lang w:bidi="ar"/>
        </w:rPr>
        <w:t>doi: 10.1200/JCO.2011.38.8595. </w:t>
      </w:r>
    </w:p>
    <w:p w:rsidR="0047393D" w:rsidRPr="00FF5086" w:rsidRDefault="00751132" w:rsidP="00FF5086">
      <w:pPr>
        <w:pStyle w:val="a3"/>
        <w:numPr>
          <w:ilvl w:val="0"/>
          <w:numId w:val="1"/>
        </w:numPr>
        <w:spacing w:before="0" w:beforeAutospacing="0" w:after="0" w:afterAutospacing="0" w:line="320" w:lineRule="exact"/>
        <w:ind w:left="357" w:hanging="357"/>
        <w:rPr>
          <w:rFonts w:ascii="Times New Roman" w:hAnsi="Times New Roman" w:cs="Times New Roman"/>
          <w:sz w:val="20"/>
          <w:szCs w:val="20"/>
          <w:lang w:bidi="ar"/>
        </w:rPr>
      </w:pPr>
      <w:r w:rsidRPr="00FF5086">
        <w:rPr>
          <w:rFonts w:ascii="Times New Roman" w:hAnsi="Times New Roman" w:cs="Times New Roman"/>
          <w:sz w:val="20"/>
          <w:szCs w:val="20"/>
          <w:lang w:bidi="ar"/>
        </w:rPr>
        <w:t xml:space="preserve">Masuda N, Lee SJ, Ohtani S, </w:t>
      </w:r>
      <w:r w:rsidR="00FF5086" w:rsidRPr="00FF5086">
        <w:rPr>
          <w:rFonts w:ascii="Times New Roman" w:hAnsi="Times New Roman" w:cs="Times New Roman"/>
          <w:sz w:val="20"/>
          <w:szCs w:val="20"/>
          <w:lang w:bidi="ar"/>
        </w:rPr>
        <w:t>Young-Hyuck Im, Eun-Sook Lee, Isao Yokota,</w:t>
      </w:r>
      <w:r w:rsidR="00FF5086">
        <w:rPr>
          <w:rFonts w:ascii="Times New Roman" w:hAnsi="Times New Roman" w:cs="Times New Roman"/>
          <w:sz w:val="20"/>
          <w:szCs w:val="20"/>
          <w:lang w:bidi="ar"/>
        </w:rPr>
        <w:t xml:space="preserve"> </w:t>
      </w:r>
      <w:r w:rsidRPr="00FF5086">
        <w:rPr>
          <w:rFonts w:ascii="Times New Roman" w:hAnsi="Times New Roman" w:cs="Times New Roman"/>
          <w:sz w:val="20"/>
          <w:szCs w:val="20"/>
          <w:lang w:bidi="ar"/>
        </w:rPr>
        <w:t>et al. Adjuvant Capecitabine for Breast Cancer after Preoperative Chemotherapy. N Engl J Med 2017;</w:t>
      </w:r>
      <w:r w:rsidR="00FF5086">
        <w:rPr>
          <w:rFonts w:ascii="Times New Roman" w:hAnsi="Times New Roman" w:cs="Times New Roman"/>
          <w:sz w:val="20"/>
          <w:szCs w:val="20"/>
          <w:lang w:bidi="ar"/>
        </w:rPr>
        <w:t xml:space="preserve"> </w:t>
      </w:r>
      <w:r w:rsidRPr="00FF5086">
        <w:rPr>
          <w:rFonts w:ascii="Times New Roman" w:hAnsi="Times New Roman" w:cs="Times New Roman"/>
          <w:sz w:val="20"/>
          <w:szCs w:val="20"/>
          <w:lang w:bidi="ar"/>
        </w:rPr>
        <w:t>376:2147-2159.</w:t>
      </w:r>
      <w:r w:rsidR="00FF5086" w:rsidRPr="00FF5086">
        <w:rPr>
          <w:rFonts w:ascii="Times New Roman" w:hAnsi="Times New Roman" w:cs="Times New Roman"/>
          <w:sz w:val="20"/>
          <w:szCs w:val="20"/>
          <w:lang w:bidi="ar"/>
        </w:rPr>
        <w:t xml:space="preserve"> doi: 10.1056/NEJMoa1612645.</w:t>
      </w:r>
    </w:p>
    <w:p w:rsidR="00FF5086" w:rsidRDefault="00751132" w:rsidP="00FF5086">
      <w:pPr>
        <w:pStyle w:val="a3"/>
        <w:numPr>
          <w:ilvl w:val="0"/>
          <w:numId w:val="1"/>
        </w:numPr>
        <w:spacing w:before="0" w:after="0" w:line="320" w:lineRule="exact"/>
        <w:rPr>
          <w:rFonts w:ascii="Times New Roman" w:hAnsi="Times New Roman" w:cs="Times New Roman"/>
          <w:sz w:val="20"/>
          <w:szCs w:val="20"/>
          <w:lang w:bidi="ar"/>
        </w:rPr>
      </w:pPr>
      <w:r>
        <w:rPr>
          <w:rFonts w:ascii="Times New Roman" w:hAnsi="Times New Roman" w:cs="Times New Roman"/>
          <w:sz w:val="20"/>
          <w:szCs w:val="20"/>
          <w:lang w:bidi="ar"/>
        </w:rPr>
        <w:t xml:space="preserve">von Minckwitz G, Huang CS, Mano MS, </w:t>
      </w:r>
      <w:r w:rsidR="00FF5086" w:rsidRPr="00FF5086">
        <w:rPr>
          <w:rFonts w:ascii="Times New Roman" w:hAnsi="Times New Roman" w:cs="Times New Roman"/>
          <w:sz w:val="20"/>
          <w:szCs w:val="20"/>
          <w:lang w:bidi="ar"/>
        </w:rPr>
        <w:t xml:space="preserve">Sibylle Loibl, Eleftherios P Mamounas, Michael Untch, </w:t>
      </w:r>
      <w:r>
        <w:rPr>
          <w:rFonts w:ascii="Times New Roman" w:hAnsi="Times New Roman" w:cs="Times New Roman"/>
          <w:sz w:val="20"/>
          <w:szCs w:val="20"/>
          <w:lang w:bidi="ar"/>
        </w:rPr>
        <w:t>et al. Trastuzumab Emtansine for Residual Invasive HER2-Positive Breast Cancer. N Engl J Med 2019;</w:t>
      </w:r>
      <w:r w:rsidR="00FF5086">
        <w:rPr>
          <w:rFonts w:ascii="Times New Roman" w:hAnsi="Times New Roman" w:cs="Times New Roman"/>
          <w:sz w:val="20"/>
          <w:szCs w:val="20"/>
          <w:lang w:bidi="ar"/>
        </w:rPr>
        <w:t xml:space="preserve"> </w:t>
      </w:r>
      <w:r>
        <w:rPr>
          <w:rFonts w:ascii="Times New Roman" w:hAnsi="Times New Roman" w:cs="Times New Roman"/>
          <w:sz w:val="20"/>
          <w:szCs w:val="20"/>
          <w:lang w:bidi="ar"/>
        </w:rPr>
        <w:t xml:space="preserve">380:617-628. </w:t>
      </w:r>
      <w:r w:rsidR="00FF5086" w:rsidRPr="00FF5086">
        <w:rPr>
          <w:rFonts w:ascii="Times New Roman" w:hAnsi="Times New Roman" w:cs="Times New Roman"/>
          <w:sz w:val="20"/>
          <w:szCs w:val="20"/>
          <w:lang w:bidi="ar"/>
        </w:rPr>
        <w:t>doi: 10.1056/NEJMoa1814017.</w:t>
      </w:r>
    </w:p>
    <w:p w:rsidR="00FF5086" w:rsidRDefault="00751132" w:rsidP="00FF5086">
      <w:pPr>
        <w:pStyle w:val="a3"/>
        <w:numPr>
          <w:ilvl w:val="0"/>
          <w:numId w:val="1"/>
        </w:numPr>
        <w:spacing w:before="0" w:after="0" w:line="320" w:lineRule="exact"/>
        <w:rPr>
          <w:rFonts w:ascii="Times New Roman" w:hAnsi="Times New Roman" w:cs="Times New Roman"/>
          <w:sz w:val="20"/>
          <w:szCs w:val="20"/>
          <w:lang w:bidi="ar"/>
        </w:rPr>
      </w:pPr>
      <w:r w:rsidRPr="00FF5086">
        <w:rPr>
          <w:rFonts w:ascii="Times New Roman" w:hAnsi="Times New Roman" w:cs="Times New Roman"/>
          <w:sz w:val="20"/>
          <w:szCs w:val="20"/>
          <w:lang w:bidi="ar"/>
        </w:rPr>
        <w:t xml:space="preserve">Keith N. Ogston, Iain D. Miller, Simon Payne, </w:t>
      </w:r>
      <w:r w:rsidR="00FF5086" w:rsidRPr="00FF5086">
        <w:rPr>
          <w:rFonts w:ascii="Times New Roman" w:hAnsi="Times New Roman" w:cs="Times New Roman"/>
          <w:sz w:val="20"/>
          <w:szCs w:val="20"/>
          <w:lang w:bidi="ar"/>
        </w:rPr>
        <w:t xml:space="preserve">Andrew W Hutcheon, Tarun K Sarkar, Ian Smith, </w:t>
      </w:r>
      <w:r w:rsidRPr="00FF5086">
        <w:rPr>
          <w:rFonts w:ascii="Times New Roman" w:hAnsi="Times New Roman" w:cs="Times New Roman"/>
          <w:sz w:val="20"/>
          <w:szCs w:val="20"/>
          <w:lang w:bidi="ar"/>
        </w:rPr>
        <w:t>et al. A new histological grading system to assess response of breast cancers to primary chemotherapy: prognostic significance and survival. The Breast 2003</w:t>
      </w:r>
      <w:r w:rsidR="00FF5086">
        <w:rPr>
          <w:rFonts w:ascii="Times New Roman" w:hAnsi="Times New Roman" w:cs="Times New Roman"/>
          <w:sz w:val="20"/>
          <w:szCs w:val="20"/>
          <w:lang w:bidi="ar"/>
        </w:rPr>
        <w:t>;</w:t>
      </w:r>
      <w:r w:rsidRPr="00FF5086">
        <w:rPr>
          <w:rFonts w:ascii="Times New Roman" w:hAnsi="Times New Roman" w:cs="Times New Roman"/>
          <w:sz w:val="20"/>
          <w:szCs w:val="20"/>
          <w:lang w:bidi="ar"/>
        </w:rPr>
        <w:t xml:space="preserve"> 12</w:t>
      </w:r>
      <w:r w:rsidR="00FF5086">
        <w:rPr>
          <w:rFonts w:ascii="Times New Roman" w:hAnsi="Times New Roman" w:cs="Times New Roman"/>
          <w:sz w:val="20"/>
          <w:szCs w:val="20"/>
          <w:lang w:bidi="ar"/>
        </w:rPr>
        <w:t>:</w:t>
      </w:r>
      <w:r w:rsidRPr="00FF5086">
        <w:rPr>
          <w:rFonts w:ascii="Times New Roman" w:hAnsi="Times New Roman" w:cs="Times New Roman"/>
          <w:sz w:val="20"/>
          <w:szCs w:val="20"/>
          <w:lang w:bidi="ar"/>
        </w:rPr>
        <w:t xml:space="preserve"> 320–327</w:t>
      </w:r>
      <w:r w:rsidR="00FF5086" w:rsidRPr="00FF5086">
        <w:rPr>
          <w:rFonts w:ascii="Times New Roman" w:hAnsi="Times New Roman" w:cs="Times New Roman"/>
          <w:sz w:val="20"/>
          <w:szCs w:val="20"/>
          <w:lang w:bidi="ar"/>
        </w:rPr>
        <w:t>. doi: 10.1016/s0960-9776(03)00106-1.</w:t>
      </w:r>
    </w:p>
    <w:p w:rsidR="0047393D" w:rsidRPr="00FF5086" w:rsidRDefault="00751132" w:rsidP="00FF5086">
      <w:pPr>
        <w:pStyle w:val="a3"/>
        <w:numPr>
          <w:ilvl w:val="0"/>
          <w:numId w:val="1"/>
        </w:numPr>
        <w:spacing w:before="0" w:after="0" w:line="320" w:lineRule="exact"/>
        <w:rPr>
          <w:rFonts w:ascii="Times New Roman" w:hAnsi="Times New Roman" w:cs="Times New Roman"/>
          <w:sz w:val="20"/>
          <w:szCs w:val="20"/>
          <w:lang w:bidi="ar"/>
        </w:rPr>
      </w:pPr>
      <w:r w:rsidRPr="00FF5086">
        <w:rPr>
          <w:rFonts w:ascii="Times New Roman" w:hAnsi="Times New Roman" w:cs="Times New Roman"/>
          <w:sz w:val="20"/>
          <w:szCs w:val="20"/>
          <w:lang w:bidi="ar"/>
        </w:rPr>
        <w:t>W. Fraser Symmans, Florentia Peintinger, Christos Hatzis,</w:t>
      </w:r>
      <w:r w:rsidR="00FF5086" w:rsidRPr="00FF5086">
        <w:rPr>
          <w:rFonts w:ascii="Times New Roman" w:hAnsi="Times New Roman" w:cs="Times New Roman"/>
          <w:sz w:val="20"/>
          <w:szCs w:val="20"/>
          <w:lang w:bidi="ar"/>
        </w:rPr>
        <w:t> Radhika Rajan, Henry Kuerer, Vicente Valero,</w:t>
      </w:r>
      <w:r w:rsidRPr="00FF5086">
        <w:rPr>
          <w:rFonts w:ascii="Times New Roman" w:hAnsi="Times New Roman" w:cs="Times New Roman"/>
          <w:sz w:val="20"/>
          <w:szCs w:val="20"/>
          <w:lang w:bidi="ar"/>
        </w:rPr>
        <w:t xml:space="preserve"> et al. Measurement of Residual Breast Cancer Burden to Predict Survival After Neoadjuvant Chemotherapy. J Clin Oncol 25:4414-4422.</w:t>
      </w:r>
      <w:r w:rsidR="00FF5086" w:rsidRPr="00FF5086">
        <w:rPr>
          <w:rFonts w:ascii="Times New Roman" w:hAnsi="Times New Roman" w:cs="Times New Roman"/>
          <w:sz w:val="20"/>
          <w:szCs w:val="20"/>
          <w:lang w:bidi="ar"/>
        </w:rPr>
        <w:t xml:space="preserve"> doi: 10.1200/JCO.2007.10.6823.</w:t>
      </w:r>
      <w:r w:rsidRPr="00FF5086">
        <w:rPr>
          <w:rFonts w:ascii="Times New Roman" w:hAnsi="Times New Roman" w:cs="Times New Roman"/>
          <w:sz w:val="20"/>
          <w:szCs w:val="20"/>
          <w:lang w:bidi="ar"/>
        </w:rPr>
        <w:t xml:space="preserve"> </w:t>
      </w:r>
    </w:p>
    <w:sectPr w:rsidR="0047393D" w:rsidRPr="00FF5086">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MT">
    <w:altName w:val="Arial"/>
    <w:panose1 w:val="020B0604020202020204"/>
    <w:charset w:val="00"/>
    <w:family w:val="roman"/>
    <w:pitch w:val="default"/>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043958"/>
    <w:multiLevelType w:val="multilevel"/>
    <w:tmpl w:val="60043958"/>
    <w:lvl w:ilvl="0">
      <w:start w:val="1"/>
      <w:numFmt w:val="decimal"/>
      <w:lvlText w:val="%1."/>
      <w:lvlJc w:val="left"/>
      <w:pPr>
        <w:ind w:left="360" w:hanging="360"/>
      </w:pPr>
      <w:rPr>
        <w:rFonts w:ascii="ArialMT" w:eastAsia="ArialMT" w:hAnsi="ArialMT" w:cs="ArialMT" w:hint="default"/>
        <w:sz w:val="22"/>
        <w:szCs w:val="22"/>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0911"/>
    <w:rsid w:val="000451A9"/>
    <w:rsid w:val="00075088"/>
    <w:rsid w:val="000A3818"/>
    <w:rsid w:val="000B0FFC"/>
    <w:rsid w:val="001323CF"/>
    <w:rsid w:val="00137FC2"/>
    <w:rsid w:val="00165910"/>
    <w:rsid w:val="001B754D"/>
    <w:rsid w:val="001C5CD1"/>
    <w:rsid w:val="001E29AC"/>
    <w:rsid w:val="00212241"/>
    <w:rsid w:val="00285EEA"/>
    <w:rsid w:val="002D5B90"/>
    <w:rsid w:val="0035095D"/>
    <w:rsid w:val="00352370"/>
    <w:rsid w:val="003726BF"/>
    <w:rsid w:val="00373820"/>
    <w:rsid w:val="00412271"/>
    <w:rsid w:val="00420F96"/>
    <w:rsid w:val="00460F31"/>
    <w:rsid w:val="0047393D"/>
    <w:rsid w:val="004F4C11"/>
    <w:rsid w:val="00525138"/>
    <w:rsid w:val="00562978"/>
    <w:rsid w:val="00595998"/>
    <w:rsid w:val="005D2768"/>
    <w:rsid w:val="006174D2"/>
    <w:rsid w:val="00633385"/>
    <w:rsid w:val="00661BC8"/>
    <w:rsid w:val="00751132"/>
    <w:rsid w:val="00800F5D"/>
    <w:rsid w:val="00803603"/>
    <w:rsid w:val="0081031C"/>
    <w:rsid w:val="0085307F"/>
    <w:rsid w:val="00866E66"/>
    <w:rsid w:val="008A1B3D"/>
    <w:rsid w:val="008C16F6"/>
    <w:rsid w:val="008D7D9C"/>
    <w:rsid w:val="008F4DAD"/>
    <w:rsid w:val="00962B8E"/>
    <w:rsid w:val="009958C2"/>
    <w:rsid w:val="00996B8C"/>
    <w:rsid w:val="009A12E5"/>
    <w:rsid w:val="009A1C4C"/>
    <w:rsid w:val="009F1654"/>
    <w:rsid w:val="00A619D3"/>
    <w:rsid w:val="00A65439"/>
    <w:rsid w:val="00A66393"/>
    <w:rsid w:val="00AB2002"/>
    <w:rsid w:val="00BD4424"/>
    <w:rsid w:val="00BE2E8A"/>
    <w:rsid w:val="00BE4E9A"/>
    <w:rsid w:val="00BF6C3B"/>
    <w:rsid w:val="00C75300"/>
    <w:rsid w:val="00D31E78"/>
    <w:rsid w:val="00E5390D"/>
    <w:rsid w:val="00E55276"/>
    <w:rsid w:val="00E94733"/>
    <w:rsid w:val="00EC0911"/>
    <w:rsid w:val="00F03F77"/>
    <w:rsid w:val="00F25513"/>
    <w:rsid w:val="00F40646"/>
    <w:rsid w:val="00F645EC"/>
    <w:rsid w:val="00FF5086"/>
    <w:rsid w:val="259C46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6A26A169"/>
  <w15:docId w15:val="{88E0047B-4375-8E40-8A95-4144A8D01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5086"/>
    <w:rPr>
      <w:rFonts w:ascii="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spacing w:before="100" w:beforeAutospacing="1" w:after="100" w:afterAutospacing="1"/>
    </w:pPr>
  </w:style>
  <w:style w:type="character" w:styleId="a4">
    <w:name w:val="Hyperlink"/>
    <w:basedOn w:val="a0"/>
    <w:uiPriority w:val="99"/>
    <w:semiHidden/>
    <w:unhideWhenUsed/>
    <w:qFormat/>
    <w:rPr>
      <w:color w:val="0563C1" w:themeColor="hyperlink"/>
      <w:u w:val="single"/>
    </w:rPr>
  </w:style>
  <w:style w:type="character" w:customStyle="1" w:styleId="authors-list-item">
    <w:name w:val="authors-list-item"/>
    <w:basedOn w:val="a0"/>
    <w:rsid w:val="00595998"/>
  </w:style>
  <w:style w:type="character" w:customStyle="1" w:styleId="comma">
    <w:name w:val="comma"/>
    <w:basedOn w:val="a0"/>
    <w:rsid w:val="00595998"/>
  </w:style>
  <w:style w:type="character" w:styleId="a5">
    <w:name w:val="FollowedHyperlink"/>
    <w:basedOn w:val="a0"/>
    <w:uiPriority w:val="99"/>
    <w:semiHidden/>
    <w:unhideWhenUsed/>
    <w:rsid w:val="00866E66"/>
    <w:rPr>
      <w:color w:val="954F72" w:themeColor="followedHyperlink"/>
      <w:u w:val="single"/>
    </w:rPr>
  </w:style>
  <w:style w:type="character" w:customStyle="1" w:styleId="author-sup-separator">
    <w:name w:val="author-sup-separator"/>
    <w:basedOn w:val="a0"/>
    <w:rsid w:val="00C75300"/>
  </w:style>
  <w:style w:type="character" w:customStyle="1" w:styleId="citation-doi">
    <w:name w:val="citation-doi"/>
    <w:basedOn w:val="a0"/>
    <w:rsid w:val="00C75300"/>
  </w:style>
  <w:style w:type="character" w:customStyle="1" w:styleId="apple-converted-space">
    <w:name w:val="apple-converted-space"/>
    <w:basedOn w:val="a0"/>
    <w:rsid w:val="00C75300"/>
  </w:style>
  <w:style w:type="paragraph" w:styleId="a6">
    <w:name w:val="Balloon Text"/>
    <w:basedOn w:val="a"/>
    <w:link w:val="a7"/>
    <w:uiPriority w:val="99"/>
    <w:semiHidden/>
    <w:unhideWhenUsed/>
    <w:rsid w:val="00751132"/>
    <w:rPr>
      <w:sz w:val="18"/>
      <w:szCs w:val="18"/>
    </w:rPr>
  </w:style>
  <w:style w:type="character" w:customStyle="1" w:styleId="a7">
    <w:name w:val="批注框文本 字符"/>
    <w:basedOn w:val="a0"/>
    <w:link w:val="a6"/>
    <w:uiPriority w:val="99"/>
    <w:semiHidden/>
    <w:rsid w:val="00751132"/>
    <w:rPr>
      <w:rFonts w:ascii="宋体" w:hAnsi="宋体" w:cs="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7267051">
      <w:bodyDiv w:val="1"/>
      <w:marLeft w:val="0"/>
      <w:marRight w:val="0"/>
      <w:marTop w:val="0"/>
      <w:marBottom w:val="0"/>
      <w:divBdr>
        <w:top w:val="none" w:sz="0" w:space="0" w:color="auto"/>
        <w:left w:val="none" w:sz="0" w:space="0" w:color="auto"/>
        <w:bottom w:val="none" w:sz="0" w:space="0" w:color="auto"/>
        <w:right w:val="none" w:sz="0" w:space="0" w:color="auto"/>
      </w:divBdr>
    </w:div>
    <w:div w:id="718671152">
      <w:bodyDiv w:val="1"/>
      <w:marLeft w:val="0"/>
      <w:marRight w:val="0"/>
      <w:marTop w:val="0"/>
      <w:marBottom w:val="0"/>
      <w:divBdr>
        <w:top w:val="none" w:sz="0" w:space="0" w:color="auto"/>
        <w:left w:val="none" w:sz="0" w:space="0" w:color="auto"/>
        <w:bottom w:val="none" w:sz="0" w:space="0" w:color="auto"/>
        <w:right w:val="none" w:sz="0" w:space="0" w:color="auto"/>
      </w:divBdr>
    </w:div>
    <w:div w:id="740253630">
      <w:bodyDiv w:val="1"/>
      <w:marLeft w:val="0"/>
      <w:marRight w:val="0"/>
      <w:marTop w:val="0"/>
      <w:marBottom w:val="0"/>
      <w:divBdr>
        <w:top w:val="none" w:sz="0" w:space="0" w:color="auto"/>
        <w:left w:val="none" w:sz="0" w:space="0" w:color="auto"/>
        <w:bottom w:val="none" w:sz="0" w:space="0" w:color="auto"/>
        <w:right w:val="none" w:sz="0" w:space="0" w:color="auto"/>
      </w:divBdr>
    </w:div>
    <w:div w:id="839856046">
      <w:bodyDiv w:val="1"/>
      <w:marLeft w:val="0"/>
      <w:marRight w:val="0"/>
      <w:marTop w:val="0"/>
      <w:marBottom w:val="0"/>
      <w:divBdr>
        <w:top w:val="none" w:sz="0" w:space="0" w:color="auto"/>
        <w:left w:val="none" w:sz="0" w:space="0" w:color="auto"/>
        <w:bottom w:val="none" w:sz="0" w:space="0" w:color="auto"/>
        <w:right w:val="none" w:sz="0" w:space="0" w:color="auto"/>
      </w:divBdr>
    </w:div>
    <w:div w:id="904804403">
      <w:bodyDiv w:val="1"/>
      <w:marLeft w:val="0"/>
      <w:marRight w:val="0"/>
      <w:marTop w:val="0"/>
      <w:marBottom w:val="0"/>
      <w:divBdr>
        <w:top w:val="none" w:sz="0" w:space="0" w:color="auto"/>
        <w:left w:val="none" w:sz="0" w:space="0" w:color="auto"/>
        <w:bottom w:val="none" w:sz="0" w:space="0" w:color="auto"/>
        <w:right w:val="none" w:sz="0" w:space="0" w:color="auto"/>
      </w:divBdr>
    </w:div>
    <w:div w:id="934437786">
      <w:bodyDiv w:val="1"/>
      <w:marLeft w:val="0"/>
      <w:marRight w:val="0"/>
      <w:marTop w:val="0"/>
      <w:marBottom w:val="0"/>
      <w:divBdr>
        <w:top w:val="none" w:sz="0" w:space="0" w:color="auto"/>
        <w:left w:val="none" w:sz="0" w:space="0" w:color="auto"/>
        <w:bottom w:val="none" w:sz="0" w:space="0" w:color="auto"/>
        <w:right w:val="none" w:sz="0" w:space="0" w:color="auto"/>
      </w:divBdr>
    </w:div>
    <w:div w:id="976641245">
      <w:bodyDiv w:val="1"/>
      <w:marLeft w:val="0"/>
      <w:marRight w:val="0"/>
      <w:marTop w:val="0"/>
      <w:marBottom w:val="0"/>
      <w:divBdr>
        <w:top w:val="none" w:sz="0" w:space="0" w:color="auto"/>
        <w:left w:val="none" w:sz="0" w:space="0" w:color="auto"/>
        <w:bottom w:val="none" w:sz="0" w:space="0" w:color="auto"/>
        <w:right w:val="none" w:sz="0" w:space="0" w:color="auto"/>
      </w:divBdr>
    </w:div>
    <w:div w:id="1021198603">
      <w:bodyDiv w:val="1"/>
      <w:marLeft w:val="0"/>
      <w:marRight w:val="0"/>
      <w:marTop w:val="0"/>
      <w:marBottom w:val="0"/>
      <w:divBdr>
        <w:top w:val="none" w:sz="0" w:space="0" w:color="auto"/>
        <w:left w:val="none" w:sz="0" w:space="0" w:color="auto"/>
        <w:bottom w:val="none" w:sz="0" w:space="0" w:color="auto"/>
        <w:right w:val="none" w:sz="0" w:space="0" w:color="auto"/>
      </w:divBdr>
    </w:div>
    <w:div w:id="1136022191">
      <w:bodyDiv w:val="1"/>
      <w:marLeft w:val="0"/>
      <w:marRight w:val="0"/>
      <w:marTop w:val="0"/>
      <w:marBottom w:val="0"/>
      <w:divBdr>
        <w:top w:val="none" w:sz="0" w:space="0" w:color="auto"/>
        <w:left w:val="none" w:sz="0" w:space="0" w:color="auto"/>
        <w:bottom w:val="none" w:sz="0" w:space="0" w:color="auto"/>
        <w:right w:val="none" w:sz="0" w:space="0" w:color="auto"/>
      </w:divBdr>
    </w:div>
    <w:div w:id="1365669525">
      <w:bodyDiv w:val="1"/>
      <w:marLeft w:val="0"/>
      <w:marRight w:val="0"/>
      <w:marTop w:val="0"/>
      <w:marBottom w:val="0"/>
      <w:divBdr>
        <w:top w:val="none" w:sz="0" w:space="0" w:color="auto"/>
        <w:left w:val="none" w:sz="0" w:space="0" w:color="auto"/>
        <w:bottom w:val="none" w:sz="0" w:space="0" w:color="auto"/>
        <w:right w:val="none" w:sz="0" w:space="0" w:color="auto"/>
      </w:divBdr>
    </w:div>
    <w:div w:id="1554534775">
      <w:bodyDiv w:val="1"/>
      <w:marLeft w:val="0"/>
      <w:marRight w:val="0"/>
      <w:marTop w:val="0"/>
      <w:marBottom w:val="0"/>
      <w:divBdr>
        <w:top w:val="none" w:sz="0" w:space="0" w:color="auto"/>
        <w:left w:val="none" w:sz="0" w:space="0" w:color="auto"/>
        <w:bottom w:val="none" w:sz="0" w:space="0" w:color="auto"/>
        <w:right w:val="none" w:sz="0" w:space="0" w:color="auto"/>
      </w:divBdr>
    </w:div>
    <w:div w:id="1575167955">
      <w:bodyDiv w:val="1"/>
      <w:marLeft w:val="0"/>
      <w:marRight w:val="0"/>
      <w:marTop w:val="0"/>
      <w:marBottom w:val="0"/>
      <w:divBdr>
        <w:top w:val="none" w:sz="0" w:space="0" w:color="auto"/>
        <w:left w:val="none" w:sz="0" w:space="0" w:color="auto"/>
        <w:bottom w:val="none" w:sz="0" w:space="0" w:color="auto"/>
        <w:right w:val="none" w:sz="0" w:space="0" w:color="auto"/>
      </w:divBdr>
    </w:div>
    <w:div w:id="1713574788">
      <w:bodyDiv w:val="1"/>
      <w:marLeft w:val="0"/>
      <w:marRight w:val="0"/>
      <w:marTop w:val="0"/>
      <w:marBottom w:val="0"/>
      <w:divBdr>
        <w:top w:val="none" w:sz="0" w:space="0" w:color="auto"/>
        <w:left w:val="none" w:sz="0" w:space="0" w:color="auto"/>
        <w:bottom w:val="none" w:sz="0" w:space="0" w:color="auto"/>
        <w:right w:val="none" w:sz="0" w:space="0" w:color="auto"/>
      </w:divBdr>
    </w:div>
    <w:div w:id="1733112092">
      <w:bodyDiv w:val="1"/>
      <w:marLeft w:val="0"/>
      <w:marRight w:val="0"/>
      <w:marTop w:val="0"/>
      <w:marBottom w:val="0"/>
      <w:divBdr>
        <w:top w:val="none" w:sz="0" w:space="0" w:color="auto"/>
        <w:left w:val="none" w:sz="0" w:space="0" w:color="auto"/>
        <w:bottom w:val="none" w:sz="0" w:space="0" w:color="auto"/>
        <w:right w:val="none" w:sz="0" w:space="0" w:color="auto"/>
      </w:divBdr>
    </w:div>
    <w:div w:id="1802965811">
      <w:bodyDiv w:val="1"/>
      <w:marLeft w:val="0"/>
      <w:marRight w:val="0"/>
      <w:marTop w:val="0"/>
      <w:marBottom w:val="0"/>
      <w:divBdr>
        <w:top w:val="none" w:sz="0" w:space="0" w:color="auto"/>
        <w:left w:val="none" w:sz="0" w:space="0" w:color="auto"/>
        <w:bottom w:val="none" w:sz="0" w:space="0" w:color="auto"/>
        <w:right w:val="none" w:sz="0" w:space="0" w:color="auto"/>
      </w:divBdr>
    </w:div>
    <w:div w:id="1955866473">
      <w:bodyDiv w:val="1"/>
      <w:marLeft w:val="0"/>
      <w:marRight w:val="0"/>
      <w:marTop w:val="0"/>
      <w:marBottom w:val="0"/>
      <w:divBdr>
        <w:top w:val="none" w:sz="0" w:space="0" w:color="auto"/>
        <w:left w:val="none" w:sz="0" w:space="0" w:color="auto"/>
        <w:bottom w:val="none" w:sz="0" w:space="0" w:color="auto"/>
        <w:right w:val="none" w:sz="0" w:space="0" w:color="auto"/>
      </w:divBdr>
    </w:div>
    <w:div w:id="21056131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nccn.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1342</Words>
  <Characters>3345</Characters>
  <Application>Microsoft Office Word</Application>
  <DocSecurity>0</DocSecurity>
  <Lines>159</Lines>
  <Paragraphs>123</Paragraphs>
  <ScaleCrop>false</ScaleCrop>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6</cp:revision>
  <dcterms:created xsi:type="dcterms:W3CDTF">2021-03-03T16:14:00Z</dcterms:created>
  <dcterms:modified xsi:type="dcterms:W3CDTF">2021-03-05T04:29:00Z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