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微软雅黑" w:cs="Times New Roman"/>
          <w:i w:val="0"/>
          <w:iCs w:val="0"/>
          <w:caps w:val="0"/>
          <w:color w:val="454545"/>
          <w:spacing w:val="0"/>
          <w:sz w:val="22"/>
          <w:szCs w:val="22"/>
          <w:shd w:val="clear" w:fill="FFFFFF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54545"/>
          <w:spacing w:val="0"/>
          <w:sz w:val="22"/>
          <w:szCs w:val="22"/>
          <w:shd w:val="clear" w:fill="FFFFFF"/>
        </w:rPr>
        <w:t>Supplementary materials</w:t>
      </w:r>
    </w:p>
    <w:p>
      <w:pPr>
        <w:rPr>
          <w:rFonts w:hint="eastAsia" w:ascii="微软雅黑" w:hAnsi="微软雅黑" w:eastAsia="微软雅黑" w:cs="微软雅黑"/>
          <w:i w:val="0"/>
          <w:iCs w:val="0"/>
          <w:caps w:val="0"/>
          <w:color w:val="454545"/>
          <w:spacing w:val="0"/>
          <w:sz w:val="22"/>
          <w:szCs w:val="22"/>
          <w:shd w:val="clear" w:fill="FFFFFF"/>
          <w:lang w:val="en-US" w:eastAsia="zh-CN"/>
        </w:rPr>
      </w:pPr>
      <w:r>
        <w:drawing>
          <wp:inline distT="0" distB="0" distL="114300" distR="114300">
            <wp:extent cx="5269865" cy="3750310"/>
            <wp:effectExtent l="0" t="0" r="3175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9865" cy="3750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rPr>
          <w:rFonts w:hint="default" w:ascii="Times New Roman" w:hAnsi="Times New Roman" w:eastAsia="微软雅黑" w:cs="Times New Roman"/>
          <w:i w:val="0"/>
          <w:iCs w:val="0"/>
          <w:caps w:val="0"/>
          <w:color w:val="454545"/>
          <w:spacing w:val="0"/>
          <w:sz w:val="22"/>
          <w:szCs w:val="22"/>
          <w:shd w:val="clear" w:fill="FFFFFF"/>
          <w:lang w:val="en-US" w:eastAsia="zh-CN"/>
        </w:rPr>
      </w:pPr>
    </w:p>
    <w:p>
      <w:pPr>
        <w:rPr>
          <w:rFonts w:hint="default" w:ascii="Times New Roman" w:hAnsi="Times New Roman" w:eastAsia="微软雅黑" w:cs="Times New Roman"/>
          <w:i w:val="0"/>
          <w:iCs w:val="0"/>
          <w:caps w:val="0"/>
          <w:color w:val="454545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54545"/>
          <w:spacing w:val="0"/>
          <w:sz w:val="22"/>
          <w:szCs w:val="22"/>
          <w:shd w:val="clear" w:fill="FFFFFF"/>
          <w:lang w:val="en-US" w:eastAsia="zh-CN"/>
        </w:rPr>
        <w:t>Sup</w:t>
      </w:r>
      <w:r>
        <w:rPr>
          <w:rFonts w:hint="eastAsia" w:ascii="Times New Roman" w:hAnsi="Times New Roman" w:eastAsia="微软雅黑" w:cs="Times New Roman"/>
          <w:i w:val="0"/>
          <w:iCs w:val="0"/>
          <w:caps w:val="0"/>
          <w:color w:val="454545"/>
          <w:spacing w:val="0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54545"/>
          <w:spacing w:val="0"/>
          <w:sz w:val="22"/>
          <w:szCs w:val="22"/>
          <w:shd w:val="clear" w:fill="FFFFFF"/>
          <w:lang w:val="en-US" w:eastAsia="zh-CN"/>
        </w:rPr>
        <w:t xml:space="preserve">Figure 1 The recognition rate of DLM under different serum potassium concentrations. </w:t>
      </w:r>
    </w:p>
    <w:p>
      <w:pPr>
        <w:rPr>
          <w:rFonts w:hint="default" w:ascii="Times New Roman" w:hAnsi="Times New Roman" w:eastAsia="微软雅黑" w:cs="Times New Roman"/>
          <w:i w:val="0"/>
          <w:iCs w:val="0"/>
          <w:caps w:val="0"/>
          <w:color w:val="454545"/>
          <w:spacing w:val="0"/>
          <w:sz w:val="22"/>
          <w:szCs w:val="22"/>
          <w:shd w:val="clear" w:fill="FFFFFF"/>
          <w:lang w:val="en-US" w:eastAsia="zh-CN"/>
        </w:rPr>
      </w:pPr>
      <w:r>
        <w:rPr>
          <w:rFonts w:hint="default" w:ascii="Times New Roman" w:hAnsi="Times New Roman" w:eastAsia="微软雅黑" w:cs="Times New Roman"/>
          <w:i w:val="0"/>
          <w:iCs w:val="0"/>
          <w:caps w:val="0"/>
          <w:color w:val="454545"/>
          <w:spacing w:val="0"/>
          <w:sz w:val="22"/>
          <w:szCs w:val="22"/>
          <w:shd w:val="clear" w:fill="FFFFFF"/>
          <w:lang w:val="en-US" w:eastAsia="zh-CN"/>
        </w:rPr>
        <w:t>DLM: Deep learning model.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334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2021-08-24T07:43:43Z</dcterms:created>
  <dc:creator>WANG Chenxi</dc:creator>
  <cp:lastModifiedBy>王晨曦</cp:lastModifiedBy>
  <dcterms:modified xsi:type="dcterms:W3CDTF">2021-08-24T07:45:18Z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4AF35CB3091B48F993FC9E5C8CDA1C79</vt:lpwstr>
  </property>
</Properties>
</file>