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86" w:rsidRPr="00313186" w:rsidRDefault="00313186" w:rsidP="00313186">
      <w:bookmarkStart w:id="0" w:name="_GoBack"/>
      <w:bookmarkEnd w:id="0"/>
      <w:r w:rsidRPr="00313186">
        <w:t xml:space="preserve">Supplementary </w:t>
      </w:r>
      <w:r>
        <w:t>data</w:t>
      </w:r>
      <w:r w:rsidRPr="00313186">
        <w:t xml:space="preserve">: </w:t>
      </w:r>
    </w:p>
    <w:p w:rsidR="00313186" w:rsidRPr="00313186" w:rsidRDefault="00313186" w:rsidP="00313186">
      <w:pPr>
        <w:rPr>
          <w:b/>
        </w:rPr>
      </w:pPr>
      <w:r w:rsidRPr="00313186">
        <w:rPr>
          <w:b/>
        </w:rPr>
        <w:t>Search strategy</w:t>
      </w:r>
    </w:p>
    <w:p w:rsidR="00313186" w:rsidRPr="00313186" w:rsidRDefault="00313186" w:rsidP="00313186">
      <w:r w:rsidRPr="00313186">
        <w:t>DATABASES searched: Web of Science (all collections) / EMBASE + MEDLINE (New-STN source)</w:t>
      </w:r>
    </w:p>
    <w:p w:rsidR="00313186" w:rsidRPr="00313186" w:rsidRDefault="00313186" w:rsidP="00313186">
      <w:r w:rsidRPr="00313186">
        <w:t>Keywords and topics</w:t>
      </w:r>
    </w:p>
    <w:p w:rsidR="00313186" w:rsidRPr="00313186" w:rsidRDefault="00313186" w:rsidP="00313186">
      <w:r w:rsidRPr="00313186">
        <w:t>Products search: “Broncho-Vaxom” OR “Broncho Vaxom” OR “bronchovaxom” OR “Broncho-Munal” OR “Broncho Munal” OR “bronchomunal” OR “Imocur” OR “OM-85” OR “OM 85” OR “OM-85 BV” OR “OM85” OR “PulmonarOM” OR “Pulmonar OM” OR “Pulmonar-OM” OR “Respivax” OR “Bactek” OR “SL-04” OR “Pidotimod” OR “Polimod” OR “Adimod” OR “Polimod” OR “Axil” OR “Ismigen” OR “Immubron” OR “Leucogen” OR “Lantigen B” OR “Ribomunyl” OR “Ribovac” OR “Immuncytal” OR “ru41740” OR “ru-41740” OR “ru 41740” OR “Biostim” OR “Imudon” OR “Luivac” OR “immunobalt” OR “LW 50020” OR “LW50020” OR “Paspat” OR “Munostimn” OR “Lantigen B” OR “IRS 19” OR “IRS-19” OR “IRS19” OR “Vacunace” OR “Pidotimod” OR “Polimod”</w:t>
      </w:r>
    </w:p>
    <w:p w:rsidR="00313186" w:rsidRPr="00313186" w:rsidRDefault="00313186" w:rsidP="00313186">
      <w:r w:rsidRPr="00313186">
        <w:t>Broncho-Vaxom OR Broncho Vaxom OR bronchovaxom OR Broncho-Munal OR Broncho Munal OR bronchomunal OR Imocur OR OM-85 OR OM 85 OR OM-85 BV OR OM85 OR PulmonarOM OR Pulmonar OM OR Pulmonar-OM OR Respivax OR Bactek OR SL-04 OR Pidotimod OR Polimod OR Adimod OR Polimod OR Axil OR Ismigen OR Immubron OR Leucogen OR Lantigen B OR Ribomunyl OR Ribovac OR Immuncytal OR ru41740 OR ru-41740 OR ru 41740 OR Biostim OR Imudon OR Luivac OR immunobalt OR LW 50020 OR LW50020 OR Paspat OR Munostimn OR Lantigen B OR IRS 19 OR IRS-19 OR IRS19 OR Vacunace OR Pidotimod OR Polimod</w:t>
      </w:r>
    </w:p>
    <w:p w:rsidR="00313186" w:rsidRPr="00313186" w:rsidRDefault="00313186" w:rsidP="00313186">
      <w:r w:rsidRPr="00313186">
        <w:t xml:space="preserve">AND </w:t>
      </w:r>
    </w:p>
    <w:p w:rsidR="00313186" w:rsidRPr="00313186" w:rsidRDefault="00313186" w:rsidP="00313186">
      <w:r w:rsidRPr="00313186">
        <w:t>Respiratory tract infection OR respiratory NEAR/5 infect* OR adjuvant OR immunologic OR immunostimulant* or immunomodulat* OR immunoadjuvant* OR immunologic adjuvant*</w:t>
      </w:r>
    </w:p>
    <w:p w:rsidR="00313186" w:rsidRPr="00313186" w:rsidRDefault="00313186" w:rsidP="00313186">
      <w:r w:rsidRPr="00313186">
        <w:t>AND</w:t>
      </w:r>
    </w:p>
    <w:p w:rsidR="00313186" w:rsidRPr="00313186" w:rsidRDefault="00313186" w:rsidP="00313186">
      <w:r w:rsidRPr="00313186">
        <w:t>asthma* OR wheez* OR adjuvant OR immunologic OR immunostimulant* or immunomodulat* OR immunoadjuvant* OR immunologic adjuvant*</w:t>
      </w:r>
    </w:p>
    <w:p w:rsidR="00313186" w:rsidRPr="00313186" w:rsidRDefault="00313186" w:rsidP="00313186">
      <w:r w:rsidRPr="00313186">
        <w:t>AND</w:t>
      </w:r>
    </w:p>
    <w:p w:rsidR="00313186" w:rsidRPr="00313186" w:rsidRDefault="00313186" w:rsidP="00313186">
      <w:r w:rsidRPr="00313186">
        <w:t>Animal model OR mouse OR murine OR rat* OR rabbit* OR monkey* OR cat* OR dog* OR ferret*</w:t>
      </w:r>
    </w:p>
    <w:p w:rsidR="00313186" w:rsidRPr="00313186" w:rsidRDefault="00313186" w:rsidP="00313186">
      <w:r w:rsidRPr="00313186">
        <w:t>AND</w:t>
      </w:r>
    </w:p>
    <w:p w:rsidR="00313186" w:rsidRPr="00313186" w:rsidRDefault="00313186" w:rsidP="00313186">
      <w:r w:rsidRPr="00313186">
        <w:t xml:space="preserve">“Cell culture” OR “in vitro” </w:t>
      </w:r>
    </w:p>
    <w:p w:rsidR="00313186" w:rsidRPr="00313186" w:rsidRDefault="00313186" w:rsidP="00313186">
      <w:pPr>
        <w:rPr>
          <w:b/>
        </w:rPr>
      </w:pPr>
    </w:p>
    <w:p w:rsidR="00313186" w:rsidRPr="00313186" w:rsidRDefault="00313186" w:rsidP="00313186">
      <w:r w:rsidRPr="00313186">
        <w:rPr>
          <w:b/>
        </w:rPr>
        <w:t>Supplementary figure 1</w:t>
      </w:r>
      <w:r w:rsidRPr="00313186">
        <w:t>: Study disposition</w:t>
      </w:r>
    </w:p>
    <w:p w:rsidR="00313186" w:rsidRPr="00313186" w:rsidRDefault="00313186" w:rsidP="00313186">
      <w:r w:rsidRPr="00313186">
        <w:t xml:space="preserve"> </w:t>
      </w:r>
      <w:r w:rsidR="00055441">
        <w:rPr>
          <w:lang w:val="en-US"/>
        </w:rPr>
        <w:drawing>
          <wp:inline distT="0" distB="0" distL="0" distR="0" wp14:anchorId="4E40AF88">
            <wp:extent cx="5410731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58" cy="501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186" w:rsidRPr="00313186" w:rsidRDefault="00313186" w:rsidP="00313186">
      <w:r w:rsidRPr="00313186">
        <w:rPr>
          <w:b/>
        </w:rPr>
        <w:lastRenderedPageBreak/>
        <w:t>Supplementary table 1:</w:t>
      </w:r>
      <w:r w:rsidRPr="00313186">
        <w:t xml:space="preserve"> </w:t>
      </w:r>
      <w:r w:rsidRPr="00313186">
        <w:rPr>
          <w:lang w:val="en-US"/>
        </w:rPr>
        <w:t>Efficacy of immunomodulators for the prevention of RTIs in children</w:t>
      </w:r>
      <w:r w:rsidRPr="00313186" w:rsidDel="00A7724E">
        <w:t xml:space="preserve"> </w:t>
      </w:r>
    </w:p>
    <w:tbl>
      <w:tblPr>
        <w:tblStyle w:val="TableGrid"/>
        <w:tblW w:w="15174" w:type="dxa"/>
        <w:tblLook w:val="04A0" w:firstRow="1" w:lastRow="0" w:firstColumn="1" w:lastColumn="0" w:noHBand="0" w:noVBand="1"/>
      </w:tblPr>
      <w:tblGrid>
        <w:gridCol w:w="1175"/>
        <w:gridCol w:w="2899"/>
        <w:gridCol w:w="3486"/>
        <w:gridCol w:w="4066"/>
        <w:gridCol w:w="2223"/>
        <w:gridCol w:w="1325"/>
      </w:tblGrid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Therapy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Population (N)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Design  and regimen</w:t>
            </w:r>
          </w:p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Immunomodulator RTI outcomes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Adverse events (treatment related)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Reference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OM-85 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Mexican children aged 1−12 years with RRTI (≥ 3 RTIs in previous 6 months) (54)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 month, placebo controlled, parallel group, randomized trial: OM-85 standard regimen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(3.5 mg/qd for 10 days a month for 3 consecutive months) at months 1 and 6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>-Reduced acute RTIs –2.96 (95% CI, –4.22 to –1.7; P&lt;0.001)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>-Reduced RTI duration –25.52 days (95% CI, –37.56 to –13.47 days; P&lt;0.001)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>-Reduced antibiotic use –2.0 (95% CI, –3.14 to –0.86; P&lt;0.001)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Mild and similar between groups (one case of skin rash)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Gutierrez-Tarango and Berber 2001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(80)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 month, randomized active control (probiotic Bifico)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symptoms and RTIs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Gu, 2015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European children aged 3−8 years with acute presentation and recurrent URTI  (≥ 3 RTIs in previous 12 months)  (232)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6-month, multicentre, randomized, double-blind, placebo-controlled study: standard regimen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t>-</w:t>
            </w:r>
            <w:r w:rsidRPr="00313186">
              <w:rPr>
                <w:lang w:val="en-US"/>
              </w:rPr>
              <w:t>16% reduction in URTIs (P&lt;0.05)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>-11% difference in patients suffering &gt; 3 URTIs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>-Reduced use of concomitant non-antibiotic medications (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Mild and similar between groups (GI events)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Schaad, 2002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Lebanese children 1−15 years old with recurrent tonsillitis (&gt; 3 infections in previous 12 months) (177)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A five-year single-centre retrospective cohort study: standard regimen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-51.2% had a complete response (&gt; 50% decrease in episodes)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-24.4% had a partial response (≤50% reduction in episodes) 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  <w:r w:rsidRPr="00313186">
              <w:rPr>
                <w:lang w:val="en-US"/>
              </w:rPr>
              <w:t>No patients with a complete response required a tonsillectomy (median follow-up 9 months)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Bitar and Saade, 2013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Mexican children aged 18 months to 12 years with subacute sinusitis (54) 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6-month, double-blind placebo controlled randomized trial: standard regimen with amoxicillin/clavulanate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-Faster recovery (5.56 [4.98] vs 10 [8.49] days)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-Shorter period of convalescence (15.38 [8.91] vs 20.28 [7.17] days)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infections (1.56 [0.3] vs 2.22 [0.43])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drug treatments (1.47 [0.32] vs 1.94 [0.42]) 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One case of mild rash, which resolved after treatment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Gomez Barreto, 1998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Mexican girls aged 6−13 years old living in an orphanage (200)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6-months, double-blind, placebo-controlled, randomized trial: standard regimen 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>-Reduced ARTIs (135 vs 299 events; median/per child 1.0  vs 3.0; P&lt;0.001)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>-Lower median duration of illness, number of missed school days, number of antibiotic and drug courses, and duration of concomitant treatment (P&lt;0.001)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treatment-related events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Jara-Perez, 2000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Italian children aged 3−5 years with RRTI (≥ 6 RTIs in previous 12 months) (68)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Prospective, single-centre, single-blind, randomized trial: standard regimen with influenza vaccine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-Lower incidence (0.73 vs 2.19) and prevalence (5 vs 15) of URTI and LRTI (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-Lower use of antibiotics (0.49 vs 1.76;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-Less school absenteeism (3.16 vs 6.55 days;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Adverse events were similar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Esposito, 2014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Chinese children aged 4–12 years with chronic rhinosinusitis (96) 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 month randomized trial of OM-85 vs intermittent saline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3.5 mg qd for 10 days a month for 3 consecutive months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-Reduced rhinosinusitis score (</w:t>
            </w:r>
            <w:r w:rsidRPr="00313186">
              <w:rPr>
                <w:i/>
              </w:rPr>
              <w:t>P</w:t>
            </w:r>
            <w:r w:rsidRPr="00313186">
              <w:t>=0.023)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nasal obstruction score (</w:t>
            </w:r>
            <w:r w:rsidRPr="00313186">
              <w:rPr>
                <w:i/>
              </w:rPr>
              <w:t>P</w:t>
            </w:r>
            <w:r w:rsidRPr="00313186">
              <w:t>=0.04)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nasal discharge score (</w:t>
            </w:r>
            <w:r w:rsidRPr="00313186">
              <w:rPr>
                <w:i/>
              </w:rPr>
              <w:t>P</w:t>
            </w:r>
            <w:r w:rsidRPr="00313186">
              <w:t>=0.04)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-Reduced days/month with rhinitis attacks (</w:t>
            </w:r>
            <w:r w:rsidRPr="00313186">
              <w:rPr>
                <w:i/>
              </w:rPr>
              <w:t>P</w:t>
            </w:r>
            <w:r w:rsidRPr="00313186">
              <w:t>=0.038)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days/month with antibiotic use (</w:t>
            </w:r>
            <w:r w:rsidRPr="00313186">
              <w:rPr>
                <w:i/>
              </w:rPr>
              <w:t>P</w:t>
            </w:r>
            <w:r w:rsidRPr="00313186">
              <w:t>&lt;0.01)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Chen, 2017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Pidotimod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aged 3−6 years old with RRTI (&gt; 6 RTI/year)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 month active-control study: 400 mg pidotimod qd for 30 days vs amoxicillin/clavulanic acid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-No reduction in incidence of RTI overall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-Reduction in prevalence of moderate RTI (16.6% vs 44.3%; </w:t>
            </w:r>
            <w:r w:rsidRPr="00313186">
              <w:rPr>
                <w:i/>
              </w:rPr>
              <w:t>P</w:t>
            </w:r>
            <w:r w:rsidRPr="00313186">
              <w:t>=0.0004)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-Lower complication rate (rhinopharyngitis, otitis, etc.) (15.4% vs 43%;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-Less antibacterial therapy during follow-up (17.9% vs 53.2%;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Namazova-Baranova, 2014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(120)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Double-blind, placebo-controlled, randomized, multicentre trial: not stated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-Decrease in the risk of relapses (35%)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-Reduction of hospitalization (86%)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-Decreased antibiotic therapy (47%)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observed side-effects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Caramia, 2008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adults and children with RRTI (≥ 5 acute, febrile, oropharyngeal infectious episodes) (40)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Randomized, parallel-group active-control clinical study: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Pidotimod vs Lyophilized poly-bacterial lysates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-Lower incidence of infectious episodes 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Good tolerance and compliance for both drugs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Di Filippo, 2008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(86)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Randomized controlled trial: 3 months of pidotimod or spleen amino-peptide with routine treatment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duration of clinical symptoms (P&lt;0.01) </w:t>
            </w:r>
            <w:r w:rsidRPr="00313186">
              <w:br/>
              <w:t>-Better clinical efficacy (P&lt;0.05)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Zhou and Dai 2012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Greek children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(50)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9 month, randomized study: 400 mg pidotimod bid for 15 days and 400 mg qd for 20 days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-Less children had &gt; 2 infections during follow-up (87.5% vs 33.3%; </w:t>
            </w:r>
            <w:r w:rsidRPr="00313186">
              <w:rPr>
                <w:i/>
              </w:rPr>
              <w:t>P</w:t>
            </w:r>
            <w:r w:rsidRPr="00313186">
              <w:t>&lt;0.001).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Aivazis, 2002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Italian children aged 3−10 years with RRTI (&gt; 6 RTI in previous 12 months) (89)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3 month randomized parallel-group study: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400 mg pidotimod qd for 60 days 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prevalence of children with URTI symptoms (</w:t>
            </w:r>
            <w:r w:rsidRPr="00313186">
              <w:rPr>
                <w:i/>
              </w:rPr>
              <w:t>P</w:t>
            </w:r>
            <w:r w:rsidRPr="00313186">
              <w:t>&lt;0.01) and LRTI symptoms (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-Increased school attendance (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paediatric visits for RTI (94% vs 71%;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significant adverse effects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Licari, 2014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(214)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Randomized controlled trial vs active control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-Higher effective rate (91.5% vs 78.5%; </w:t>
            </w:r>
            <w:r w:rsidRPr="00313186">
              <w:rPr>
                <w:i/>
              </w:rPr>
              <w:t>P</w:t>
            </w:r>
            <w:r w:rsidRPr="00313186">
              <w:t xml:space="preserve">&lt;0. 05), not defined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fever (P&lt;0. 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-Improved cough relief and time of reduction or disappearance of pulmonary rales (P&lt;0. 05)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obvious adverse reactions with pidotimod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Yu, 2014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with RTI* (49)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Open-label controlled clinical trial: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four week course of pidotimod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-Less frequent illness (1.7 times fewer events)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Kharit, 2010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aged 3−14 years old with RRTI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(90)  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Active control study: 60 days of pidotimod vs standard care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RTI, RTI complications,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antibacterial drug use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Migatcheva 2012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Healthy 3-year old Italian children about to enter day care (57)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Multi-centre, randomized, double-blinded, placebo-controlled trial: 400 mg pidotimod bid 10 </w:t>
            </w:r>
            <w:r w:rsidRPr="00313186">
              <w:lastRenderedPageBreak/>
              <w:t>days/month from October-April vs placebo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-Incidence rate ratio 0.78 (95% CI 0.53−1.15, P=0.211)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-Risk ratio for antibiotic use 0.56 (95% CI 0.27−1.16; P=0.120)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Only one event urticaria, resolved after discontinuation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Mameli, 2015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Ribomunyl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Italian children aged 2–5 years attending or about to start day care with a history of ≤ 5 RTIs [A] of &gt; 5 RTIs [B] (164)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12-month, multicentre, randomized, double-blind, placebo-controlled, parallel-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group study: ribomunyl or placebo qd for 4 days/week for 3 consecutive weeks then qd 4 days/month for 5-months 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-Shorter duration of infective episodes (3.6 vs 4.7;P=0.015) for group A but not group B (5.6 vs 5.3; P=NS)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-Improved well being (A+B)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-Physicians did not rate treated patients as significantly better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-No differences in absenteeism 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Well tolerated with only one treatment-related event, fever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Fiocchi, 2012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Italian children aged 6−14 years with recurrent acute adenoiditis (4 episodes of acute adenoiditis during a 6-month period) (60)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 month, randomized, double blind parallel group study: ribomunyl or placebo qd 8 days/month for 3 months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-Shorter duration of infective episodes (3.6 vs 4.7;</w:t>
            </w:r>
            <w:r w:rsidRPr="00313186">
              <w:rPr>
                <w:i/>
              </w:rPr>
              <w:t>P</w:t>
            </w:r>
            <w:r w:rsidRPr="00313186">
              <w:t>=0.015) for group A but not group B (5.6 vs 5.3; P=NS)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-Improved well being (A+B)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-Physicians did not rate treated patients as significantly better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-No differences in absenteeism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treatment related adverse events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Mora, 2010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Italian children aged between 5−14 years with recurrent pharyngotonsillitis (≥ 3 episodes in the last year) (160)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 month, randomized, double blind parallel group study: ribomunyl or placebo qd 8 days/month for 3 months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infections (0.62 versus 1.70; P &lt; 0.02)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-Subjective decrease in symptoms (3.9 to 1.9)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incidence of fever (P &lt; 0.02), duration of episodes (P &lt; 0.05), ancillary therapy (P &lt; 0.01) and school absence (P &lt; 0.05) were concerned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No treatment related events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Mora, 2007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Children aged 6−14 years old with recurrent infection (≥ 5 in the last year) or otitis media (71)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6-month, randomized, placebo controlled, double blind study: ribomunyl or placebo qd 8 days/month for 3 months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upper (0.50 vs 0.67; P &gt; 0.02), and lower respiratory infections (0.03 vs 0.17; P &gt; 0.02).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-Improved fever (P &gt; 0.02), frequency (P &gt; 0.05) and duration (P &gt; 0.05) of infectious episodes, ancillary therapies (P &gt; 0.01) and school absence (P &gt; 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-Most patients had an improved tympanogram reading</w:t>
            </w:r>
            <w:r w:rsidRPr="00313186" w:rsidDel="00D56DDB">
              <w:t xml:space="preserve"> 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There were no treatment-related adverse events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Mora, 2004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Children aged 4–14 years with otitis media (&gt;2 years' history of recurrent or chronic respiratory infections, and/or had experienced at ≥ 3 episodes during the prior winter)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Randomized double-blind parallel group study: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ribomunyl or placebo qd for 4 days/week for 3 consecutive weeks then qd 4 days/month for 5-months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incidence of infection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incidence of fever, duration of infectious episodes, use of ancillary therapies</w:t>
            </w:r>
            <w:r w:rsidRPr="00313186" w:rsidDel="00D56DDB">
              <w:t xml:space="preserve"> 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  <w:rPr>
                <w:i/>
              </w:rPr>
            </w:pPr>
            <w:r w:rsidRPr="00313186">
              <w:rPr>
                <w:i/>
              </w:rPr>
              <w:t>-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Mora, 2002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LW50020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Swizz children 4−11 years old with RRTIs (≥ 10 infections 4−6 years old; ≥ 8 infections 7−11 years old; ≥ 12 years old ≥ 6 infections;  or at least 4 severe infections, lasting &gt;2 weeks at any age). (200)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Multicentre, prospective, parallel-group, randomized, double blind study: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3 mg LW50020 qd during 4 week immunization and booster period vs placebo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incidence of infections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prevalence of infections (21% difference)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duration of infection, clinical severity score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antibiotic use (64%)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absenteeism within group (1.2 to 0.7 days)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Three drug related events, two cases of transient rhinitis ( 1 patient), once case of diarrhoea  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Rutishauser, 1998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Portuguese children 4−12 years of age with with RRTIs (definition as above). (188)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Multicenter, randomized, 56 week parallel prospective, placebo-controlled, double-blind, dose comparison study: Compared 2 dose regimens, 4 vs 2 active treatment cycles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-Within group reduction in rate of RTI following treatment (1.7 fewer infections /year)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-Within group reduction in duration, of RTI, severity and clinical score following treatment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-Within group 70% reduction in antibiotic use following treatment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  <w:rPr>
                <w:i/>
              </w:rPr>
            </w:pPr>
            <w:r w:rsidRPr="00313186">
              <w:t>Few, transient, and mild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Ruah, 2001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PMBL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(mean age – 4.3±0.6 years) with recurrent</w:t>
            </w:r>
            <w:r w:rsidRPr="00313186">
              <w:rPr>
                <w:vertAlign w:val="superscript"/>
              </w:rPr>
              <w:t>†</w:t>
            </w:r>
            <w:r w:rsidRPr="00313186">
              <w:t xml:space="preserve"> URTI (27)</w:t>
            </w:r>
          </w:p>
        </w:tc>
        <w:tc>
          <w:tcPr>
            <w:tcW w:w="3575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422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-Decrease in RTI (</w:t>
            </w:r>
            <w:r w:rsidRPr="00313186">
              <w:rPr>
                <w:i/>
              </w:rPr>
              <w:t>P</w:t>
            </w:r>
            <w:r w:rsidRPr="00313186">
              <w:t>&lt;0,05)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-Decrease in antiviral drugs use (p&lt;0,05) and antibiotic use.</w:t>
            </w:r>
          </w:p>
        </w:tc>
        <w:tc>
          <w:tcPr>
            <w:tcW w:w="226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Treatment was well tolerated</w:t>
            </w:r>
          </w:p>
        </w:tc>
        <w:tc>
          <w:tcPr>
            <w:tcW w:w="1145" w:type="dxa"/>
          </w:tcPr>
          <w:p w:rsidR="00313186" w:rsidRPr="00313186" w:rsidRDefault="00313186" w:rsidP="00313186">
            <w:pPr>
              <w:spacing w:after="160" w:line="259" w:lineRule="auto"/>
              <w:rPr>
                <w:i/>
              </w:rPr>
            </w:pPr>
            <w:r w:rsidRPr="00313186">
              <w:t>Zaplatnikov, 2016</w:t>
            </w:r>
          </w:p>
        </w:tc>
      </w:tr>
    </w:tbl>
    <w:p w:rsidR="00313186" w:rsidRPr="00313186" w:rsidRDefault="00313186" w:rsidP="00313186">
      <w:r w:rsidRPr="00313186">
        <w:t xml:space="preserve">CI, confidence interval, GI, gastrointestinal. *Children described as sickly/frequently ill. </w:t>
      </w:r>
      <w:r w:rsidRPr="00313186">
        <w:rPr>
          <w:vertAlign w:val="superscript"/>
        </w:rPr>
        <w:t>†</w:t>
      </w:r>
      <w:r w:rsidRPr="00313186">
        <w:t xml:space="preserve">Recurrence not defined. </w:t>
      </w:r>
    </w:p>
    <w:p w:rsidR="00313186" w:rsidRPr="00313186" w:rsidRDefault="00313186" w:rsidP="00313186">
      <w:r w:rsidRPr="00313186">
        <w:fldChar w:fldCharType="begin"/>
      </w:r>
      <w:r w:rsidRPr="00313186">
        <w:instrText xml:space="preserve"> ADDIN EN.REFLIST </w:instrText>
      </w:r>
      <w:r w:rsidRPr="00313186">
        <w:fldChar w:fldCharType="end"/>
      </w:r>
    </w:p>
    <w:p w:rsidR="00313186" w:rsidRPr="00313186" w:rsidRDefault="00313186" w:rsidP="00313186">
      <w:r w:rsidRPr="00313186">
        <w:rPr>
          <w:b/>
        </w:rPr>
        <w:t>Supplementary table 2:</w:t>
      </w:r>
      <w:r w:rsidRPr="00313186">
        <w:t xml:space="preserve"> </w:t>
      </w:r>
      <w:r w:rsidRPr="00313186">
        <w:rPr>
          <w:lang w:val="en-US"/>
        </w:rPr>
        <w:t>Efficacy of immunomodulators for the prevention of wheezing and asthma exacerbation</w:t>
      </w:r>
      <w:r w:rsidRPr="00313186" w:rsidDel="00A7724E">
        <w:t xml:space="preserve"> </w:t>
      </w:r>
    </w:p>
    <w:tbl>
      <w:tblPr>
        <w:tblStyle w:val="TableGrid"/>
        <w:tblW w:w="15174" w:type="dxa"/>
        <w:tblLook w:val="04A0" w:firstRow="1" w:lastRow="0" w:firstColumn="1" w:lastColumn="0" w:noHBand="0" w:noVBand="1"/>
      </w:tblPr>
      <w:tblGrid>
        <w:gridCol w:w="1144"/>
        <w:gridCol w:w="2922"/>
        <w:gridCol w:w="3601"/>
        <w:gridCol w:w="4296"/>
        <w:gridCol w:w="1923"/>
        <w:gridCol w:w="1288"/>
      </w:tblGrid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/>
              <w:rPr>
                <w:b/>
              </w:rPr>
            </w:pPr>
            <w:r w:rsidRPr="00313186">
              <w:rPr>
                <w:b/>
              </w:rPr>
              <w:t>Therapy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/>
              <w:rPr>
                <w:b/>
              </w:rPr>
            </w:pPr>
            <w:r w:rsidRPr="00313186">
              <w:rPr>
                <w:b/>
              </w:rPr>
              <w:t>Population (N)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Design and regimen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Immunomodulator outcomes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Adverse events (treatment related)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  <w:rPr>
                <w:b/>
              </w:rPr>
            </w:pPr>
            <w:r w:rsidRPr="00313186">
              <w:rPr>
                <w:b/>
              </w:rPr>
              <w:t>Reference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/>
            </w:pPr>
            <w:r w:rsidRPr="00313186">
              <w:t xml:space="preserve">OM-85 </w:t>
            </w:r>
          </w:p>
          <w:p w:rsidR="00313186" w:rsidRPr="00313186" w:rsidRDefault="00313186" w:rsidP="00313186">
            <w:pPr>
              <w:spacing w:after="160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/>
            </w:pPr>
            <w:r w:rsidRPr="00313186">
              <w:t>Turkish children 1−6 years old with recurrent wheezing (≥ 3 attack in previous 6 months) (75)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12-month randomized placebo controlled, double-blind study: 3.5 mg or placebo qd for 10 days for 3 months (standard dosing)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incidence of wheezing attacks (37.9%); P&lt;0.001).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duration of each wheezing attack (–2 days; P&lt;0.001).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ARTIs (R = –0.805, P &lt; 0.001)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5 minor transient treatment-related adverse events. 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Razi, 2010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infants aged 7 months to 5 years with capillary bronchitis, secondary bronchial asthma (diagnosis based on journals of paediatrics and related guidelines) (136)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12-month randomized trial: standard dosing  with glucocorticoid atomizing inhalation, aminophylline and antibiotic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incidence of asthma (10.2 vs 4.5;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=0.032)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duration of asthma (4.5 vs 2.9 days;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=0.039)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incidence of capillary bronchitis  (17.9 vs 6.8;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=0.037)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 xml:space="preserve">-Reduced duration of capillary bronchitis (4.7 vs 3.3 days;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=0.042)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Han, 2016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asthma and RRTI (not defined) (62)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12-month, randomized, placebo-controlled, double blind trial: OM-85 or placebo, plus inhaled glucocorticoids 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>- Frequency of respiratory tract infection was reduced (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&lt;0.05)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3 mild events across the two groups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Liao and Zhang, 2014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infants with wheezing who had received oxygen support, glucocorticoids, or bronchodilator (43), plus healthy controls (10)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Prospective 12-month study: standard dosing OM-85 vs budesonide aerosol 200 µg qd or bid for 3 months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recurrent wheezing (&gt;3 episodes) (25% vs 62%;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>-Reduced infection rate (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&lt;0.05)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Chen, 2007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acute-stage asthma (45)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12-month study: OM-85 with inhaled corticosteroids or corticosteroids alone 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emergency visits due to asthma (1.32 vs 2.17;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 -Reduced emergency visits due to RTI (1.32 vs 3.78; </w:t>
            </w:r>
            <w:r w:rsidRPr="00313186">
              <w:rPr>
                <w:i/>
              </w:rPr>
              <w:t>P</w:t>
            </w:r>
            <w:r w:rsidRPr="00313186">
              <w:t>&lt;0.05)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-Frequency of RTI correlated with asthma in both groups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-Better lung function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Chen, 2009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Chinese children with a diagnosis of asthma aged 5−15 years old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12-month study randomized study vs standard care: OM-85 (3.5 mg for those 5–12 years old or 7.0 mg for those &gt;12 years old) qd for 10 days for 3 months +ICS.  Two courses beginning at 1</w:t>
            </w:r>
            <w:r w:rsidRPr="00313186">
              <w:rPr>
                <w:vertAlign w:val="superscript"/>
              </w:rPr>
              <w:t>st</w:t>
            </w:r>
            <w:r w:rsidRPr="00313186">
              <w:t xml:space="preserve"> and 7</w:t>
            </w:r>
            <w:r w:rsidRPr="00313186">
              <w:rPr>
                <w:vertAlign w:val="superscript"/>
              </w:rPr>
              <w:t>th</w:t>
            </w:r>
            <w:r w:rsidRPr="00313186">
              <w:t xml:space="preserve"> month  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incidence of asthma attacks (0.9 vs 1.8;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 xml:space="preserve">=0.01) 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duration of wheeze (2.1 vs 3.1 days;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=0.03)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incidence of RTI (3.1 vs 7.4;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&lt;0.01)</w:t>
            </w:r>
          </w:p>
          <w:p w:rsidR="00313186" w:rsidRPr="00313186" w:rsidRDefault="00313186" w:rsidP="00313186">
            <w:pPr>
              <w:spacing w:after="160" w:line="259" w:lineRule="auto"/>
              <w:rPr>
                <w:lang w:val="en-US"/>
              </w:rPr>
            </w:pPr>
            <w:r w:rsidRPr="00313186">
              <w:rPr>
                <w:lang w:val="en-US"/>
              </w:rPr>
              <w:t xml:space="preserve">-Reduced duration of cough (7.8 vs 12.5 days;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&lt;0.01)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rPr>
                <w:lang w:val="en-US"/>
              </w:rPr>
              <w:t xml:space="preserve">-Reduced duration of antibiotic use (4.9 vs 8.7; </w:t>
            </w:r>
            <w:r w:rsidRPr="00313186">
              <w:rPr>
                <w:i/>
                <w:lang w:val="en-US"/>
              </w:rPr>
              <w:t>P</w:t>
            </w:r>
            <w:r w:rsidRPr="00313186">
              <w:rPr>
                <w:lang w:val="en-US"/>
              </w:rPr>
              <w:t>&lt; 0.01)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Adverse events were mild and rates were similar between groups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Lu, 2015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/>
            </w:pPr>
            <w:r w:rsidRPr="00313186">
              <w:t>Pidotimod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/>
            </w:pPr>
            <w:r w:rsidRPr="00313186">
              <w:t>Mexican children aged 2-16 years old  with allergic rhinitis and asthma and RRTI (≥4 cases in previous 6 months) (73)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6-month study, design unclear: 400 mg pidotimod bid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infection incidence after treatment vs before (4.04 vs 5.7; </w:t>
            </w:r>
            <w:r w:rsidRPr="00313186">
              <w:rPr>
                <w:i/>
              </w:rPr>
              <w:t>P</w:t>
            </w:r>
            <w:r w:rsidRPr="00313186">
              <w:t>&lt;0.005)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-Reduced duration of infections after treatment vs before (4.21 vs 6.1; </w:t>
            </w:r>
            <w:r w:rsidRPr="00313186">
              <w:rPr>
                <w:i/>
              </w:rPr>
              <w:t>P</w:t>
            </w:r>
            <w:r w:rsidRPr="00313186">
              <w:t>&lt;0.001)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Vargas Correa, 2002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Russian children aged 3−10 years old, hospitalised with ARTI and obstructive syndrome (60)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12-month study: 400 mg pidotimod bid for 14 days vs standard therapy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ARTIs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-Obstructive syndrome was rare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Lokshina, 2011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/>
            </w:pPr>
            <w:r w:rsidRPr="00313186">
              <w:t>PMBL</w:t>
            </w: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/>
            </w:pPr>
            <w:r w:rsidRPr="00313186">
              <w:t>Polish children 5-16 years  with atopic asthma (GINA definition) (150)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9-month randomized trial</w:t>
            </w:r>
          </w:p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prevalence of asthma exacerbations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-Reduced incidence of asthma exacerbations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Bartkowiak-Emeryk, 2017</w:t>
            </w:r>
          </w:p>
        </w:tc>
      </w:tr>
      <w:tr w:rsidR="00313186" w:rsidRPr="00313186" w:rsidTr="00671F5A">
        <w:tc>
          <w:tcPr>
            <w:tcW w:w="988" w:type="dxa"/>
          </w:tcPr>
          <w:p w:rsidR="00313186" w:rsidRPr="00313186" w:rsidRDefault="00313186" w:rsidP="00313186">
            <w:pPr>
              <w:spacing w:after="160" w:line="259" w:lineRule="auto"/>
            </w:pPr>
          </w:p>
        </w:tc>
        <w:tc>
          <w:tcPr>
            <w:tcW w:w="297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Children and adults aged 6−78 years old with allergic rhinitis (26)</w:t>
            </w:r>
          </w:p>
        </w:tc>
        <w:tc>
          <w:tcPr>
            <w:tcW w:w="3686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Randomized trial controlled trial: PMBL or placebo qd 10 days/month for 3 months</w:t>
            </w:r>
          </w:p>
        </w:tc>
        <w:tc>
          <w:tcPr>
            <w:tcW w:w="4394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-Improved asthmatic symptoms (38.4%)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>-Clinical improvement (61.5%)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t xml:space="preserve">-Decrease in nasal blocking (53.8%) </w:t>
            </w:r>
          </w:p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-Decreased ocular symptoms (50%)</w:t>
            </w:r>
          </w:p>
        </w:tc>
        <w:tc>
          <w:tcPr>
            <w:tcW w:w="1952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lastRenderedPageBreak/>
              <w:t>No negative side effects</w:t>
            </w:r>
          </w:p>
        </w:tc>
        <w:tc>
          <w:tcPr>
            <w:tcW w:w="1178" w:type="dxa"/>
          </w:tcPr>
          <w:p w:rsidR="00313186" w:rsidRPr="00313186" w:rsidRDefault="00313186" w:rsidP="00313186">
            <w:pPr>
              <w:spacing w:after="160" w:line="259" w:lineRule="auto"/>
            </w:pPr>
            <w:r w:rsidRPr="00313186">
              <w:t>Banche, 2007</w:t>
            </w:r>
          </w:p>
        </w:tc>
      </w:tr>
    </w:tbl>
    <w:p w:rsidR="00313186" w:rsidRPr="00313186" w:rsidRDefault="00313186" w:rsidP="00313186">
      <w:r w:rsidRPr="00313186">
        <w:t xml:space="preserve">CI, confidence interval, GI, gastrointestinal. *Children described as sickly/frequently ill.  </w:t>
      </w:r>
    </w:p>
    <w:p w:rsidR="00313186" w:rsidRPr="00313186" w:rsidRDefault="00313186" w:rsidP="00313186"/>
    <w:p w:rsidR="00313186" w:rsidRPr="00313186" w:rsidRDefault="00313186" w:rsidP="00313186">
      <w:pPr>
        <w:rPr>
          <w:vertAlign w:val="superscript"/>
        </w:rPr>
      </w:pPr>
    </w:p>
    <w:p w:rsidR="00313186" w:rsidRPr="00313186" w:rsidRDefault="00313186" w:rsidP="00313186"/>
    <w:p w:rsidR="00F84351" w:rsidRDefault="00F84351"/>
    <w:sectPr w:rsidR="00F84351" w:rsidSect="00AB7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6"/>
    <w:rsid w:val="00055441"/>
    <w:rsid w:val="00313186"/>
    <w:rsid w:val="003A7F2C"/>
    <w:rsid w:val="00477DC3"/>
    <w:rsid w:val="00522ACD"/>
    <w:rsid w:val="00592BE4"/>
    <w:rsid w:val="00890D80"/>
    <w:rsid w:val="00DF7727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67039-587E-4247-82D1-2DED368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Legg</dc:creator>
  <cp:keywords/>
  <dc:description/>
  <cp:lastModifiedBy>Stephanie Fairbairn</cp:lastModifiedBy>
  <cp:revision>2</cp:revision>
  <dcterms:created xsi:type="dcterms:W3CDTF">2018-03-07T13:36:00Z</dcterms:created>
  <dcterms:modified xsi:type="dcterms:W3CDTF">2018-03-07T13:36:00Z</dcterms:modified>
</cp:coreProperties>
</file>