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2D" w:rsidRDefault="00C854DB" w:rsidP="00130788">
      <w:pPr>
        <w:pStyle w:val="Caption"/>
        <w:rPr>
          <w:rFonts w:ascii="Arial" w:hAnsi="Arial" w:cs="Arial"/>
        </w:rPr>
      </w:pPr>
      <w:r>
        <w:rPr>
          <w:rFonts w:ascii="Arial" w:hAnsi="Arial"/>
          <w:color w:val="auto"/>
          <w:sz w:val="22"/>
          <w:szCs w:val="22"/>
        </w:rPr>
        <w:t>Parman_Article 1_Supplementary materials</w:t>
      </w:r>
      <w:r w:rsidR="00CE7D2D" w:rsidRPr="00642BAA">
        <w:rPr>
          <w:rFonts w:ascii="Arial" w:hAnsi="Arial" w:cs="Arial"/>
        </w:rPr>
        <w:t>.</w:t>
      </w:r>
    </w:p>
    <w:p w:rsidR="00130788" w:rsidRDefault="00130788" w:rsidP="00130788"/>
    <w:p w:rsidR="00ED41EF" w:rsidRPr="00642BAA" w:rsidRDefault="00ED41EF" w:rsidP="00ED41EF">
      <w:pPr>
        <w:spacing w:line="480" w:lineRule="auto"/>
        <w:rPr>
          <w:rFonts w:ascii="Arial" w:hAnsi="Arial" w:cs="Arial"/>
          <w:b/>
          <w:noProof/>
          <w:color w:val="000000" w:themeColor="text1"/>
        </w:rPr>
      </w:pPr>
      <w:r w:rsidRPr="00642BAA">
        <w:rPr>
          <w:rFonts w:ascii="Arial" w:hAnsi="Arial" w:cs="Arial"/>
          <w:b/>
          <w:noProof/>
          <w:color w:val="000000" w:themeColor="text1"/>
        </w:rPr>
        <w:t xml:space="preserve">Table S1. </w:t>
      </w:r>
      <w:r w:rsidRPr="00642BAA">
        <w:rPr>
          <w:rFonts w:ascii="Arial" w:hAnsi="Arial" w:cs="Arial"/>
          <w:noProof/>
          <w:color w:val="000000" w:themeColor="text1"/>
        </w:rPr>
        <w:t>European Expert (</w:t>
      </w:r>
      <w:r w:rsidRPr="00642BAA">
        <w:rPr>
          <w:rFonts w:ascii="Arial" w:hAnsi="Arial" w:cs="Arial"/>
        </w:rPr>
        <w:t>ATTReuNET</w:t>
      </w:r>
      <w:r w:rsidRPr="00642BAA">
        <w:rPr>
          <w:rFonts w:ascii="Arial" w:hAnsi="Arial" w:cs="Arial"/>
          <w:noProof/>
          <w:color w:val="000000" w:themeColor="text1"/>
        </w:rPr>
        <w:t>) pre-meeting questionnaire 2012 and 2014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ED41EF" w:rsidRPr="00642BAA" w:rsidTr="002635E7">
        <w:tc>
          <w:tcPr>
            <w:tcW w:w="10632" w:type="dxa"/>
            <w:shd w:val="clear" w:color="auto" w:fill="auto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sz w:val="20"/>
              </w:rPr>
              <w:t>Questions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 w:themeColor="background1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 w:themeColor="background1"/>
                <w:sz w:val="20"/>
              </w:rPr>
              <w:t>1. The structure for care of rare diseases and TTR-FAP in your country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Is there a Rare Disease Plan in your country?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Are there identifiable expert/reference centres for the management of amyloid disease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Is there a specific professional society/group focused on amyloid-associated disease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Are there identifiable expert/reference centres specifically for the management of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>FAP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Are there </w:t>
            </w:r>
            <w:r w:rsidRPr="00642BAA">
              <w:rPr>
                <w:rFonts w:ascii="Arial" w:hAnsi="Arial" w:cs="Arial"/>
                <w:noProof/>
                <w:sz w:val="20"/>
                <w:u w:val="single"/>
              </w:rPr>
              <w:t>regional</w:t>
            </w:r>
            <w:r w:rsidRPr="00642BAA">
              <w:rPr>
                <w:rFonts w:ascii="Arial" w:hAnsi="Arial" w:cs="Arial"/>
                <w:noProof/>
                <w:sz w:val="20"/>
              </w:rPr>
              <w:t xml:space="preserve"> centres for the management of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>FAP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Is there a specific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>FAP patient support group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Approximately how many diagnosed TTR-FAP patients are there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Approximately how many people have been identified as carriers of a TTR gene mutation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Please give a broad picture of your patient cohort over the past 3 years</w:t>
            </w:r>
          </w:p>
        </w:tc>
      </w:tr>
      <w:tr w:rsidR="00ED41EF" w:rsidRPr="00642BAA" w:rsidTr="002635E7">
        <w:trPr>
          <w:trHeight w:val="307"/>
        </w:trPr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t>2. Diagnosing TTR</w:t>
            </w: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noBreakHyphen/>
              <w:t>FAP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For the diagnosis of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 xml:space="preserve">FAP, which types of </w:t>
            </w:r>
            <w:r w:rsidRPr="00642BAA">
              <w:rPr>
                <w:rFonts w:ascii="Arial" w:hAnsi="Arial" w:cs="Arial"/>
                <w:noProof/>
                <w:sz w:val="20"/>
                <w:u w:val="single"/>
              </w:rPr>
              <w:t>biopsy</w:t>
            </w:r>
            <w:r w:rsidRPr="00642BAA">
              <w:rPr>
                <w:rFonts w:ascii="Arial" w:hAnsi="Arial" w:cs="Arial"/>
                <w:noProof/>
                <w:sz w:val="20"/>
              </w:rPr>
              <w:t xml:space="preserve"> are performed in your centre (in priority order with % use for each)?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What are the three most common genetic mutations associated with TTR-FAP in your patients and what percentage of your total patients do they represent?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How many mutations associated with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>FAP have been identified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Do you routinely encourage genetic counselling to family members of diagnosed TTR-FAP patients?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Do you have access to specific expert genetic counsellors in your centre?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t>3. Management of patients diagnosed with TTR-FAP and funding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What is the mean waiting time for a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 xml:space="preserve">FAP patient before liver transplant?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Is funding of care for TTR-FAP patients an issue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Do people with a diagnosis of TTR-FAP receive specific social benefits/social security in your country?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t>4. On-going care of TTR-FAP patients and asymptomatic carriers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For how long do you typically manage a TTR</w:t>
            </w:r>
            <w:r w:rsidRPr="00642BAA">
              <w:rPr>
                <w:rFonts w:ascii="Arial" w:hAnsi="Arial" w:cs="Arial"/>
                <w:noProof/>
                <w:sz w:val="20"/>
              </w:rPr>
              <w:noBreakHyphen/>
              <w:t>FAP patient in your centre?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How frequently does a TTR-FAP patient visit your clinic for routine follow up?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How many specialists will a TTR-FAP patient see at each follow-up visit?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Which investigations and tests do you undertake at a routine review of TTR-FAP patients?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Which investigations and tests do you undertake at a routine review of asymptomatic carriers?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How frequently does an identified asymptomatic carrier of a TTR mutation visit your clinic for routine follow up?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t>5. The typical ‘patient journey’ in your country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In your experience, how many different physicians does the typical TTR-FAP patient see prior to achieving an accurate diagnosis?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In your experience, what would you estimate is the average amount of time between symptom onset and accurate diagnosis of TTR-FAP? </w:t>
            </w:r>
          </w:p>
        </w:tc>
      </w:tr>
      <w:tr w:rsidR="00ED41EF" w:rsidRPr="00642BAA" w:rsidTr="002635E7"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 xml:space="preserve">In your experience, what is the typical ambulatory status of patients at diagnosis of TTR-FAP (stage and proportion %)?  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000000" w:themeFill="text1"/>
          </w:tcPr>
          <w:p w:rsidR="00ED41EF" w:rsidRPr="00642BAA" w:rsidRDefault="00ED41EF" w:rsidP="002635E7">
            <w:pPr>
              <w:rPr>
                <w:rFonts w:ascii="Arial" w:hAnsi="Arial" w:cs="Arial"/>
                <w:b/>
                <w:noProof/>
                <w:color w:val="FFFFFF"/>
                <w:sz w:val="20"/>
              </w:rPr>
            </w:pPr>
            <w:r w:rsidRPr="00642BAA">
              <w:rPr>
                <w:rFonts w:ascii="Arial" w:hAnsi="Arial" w:cs="Arial"/>
                <w:b/>
                <w:noProof/>
                <w:color w:val="FFFFFF"/>
                <w:sz w:val="20"/>
              </w:rPr>
              <w:t>6. Further considerations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9E0FE3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Which factors in the current management of TTR-FAP in your country do you think work well?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Which factors in the current management of TTR-FAP in your country do you think could be improved?</w:t>
            </w:r>
          </w:p>
        </w:tc>
      </w:tr>
      <w:tr w:rsidR="00ED41EF" w:rsidRPr="00642BAA" w:rsidTr="002635E7">
        <w:tc>
          <w:tcPr>
            <w:tcW w:w="10632" w:type="dxa"/>
            <w:shd w:val="clear" w:color="auto" w:fill="FFFFFF" w:themeFill="background1"/>
          </w:tcPr>
          <w:p w:rsidR="00ED41EF" w:rsidRPr="00642BAA" w:rsidRDefault="00ED41EF" w:rsidP="002635E7">
            <w:pPr>
              <w:rPr>
                <w:rFonts w:ascii="Arial" w:hAnsi="Arial" w:cs="Arial"/>
                <w:noProof/>
                <w:sz w:val="20"/>
              </w:rPr>
            </w:pPr>
            <w:r w:rsidRPr="00642BAA">
              <w:rPr>
                <w:rFonts w:ascii="Arial" w:hAnsi="Arial" w:cs="Arial"/>
                <w:noProof/>
                <w:sz w:val="20"/>
              </w:rPr>
              <w:t>What do you feel are the barriers to optimal diagnosis and care of TTR-FAP patients in your country?</w:t>
            </w:r>
          </w:p>
        </w:tc>
      </w:tr>
    </w:tbl>
    <w:p w:rsidR="00ED41EF" w:rsidRPr="00642BAA" w:rsidRDefault="009E0FE3" w:rsidP="00ED41EF">
      <w:pPr>
        <w:spacing w:line="480" w:lineRule="auto"/>
        <w:rPr>
          <w:rFonts w:ascii="Arial" w:hAnsi="Arial" w:cs="Arial"/>
        </w:rPr>
      </w:pPr>
      <w:r w:rsidRPr="00642BAA">
        <w:rPr>
          <w:rFonts w:ascii="Arial" w:hAnsi="Arial" w:cs="Arial"/>
          <w:noProof/>
        </w:rPr>
        <w:t>TTR, transthyretin; TTR-FAP, transthyretin familial amyloid polyneuropathy.</w:t>
      </w:r>
    </w:p>
    <w:p w:rsidR="00ED41EF" w:rsidRPr="00642BAA" w:rsidRDefault="00ED41EF" w:rsidP="00ED41EF">
      <w:pPr>
        <w:spacing w:line="360" w:lineRule="auto"/>
      </w:pPr>
    </w:p>
    <w:p w:rsidR="00ED41EF" w:rsidRPr="00642BAA" w:rsidRDefault="00ED41EF" w:rsidP="00ED41EF">
      <w:pPr>
        <w:spacing w:line="360" w:lineRule="auto"/>
      </w:pPr>
    </w:p>
    <w:p w:rsidR="00ED41EF" w:rsidRPr="00642BAA" w:rsidRDefault="00ED41EF" w:rsidP="00ED41EF">
      <w:pPr>
        <w:spacing w:after="200" w:line="276" w:lineRule="auto"/>
      </w:pPr>
    </w:p>
    <w:p w:rsidR="00ED41EF" w:rsidRPr="00642BAA" w:rsidRDefault="00ED41EF" w:rsidP="00C24C0A">
      <w:pPr>
        <w:spacing w:line="360" w:lineRule="auto"/>
        <w:rPr>
          <w:rFonts w:ascii="Arial" w:hAnsi="Arial" w:cs="Arial"/>
        </w:rPr>
        <w:sectPr w:rsidR="00ED41EF" w:rsidRPr="00642BAA" w:rsidSect="00731A22">
          <w:headerReference w:type="default" r:id="rId7"/>
          <w:footerReference w:type="default" r:id="rId8"/>
          <w:pgSz w:w="12240" w:h="15840"/>
          <w:pgMar w:top="1000" w:right="1200" w:bottom="1000" w:left="1200" w:header="720" w:footer="397" w:gutter="0"/>
          <w:cols w:space="708"/>
          <w:noEndnote/>
          <w:docGrid w:linePitch="326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74"/>
        <w:gridCol w:w="2684"/>
        <w:gridCol w:w="3060"/>
        <w:gridCol w:w="2700"/>
      </w:tblGrid>
      <w:tr w:rsidR="00A569EF" w:rsidRPr="00642BAA" w:rsidTr="004E5698"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9EF" w:rsidRPr="00642BAA" w:rsidRDefault="00A569EF" w:rsidP="00ED41EF">
            <w:pPr>
              <w:pStyle w:val="Caption"/>
              <w:keepNext/>
              <w:spacing w:line="360" w:lineRule="auto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642BA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TABLE S</w:t>
            </w:r>
            <w:r w:rsidR="00ED41EF" w:rsidRPr="00642BAA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642BA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642BAA">
              <w:rPr>
                <w:rFonts w:ascii="Arial" w:hAnsi="Arial" w:cs="Arial"/>
                <w:color w:val="auto"/>
                <w:sz w:val="22"/>
                <w:szCs w:val="22"/>
              </w:rPr>
              <w:br w:type="page"/>
            </w:r>
            <w:r w:rsidRPr="00642BAA">
              <w:rPr>
                <w:rFonts w:ascii="Arial" w:hAnsi="Arial" w:cs="Arial"/>
                <w:color w:val="auto"/>
                <w:sz w:val="22"/>
                <w:szCs w:val="22"/>
              </w:rPr>
              <w:br w:type="page"/>
            </w:r>
            <w:r w:rsidRPr="00642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Typical patient journey in European countries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9EF" w:rsidRPr="00642BAA" w:rsidRDefault="00A569EF" w:rsidP="00D57B62">
            <w:pPr>
              <w:pStyle w:val="Caption"/>
              <w:keepNext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569EF" w:rsidRPr="00642BAA" w:rsidTr="004E5698">
        <w:tc>
          <w:tcPr>
            <w:tcW w:w="1474" w:type="dxa"/>
            <w:tcBorders>
              <w:top w:val="single" w:sz="4" w:space="0" w:color="auto"/>
            </w:tcBorders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How many different physicians does the typical TTR-FAP patient see prior to achieving an accurate diagnosis?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Average time to diagnosis since first symptoms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569EF" w:rsidRPr="00642BAA" w:rsidRDefault="00A569EF" w:rsidP="001E5F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Multidisciplinary approach</w:t>
            </w:r>
          </w:p>
          <w:p w:rsidR="00A569EF" w:rsidRPr="00642BAA" w:rsidRDefault="00A569EF" w:rsidP="00E66A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(</w:t>
            </w:r>
            <w:r w:rsidR="00E66AD1" w:rsidRPr="00642BAA">
              <w:rPr>
                <w:rFonts w:ascii="Arial" w:hAnsi="Arial" w:cs="Arial"/>
                <w:b/>
              </w:rPr>
              <w:t xml:space="preserve">number of </w:t>
            </w:r>
            <w:r w:rsidRPr="00642BAA">
              <w:rPr>
                <w:rFonts w:ascii="Arial" w:hAnsi="Arial" w:cs="Arial"/>
                <w:b/>
              </w:rPr>
              <w:t>specialist</w:t>
            </w:r>
            <w:r w:rsidR="00E66AD1" w:rsidRPr="00642BAA">
              <w:rPr>
                <w:rFonts w:ascii="Arial" w:hAnsi="Arial" w:cs="Arial"/>
                <w:b/>
              </w:rPr>
              <w:t>s</w:t>
            </w:r>
            <w:r w:rsidRPr="00642BAA">
              <w:rPr>
                <w:rFonts w:ascii="Arial" w:hAnsi="Arial" w:cs="Arial"/>
                <w:b/>
              </w:rPr>
              <w:t xml:space="preserve"> seen at each follow-up)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Portugal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2 years with family history</w:t>
            </w:r>
          </w:p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3–5 years without</w:t>
            </w:r>
          </w:p>
        </w:tc>
        <w:tc>
          <w:tcPr>
            <w:tcW w:w="2700" w:type="dxa"/>
          </w:tcPr>
          <w:p w:rsidR="00A569EF" w:rsidRPr="00642BAA" w:rsidRDefault="00E66AD1" w:rsidP="00E66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Sweden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&lt; 2 years in endemic area</w:t>
            </w:r>
          </w:p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2–5 years in non-endemic area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Cyprus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&lt; 2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836D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1–3 years with family history</w:t>
            </w:r>
            <w:r w:rsidRPr="00642BAA">
              <w:rPr>
                <w:rFonts w:ascii="Arial" w:hAnsi="Arial" w:cs="Arial"/>
              </w:rPr>
              <w:br/>
              <w:t>2–4 years without</w:t>
            </w:r>
          </w:p>
        </w:tc>
        <w:tc>
          <w:tcPr>
            <w:tcW w:w="2700" w:type="dxa"/>
          </w:tcPr>
          <w:p w:rsidR="00A569EF" w:rsidRPr="00642BAA" w:rsidRDefault="00E66AD1" w:rsidP="00E66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Italy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2–3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 xml:space="preserve">Spain 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1–4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Bulgaria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Germany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~ 3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Netherlands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&lt; 2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1–2</w:t>
            </w:r>
          </w:p>
        </w:tc>
      </w:tr>
      <w:tr w:rsidR="00A569EF" w:rsidRPr="00642BAA" w:rsidTr="004E5698">
        <w:tc>
          <w:tcPr>
            <w:tcW w:w="1474" w:type="dxa"/>
          </w:tcPr>
          <w:p w:rsidR="00A569EF" w:rsidRPr="00642BAA" w:rsidRDefault="00A569EF" w:rsidP="00D57B62">
            <w:pPr>
              <w:spacing w:line="360" w:lineRule="auto"/>
              <w:rPr>
                <w:rFonts w:ascii="Arial" w:hAnsi="Arial" w:cs="Arial"/>
                <w:b/>
              </w:rPr>
            </w:pPr>
            <w:r w:rsidRPr="00642BAA">
              <w:rPr>
                <w:rFonts w:ascii="Arial" w:hAnsi="Arial" w:cs="Arial"/>
                <w:b/>
              </w:rPr>
              <w:t>Turkey</w:t>
            </w:r>
          </w:p>
        </w:tc>
        <w:tc>
          <w:tcPr>
            <w:tcW w:w="2684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3–4</w:t>
            </w:r>
          </w:p>
        </w:tc>
        <w:tc>
          <w:tcPr>
            <w:tcW w:w="3060" w:type="dxa"/>
          </w:tcPr>
          <w:p w:rsidR="00A569EF" w:rsidRPr="00642BAA" w:rsidRDefault="00A569EF" w:rsidP="00D57B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3–5 years</w:t>
            </w:r>
          </w:p>
        </w:tc>
        <w:tc>
          <w:tcPr>
            <w:tcW w:w="2700" w:type="dxa"/>
          </w:tcPr>
          <w:p w:rsidR="00A569EF" w:rsidRPr="00642BAA" w:rsidRDefault="00E66AD1" w:rsidP="001E5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2BAA">
              <w:rPr>
                <w:rFonts w:ascii="Arial" w:hAnsi="Arial" w:cs="Arial"/>
              </w:rPr>
              <w:t>&gt; 2</w:t>
            </w:r>
          </w:p>
        </w:tc>
      </w:tr>
    </w:tbl>
    <w:p w:rsidR="007565C9" w:rsidRPr="00642BAA" w:rsidRDefault="007565C9" w:rsidP="00913AF2">
      <w:pPr>
        <w:spacing w:line="360" w:lineRule="auto"/>
        <w:rPr>
          <w:rFonts w:ascii="Arial" w:hAnsi="Arial" w:cs="Arial"/>
        </w:rPr>
      </w:pPr>
      <w:r w:rsidRPr="00642BAA">
        <w:rPr>
          <w:rFonts w:ascii="Arial" w:hAnsi="Arial" w:cs="Arial"/>
        </w:rPr>
        <w:t>TTR-FAP, transthyretin familial amyloid polyneuropathy.</w:t>
      </w:r>
    </w:p>
    <w:p w:rsidR="00D215FB" w:rsidRPr="00642BAA" w:rsidRDefault="00913AF2" w:rsidP="00A569EF">
      <w:pPr>
        <w:spacing w:line="360" w:lineRule="auto"/>
        <w:rPr>
          <w:rFonts w:ascii="Arial" w:hAnsi="Arial" w:cs="Arial"/>
        </w:rPr>
      </w:pPr>
      <w:r w:rsidRPr="00642BAA">
        <w:rPr>
          <w:rFonts w:ascii="Arial" w:hAnsi="Arial" w:cs="Arial"/>
        </w:rPr>
        <w:t xml:space="preserve">Information compiled from clinical experience of the </w:t>
      </w:r>
      <w:r w:rsidR="007565C9" w:rsidRPr="00642BAA">
        <w:rPr>
          <w:rFonts w:ascii="Arial" w:hAnsi="Arial" w:cs="Arial"/>
        </w:rPr>
        <w:t>European Network for TTR-FAP (</w:t>
      </w:r>
      <w:r w:rsidRPr="00642BAA">
        <w:rPr>
          <w:rFonts w:ascii="Arial" w:hAnsi="Arial" w:cs="Arial"/>
        </w:rPr>
        <w:t>ATTReuNET</w:t>
      </w:r>
      <w:r w:rsidR="007565C9" w:rsidRPr="00642BAA">
        <w:rPr>
          <w:rFonts w:ascii="Arial" w:hAnsi="Arial" w:cs="Arial"/>
        </w:rPr>
        <w:t>)</w:t>
      </w:r>
      <w:r w:rsidRPr="00642BAA">
        <w:rPr>
          <w:rFonts w:ascii="Arial" w:hAnsi="Arial" w:cs="Arial"/>
        </w:rPr>
        <w:t xml:space="preserve"> in March 2014.</w:t>
      </w:r>
    </w:p>
    <w:p w:rsidR="00D215FB" w:rsidRPr="00642BAA" w:rsidRDefault="00D215FB" w:rsidP="00D215FB">
      <w:r w:rsidRPr="00642BAA">
        <w:br w:type="page"/>
      </w:r>
    </w:p>
    <w:p w:rsidR="00D215FB" w:rsidRPr="00642BAA" w:rsidRDefault="00D215FB" w:rsidP="00D215FB">
      <w:pPr>
        <w:spacing w:line="480" w:lineRule="auto"/>
        <w:rPr>
          <w:rFonts w:ascii="Arial" w:hAnsi="Arial" w:cs="Arial"/>
          <w:noProof/>
          <w:color w:val="000000" w:themeColor="text1"/>
        </w:rPr>
      </w:pPr>
      <w:r w:rsidRPr="00642BAA">
        <w:rPr>
          <w:rFonts w:ascii="Arial" w:hAnsi="Arial" w:cs="Arial"/>
          <w:b/>
          <w:noProof/>
          <w:color w:val="000000" w:themeColor="text1"/>
        </w:rPr>
        <w:lastRenderedPageBreak/>
        <w:t>Table S</w:t>
      </w:r>
      <w:r w:rsidR="00ED41EF" w:rsidRPr="00642BAA">
        <w:rPr>
          <w:rFonts w:ascii="Arial" w:hAnsi="Arial" w:cs="Arial"/>
          <w:b/>
          <w:noProof/>
          <w:color w:val="000000" w:themeColor="text1"/>
        </w:rPr>
        <w:t>3</w:t>
      </w:r>
      <w:r w:rsidRPr="00642BAA">
        <w:rPr>
          <w:rFonts w:ascii="Arial" w:hAnsi="Arial" w:cs="Arial"/>
          <w:b/>
          <w:noProof/>
          <w:color w:val="000000" w:themeColor="text1"/>
        </w:rPr>
        <w:t xml:space="preserve">. </w:t>
      </w:r>
      <w:r w:rsidRPr="00642BAA">
        <w:rPr>
          <w:rFonts w:ascii="Arial" w:hAnsi="Arial" w:cs="Arial"/>
          <w:noProof/>
          <w:color w:val="000000" w:themeColor="text1"/>
        </w:rPr>
        <w:t>Expert participants of the European Network for TTR-FAP (</w:t>
      </w:r>
      <w:r w:rsidRPr="00642BAA">
        <w:rPr>
          <w:rFonts w:ascii="Arial" w:hAnsi="Arial" w:cs="Arial"/>
        </w:rPr>
        <w:t>ATTReuNET</w:t>
      </w:r>
      <w:r w:rsidRPr="00642BAA">
        <w:rPr>
          <w:rFonts w:ascii="Arial" w:hAnsi="Arial" w:cs="Arial"/>
          <w:noProof/>
          <w:color w:val="000000" w:themeColor="text1"/>
        </w:rPr>
        <w:t>) 2012 and 2014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710"/>
        <w:gridCol w:w="1260"/>
        <w:gridCol w:w="1260"/>
        <w:gridCol w:w="1440"/>
        <w:gridCol w:w="1080"/>
      </w:tblGrid>
      <w:tr w:rsidR="00AC6EA4" w:rsidRPr="00642BAA" w:rsidTr="004E5698">
        <w:trPr>
          <w:trHeight w:val="772"/>
        </w:trPr>
        <w:tc>
          <w:tcPr>
            <w:tcW w:w="1818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Expert</w:t>
            </w:r>
          </w:p>
        </w:tc>
        <w:tc>
          <w:tcPr>
            <w:tcW w:w="189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Speciality</w:t>
            </w:r>
          </w:p>
        </w:tc>
        <w:tc>
          <w:tcPr>
            <w:tcW w:w="171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Country</w:t>
            </w:r>
          </w:p>
        </w:tc>
        <w:tc>
          <w:tcPr>
            <w:tcW w:w="126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Town</w:t>
            </w:r>
          </w:p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centre</w:t>
            </w:r>
          </w:p>
        </w:tc>
        <w:tc>
          <w:tcPr>
            <w:tcW w:w="126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National Reference Centre</w:t>
            </w:r>
          </w:p>
        </w:tc>
        <w:tc>
          <w:tcPr>
            <w:tcW w:w="144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>For FAP or amyloidosis</w:t>
            </w:r>
          </w:p>
        </w:tc>
        <w:tc>
          <w:tcPr>
            <w:tcW w:w="1080" w:type="dxa"/>
          </w:tcPr>
          <w:p w:rsidR="00AC6EA4" w:rsidRPr="00642BAA" w:rsidRDefault="00AC6EA4" w:rsidP="00C4000C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b/>
                <w:noProof/>
                <w:color w:val="000000" w:themeColor="text1"/>
              </w:rPr>
              <w:t xml:space="preserve">National network 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Teresa Coelho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Portugal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Porto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-</w:t>
            </w:r>
          </w:p>
        </w:tc>
      </w:tr>
      <w:tr w:rsidR="009E0FE3" w:rsidRPr="00642BAA" w:rsidTr="004E5698">
        <w:trPr>
          <w:trHeight w:val="772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Ole B. Suhr</w:t>
            </w:r>
          </w:p>
        </w:tc>
        <w:tc>
          <w:tcPr>
            <w:tcW w:w="1890" w:type="dxa"/>
          </w:tcPr>
          <w:p w:rsidR="009E0FE3" w:rsidRPr="00642BAA" w:rsidRDefault="009E0FE3" w:rsidP="009B21E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Internal medicine,</w:t>
            </w:r>
          </w:p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gastroenterology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Sweden</w:t>
            </w:r>
          </w:p>
        </w:tc>
        <w:tc>
          <w:tcPr>
            <w:tcW w:w="1260" w:type="dxa"/>
          </w:tcPr>
          <w:p w:rsidR="009E0FE3" w:rsidRPr="00642BAA" w:rsidRDefault="001113E8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Umeå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-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David Adams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France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Paris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+ 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Michel </w:t>
            </w:r>
            <w:r w:rsidR="00D51C91">
              <w:rPr>
                <w:rFonts w:ascii="Arial" w:hAnsi="Arial" w:cs="Arial"/>
                <w:noProof/>
                <w:color w:val="000000" w:themeColor="text1"/>
              </w:rPr>
              <w:t xml:space="preserve">S. </w:t>
            </w:r>
            <w:r w:rsidRPr="00642BAA">
              <w:rPr>
                <w:rFonts w:ascii="Arial" w:hAnsi="Arial" w:cs="Arial"/>
                <w:noProof/>
                <w:color w:val="000000" w:themeColor="text1"/>
              </w:rPr>
              <w:t>Slama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Cardiology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France</w:t>
            </w:r>
          </w:p>
        </w:tc>
        <w:tc>
          <w:tcPr>
            <w:tcW w:w="1260" w:type="dxa"/>
          </w:tcPr>
          <w:p w:rsidR="009E0FE3" w:rsidRPr="00642BAA" w:rsidRDefault="001113E8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Clamart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+</w:t>
            </w:r>
          </w:p>
        </w:tc>
      </w:tr>
      <w:tr w:rsidR="009E0FE3" w:rsidRPr="00642BAA" w:rsidTr="004E5698">
        <w:trPr>
          <w:trHeight w:val="772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Laura Obici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Internal medicine 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Italy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Pavia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Amyloidosis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+ 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Ernst Hund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Germany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Heidelberg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Amyloidosis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+ </w:t>
            </w:r>
          </w:p>
        </w:tc>
      </w:tr>
      <w:tr w:rsidR="009E0FE3" w:rsidRPr="00642BAA" w:rsidTr="004E5698">
        <w:trPr>
          <w:trHeight w:val="754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Bouke P. Hazenberg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/>
              </w:rPr>
              <w:t>Internal medicine, rheumatology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The Netherlands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Groningen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Amyloidosis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+</w:t>
            </w:r>
          </w:p>
        </w:tc>
      </w:tr>
      <w:tr w:rsidR="009E0FE3" w:rsidRPr="00642BAA" w:rsidTr="004E5698">
        <w:trPr>
          <w:trHeight w:val="367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Jan B. Kuks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The Netherlands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Groningen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Amyloidosis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+</w:t>
            </w:r>
          </w:p>
        </w:tc>
      </w:tr>
      <w:tr w:rsidR="009E0FE3" w:rsidRPr="00642BAA" w:rsidTr="004E5698">
        <w:trPr>
          <w:trHeight w:val="772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 xml:space="preserve">Juan Buades 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Internal medicine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Spain</w:t>
            </w:r>
          </w:p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Palma de Mallorca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No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-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Josep M. Campistol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Nephrology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Spain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Barcelona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No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Amyloidosis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-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Lucia Galan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Spain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Madrid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No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9E0FE3" w:rsidRPr="00642BAA" w:rsidTr="004E5698">
        <w:trPr>
          <w:trHeight w:val="185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Theodore Kyriakides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Cyprus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Nicosia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-</w:t>
            </w:r>
          </w:p>
        </w:tc>
      </w:tr>
      <w:tr w:rsidR="009E0FE3" w:rsidRPr="00642BAA" w:rsidTr="004E5698">
        <w:trPr>
          <w:trHeight w:val="386"/>
        </w:trPr>
        <w:tc>
          <w:tcPr>
            <w:tcW w:w="1818" w:type="dxa"/>
          </w:tcPr>
          <w:p w:rsidR="009E0FE3" w:rsidRPr="00642BAA" w:rsidRDefault="009E0FE3" w:rsidP="00C4000C">
            <w:pPr>
              <w:spacing w:line="360" w:lineRule="auto"/>
              <w:ind w:left="142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Yesim Parman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Turkey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Istanbul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+</w:t>
            </w:r>
          </w:p>
        </w:tc>
      </w:tr>
      <w:tr w:rsidR="009E0FE3" w:rsidRPr="00642BAA" w:rsidTr="004E5698">
        <w:trPr>
          <w:trHeight w:val="717"/>
        </w:trPr>
        <w:tc>
          <w:tcPr>
            <w:tcW w:w="1818" w:type="dxa"/>
          </w:tcPr>
          <w:p w:rsidR="009E0FE3" w:rsidRPr="00642BAA" w:rsidRDefault="009E0FE3" w:rsidP="00C4000C">
            <w:pPr>
              <w:ind w:left="142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Ivailo Tournev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Bulgaria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Sofia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-</w:t>
            </w:r>
          </w:p>
        </w:tc>
      </w:tr>
      <w:tr w:rsidR="009E0FE3" w:rsidRPr="00642BAA" w:rsidTr="004E5698">
        <w:trPr>
          <w:trHeight w:val="717"/>
        </w:trPr>
        <w:tc>
          <w:tcPr>
            <w:tcW w:w="1818" w:type="dxa"/>
          </w:tcPr>
          <w:p w:rsidR="009E0FE3" w:rsidRPr="00642BAA" w:rsidRDefault="009E0FE3" w:rsidP="00C4000C">
            <w:pPr>
              <w:ind w:left="142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Velina Guergueltcheva</w:t>
            </w:r>
          </w:p>
        </w:tc>
        <w:tc>
          <w:tcPr>
            <w:tcW w:w="189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  <w:color w:val="000000" w:themeColor="text1"/>
              </w:rPr>
              <w:t>Neurology</w:t>
            </w:r>
          </w:p>
        </w:tc>
        <w:tc>
          <w:tcPr>
            <w:tcW w:w="171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Bulgaria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Sofia</w:t>
            </w:r>
          </w:p>
        </w:tc>
        <w:tc>
          <w:tcPr>
            <w:tcW w:w="126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144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FAP</w:t>
            </w:r>
          </w:p>
        </w:tc>
        <w:tc>
          <w:tcPr>
            <w:tcW w:w="1080" w:type="dxa"/>
          </w:tcPr>
          <w:p w:rsidR="009E0FE3" w:rsidRPr="00642BAA" w:rsidRDefault="009E0FE3" w:rsidP="00C4000C">
            <w:pPr>
              <w:spacing w:line="360" w:lineRule="auto"/>
              <w:rPr>
                <w:rFonts w:ascii="Arial" w:hAnsi="Arial" w:cs="Arial"/>
                <w:noProof/>
              </w:rPr>
            </w:pPr>
            <w:r w:rsidRPr="00642BAA">
              <w:rPr>
                <w:rFonts w:ascii="Arial" w:hAnsi="Arial" w:cs="Arial"/>
                <w:noProof/>
              </w:rPr>
              <w:t>-</w:t>
            </w:r>
          </w:p>
        </w:tc>
      </w:tr>
    </w:tbl>
    <w:p w:rsidR="002D5841" w:rsidRDefault="009E0FE3" w:rsidP="00ED41EF">
      <w:pPr>
        <w:spacing w:line="480" w:lineRule="auto"/>
      </w:pPr>
      <w:r w:rsidRPr="00642BAA">
        <w:rPr>
          <w:rFonts w:ascii="Arial" w:hAnsi="Arial" w:cs="Arial"/>
          <w:noProof/>
        </w:rPr>
        <w:t xml:space="preserve">ATTReuNET, European Network for TTR-FAP; FAP, familial amyloid polyneuropathy; </w:t>
      </w:r>
      <w:r w:rsidR="00317C83" w:rsidRPr="00642BAA">
        <w:rPr>
          <w:rFonts w:ascii="Arial" w:hAnsi="Arial" w:cs="Arial"/>
          <w:noProof/>
          <w:color w:val="000000" w:themeColor="text1"/>
        </w:rPr>
        <w:t xml:space="preserve">TTR-FAP, transthyretin </w:t>
      </w:r>
      <w:r w:rsidR="003820AC" w:rsidRPr="00642BAA">
        <w:rPr>
          <w:rFonts w:ascii="Arial" w:hAnsi="Arial" w:cs="Arial"/>
          <w:noProof/>
          <w:color w:val="000000" w:themeColor="text1"/>
        </w:rPr>
        <w:t>familial amyloid polyneuropathy</w:t>
      </w:r>
    </w:p>
    <w:sectPr w:rsidR="002D5841" w:rsidSect="00C2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38" w:rsidRDefault="006B6738">
      <w:r>
        <w:separator/>
      </w:r>
    </w:p>
  </w:endnote>
  <w:endnote w:type="continuationSeparator" w:id="0">
    <w:p w:rsidR="006B6738" w:rsidRDefault="006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244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C495A" w:rsidRPr="00E36FB8" w:rsidRDefault="00B35EA8">
        <w:pPr>
          <w:pStyle w:val="Footer"/>
          <w:jc w:val="center"/>
          <w:rPr>
            <w:sz w:val="20"/>
          </w:rPr>
        </w:pPr>
        <w:r w:rsidRPr="00E36FB8">
          <w:rPr>
            <w:sz w:val="20"/>
          </w:rPr>
          <w:fldChar w:fldCharType="begin"/>
        </w:r>
        <w:r w:rsidRPr="00E36FB8">
          <w:rPr>
            <w:sz w:val="20"/>
          </w:rPr>
          <w:instrText xml:space="preserve"> PAGE   \* MERGEFORMAT </w:instrText>
        </w:r>
        <w:r w:rsidRPr="00E36FB8">
          <w:rPr>
            <w:sz w:val="20"/>
          </w:rPr>
          <w:fldChar w:fldCharType="separate"/>
        </w:r>
        <w:r w:rsidR="00A22A54">
          <w:rPr>
            <w:noProof/>
            <w:sz w:val="20"/>
          </w:rPr>
          <w:t>1</w:t>
        </w:r>
        <w:r w:rsidRPr="00E36FB8">
          <w:rPr>
            <w:noProof/>
            <w:sz w:val="20"/>
          </w:rPr>
          <w:fldChar w:fldCharType="end"/>
        </w:r>
      </w:p>
    </w:sdtContent>
  </w:sdt>
  <w:p w:rsidR="003C495A" w:rsidRDefault="006B6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38" w:rsidRDefault="006B6738">
      <w:r>
        <w:separator/>
      </w:r>
    </w:p>
  </w:footnote>
  <w:footnote w:type="continuationSeparator" w:id="0">
    <w:p w:rsidR="006B6738" w:rsidRDefault="006B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5A" w:rsidRDefault="006B6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:\Users\PalmerA\Desktop\In progress\Vyndaqel\RefMan Database\Current Opinion in Neurology.15.os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TR-FAP Parman article1&lt;/item&gt;&lt;/Libraries&gt;&lt;/ENLibraries&gt;"/>
  </w:docVars>
  <w:rsids>
    <w:rsidRoot w:val="00913AF2"/>
    <w:rsid w:val="00072B03"/>
    <w:rsid w:val="000D47E2"/>
    <w:rsid w:val="000F2459"/>
    <w:rsid w:val="001113E8"/>
    <w:rsid w:val="00130788"/>
    <w:rsid w:val="001E37DE"/>
    <w:rsid w:val="002005F3"/>
    <w:rsid w:val="0027135D"/>
    <w:rsid w:val="002D5841"/>
    <w:rsid w:val="002E0252"/>
    <w:rsid w:val="00310AB9"/>
    <w:rsid w:val="00317C83"/>
    <w:rsid w:val="003820AC"/>
    <w:rsid w:val="0043413E"/>
    <w:rsid w:val="00463766"/>
    <w:rsid w:val="004B64E0"/>
    <w:rsid w:val="004E5394"/>
    <w:rsid w:val="004E5698"/>
    <w:rsid w:val="004F1C53"/>
    <w:rsid w:val="00524FE0"/>
    <w:rsid w:val="005724CE"/>
    <w:rsid w:val="00576250"/>
    <w:rsid w:val="005B0E4C"/>
    <w:rsid w:val="005C1FD1"/>
    <w:rsid w:val="00642BAA"/>
    <w:rsid w:val="00684E99"/>
    <w:rsid w:val="006B6738"/>
    <w:rsid w:val="00706AB7"/>
    <w:rsid w:val="007176C0"/>
    <w:rsid w:val="007565C9"/>
    <w:rsid w:val="00790EBB"/>
    <w:rsid w:val="00836D3B"/>
    <w:rsid w:val="008B69F8"/>
    <w:rsid w:val="008D44BB"/>
    <w:rsid w:val="00907E32"/>
    <w:rsid w:val="00913AF2"/>
    <w:rsid w:val="00930075"/>
    <w:rsid w:val="009A0412"/>
    <w:rsid w:val="009E0FE3"/>
    <w:rsid w:val="00A22A54"/>
    <w:rsid w:val="00A25CAC"/>
    <w:rsid w:val="00A34A9D"/>
    <w:rsid w:val="00A54D24"/>
    <w:rsid w:val="00A569EF"/>
    <w:rsid w:val="00A60585"/>
    <w:rsid w:val="00AA18D1"/>
    <w:rsid w:val="00AC6EA4"/>
    <w:rsid w:val="00B35EA8"/>
    <w:rsid w:val="00B6775B"/>
    <w:rsid w:val="00B92916"/>
    <w:rsid w:val="00BA0A32"/>
    <w:rsid w:val="00BA2695"/>
    <w:rsid w:val="00BA4162"/>
    <w:rsid w:val="00BB778B"/>
    <w:rsid w:val="00BD1726"/>
    <w:rsid w:val="00BE0306"/>
    <w:rsid w:val="00C223D9"/>
    <w:rsid w:val="00C24C0A"/>
    <w:rsid w:val="00C75582"/>
    <w:rsid w:val="00C854DB"/>
    <w:rsid w:val="00CB76DE"/>
    <w:rsid w:val="00CE7D2D"/>
    <w:rsid w:val="00D002CA"/>
    <w:rsid w:val="00D215FB"/>
    <w:rsid w:val="00D426CE"/>
    <w:rsid w:val="00D50F0B"/>
    <w:rsid w:val="00D51C91"/>
    <w:rsid w:val="00D93E8B"/>
    <w:rsid w:val="00E66AD1"/>
    <w:rsid w:val="00EA48B0"/>
    <w:rsid w:val="00EC584D"/>
    <w:rsid w:val="00ED41EF"/>
    <w:rsid w:val="00F37D73"/>
    <w:rsid w:val="00F533F7"/>
    <w:rsid w:val="00F56880"/>
    <w:rsid w:val="00F67201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F2"/>
    <w:pPr>
      <w:spacing w:after="0" w:line="240" w:lineRule="auto"/>
    </w:pPr>
    <w:rPr>
      <w:rFonts w:ascii="Calibri" w:eastAsiaTheme="minorEastAsia" w:hAnsi="Calibri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13AF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F2"/>
    <w:rPr>
      <w:rFonts w:ascii="Tahoma" w:eastAsiaTheme="minorEastAsia" w:hAnsi="Tahoma" w:cs="Tahoma"/>
      <w:sz w:val="16"/>
      <w:szCs w:val="16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2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0A"/>
    <w:rPr>
      <w:rFonts w:ascii="Calibri" w:eastAsiaTheme="minorEastAsia" w:hAnsi="Calibri" w:cs="Times New Roman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0A"/>
    <w:rPr>
      <w:rFonts w:ascii="Calibri" w:eastAsiaTheme="minorEastAsia" w:hAnsi="Calibri" w:cs="Times New Roman"/>
      <w:b/>
      <w:bCs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7176C0"/>
    <w:pPr>
      <w:spacing w:after="0" w:line="240" w:lineRule="auto"/>
    </w:pPr>
    <w:rPr>
      <w:rFonts w:ascii="Calibri" w:eastAsiaTheme="minorEastAsia" w:hAnsi="Calibri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E6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1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FB"/>
    <w:rPr>
      <w:rFonts w:ascii="Calibri" w:eastAsiaTheme="minorEastAsia" w:hAnsi="Calibri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rsid w:val="00D21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FB"/>
    <w:rPr>
      <w:rFonts w:ascii="Calibri" w:eastAsiaTheme="minorEastAsia" w:hAnsi="Calibri" w:cs="Times New Roman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F2"/>
    <w:pPr>
      <w:spacing w:after="0" w:line="240" w:lineRule="auto"/>
    </w:pPr>
    <w:rPr>
      <w:rFonts w:ascii="Calibri" w:eastAsiaTheme="minorEastAsia" w:hAnsi="Calibri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13AF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F2"/>
    <w:rPr>
      <w:rFonts w:ascii="Tahoma" w:eastAsiaTheme="minorEastAsia" w:hAnsi="Tahoma" w:cs="Tahoma"/>
      <w:sz w:val="16"/>
      <w:szCs w:val="16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2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0A"/>
    <w:rPr>
      <w:rFonts w:ascii="Calibri" w:eastAsiaTheme="minorEastAsia" w:hAnsi="Calibri" w:cs="Times New Roman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0A"/>
    <w:rPr>
      <w:rFonts w:ascii="Calibri" w:eastAsiaTheme="minorEastAsia" w:hAnsi="Calibri" w:cs="Times New Roman"/>
      <w:b/>
      <w:bCs/>
      <w:sz w:val="20"/>
      <w:szCs w:val="20"/>
      <w:lang w:val="en-GB" w:eastAsia="zh-TW"/>
    </w:rPr>
  </w:style>
  <w:style w:type="paragraph" w:styleId="Revision">
    <w:name w:val="Revision"/>
    <w:hidden/>
    <w:uiPriority w:val="99"/>
    <w:semiHidden/>
    <w:rsid w:val="007176C0"/>
    <w:pPr>
      <w:spacing w:after="0" w:line="240" w:lineRule="auto"/>
    </w:pPr>
    <w:rPr>
      <w:rFonts w:ascii="Calibri" w:eastAsiaTheme="minorEastAsia" w:hAnsi="Calibri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E6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1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FB"/>
    <w:rPr>
      <w:rFonts w:ascii="Calibri" w:eastAsiaTheme="minorEastAsia" w:hAnsi="Calibri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rsid w:val="00D21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FB"/>
    <w:rPr>
      <w:rFonts w:ascii="Calibri" w:eastAsiaTheme="minorEastAsia" w:hAnsi="Calibri" w:cs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 Parman</dc:creator>
  <cp:lastModifiedBy>Anna Binks</cp:lastModifiedBy>
  <cp:revision>8</cp:revision>
  <dcterms:created xsi:type="dcterms:W3CDTF">2015-11-30T12:28:00Z</dcterms:created>
  <dcterms:modified xsi:type="dcterms:W3CDTF">2015-11-30T12:29:00Z</dcterms:modified>
</cp:coreProperties>
</file>