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page" w:tblpX="109" w:tblpY="905"/>
        <w:tblW w:w="5380" w:type="pct"/>
        <w:tblLayout w:type="fixed"/>
        <w:tblLook w:val="04A0" w:firstRow="1" w:lastRow="0" w:firstColumn="1" w:lastColumn="0" w:noHBand="0" w:noVBand="1"/>
      </w:tblPr>
      <w:tblGrid>
        <w:gridCol w:w="1572"/>
        <w:gridCol w:w="2341"/>
        <w:gridCol w:w="1851"/>
        <w:gridCol w:w="2338"/>
        <w:gridCol w:w="1847"/>
        <w:gridCol w:w="2345"/>
        <w:gridCol w:w="2613"/>
        <w:gridCol w:w="1836"/>
        <w:gridCol w:w="1840"/>
      </w:tblGrid>
      <w:tr w:rsidR="00213EE2" w:rsidRPr="0027208E" w14:paraId="1A297B84" w14:textId="77777777" w:rsidTr="00F35CA3">
        <w:trPr>
          <w:trHeight w:val="363"/>
        </w:trPr>
        <w:tc>
          <w:tcPr>
            <w:tcW w:w="5000" w:type="pct"/>
            <w:gridSpan w:val="9"/>
            <w:vAlign w:val="center"/>
          </w:tcPr>
          <w:p w14:paraId="6854D984" w14:textId="36870C0A" w:rsidR="00213EE2" w:rsidRPr="00F35CA3" w:rsidRDefault="00213EE2" w:rsidP="00213EE2">
            <w:pPr>
              <w:ind w:left="17" w:hanging="17"/>
              <w:contextualSpacing/>
              <w:rPr>
                <w:rFonts w:ascii="Times" w:hAnsi="Times"/>
                <w:b/>
                <w:sz w:val="20"/>
                <w:szCs w:val="20"/>
                <w:lang w:val="en-CA"/>
              </w:rPr>
            </w:pPr>
            <w:r w:rsidRPr="00F35CA3">
              <w:rPr>
                <w:rFonts w:ascii="Times" w:hAnsi="Times"/>
                <w:b/>
                <w:lang w:val="en-CA"/>
              </w:rPr>
              <w:t xml:space="preserve">   </w:t>
            </w:r>
            <w:r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>Supplement</w:t>
            </w:r>
            <w:r w:rsidR="00F35CA3"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>ary</w:t>
            </w:r>
            <w:r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 xml:space="preserve"> table 1: Completed </w:t>
            </w:r>
            <w:r w:rsidR="00663247"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>phase 3</w:t>
            </w:r>
            <w:r w:rsidR="00F35CA3"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 xml:space="preserve"> </w:t>
            </w:r>
            <w:r w:rsidRPr="00F35CA3">
              <w:rPr>
                <w:rFonts w:ascii="Times" w:hAnsi="Times"/>
                <w:b/>
                <w:sz w:val="20"/>
                <w:szCs w:val="20"/>
                <w:lang w:val="en-CA"/>
              </w:rPr>
              <w:t>clinical trials on immunotherapy for patient with advanced or metastatic renal cell carcinoma</w:t>
            </w:r>
          </w:p>
        </w:tc>
      </w:tr>
      <w:tr w:rsidR="00F35CA3" w:rsidRPr="003A2943" w14:paraId="0D0E09C2" w14:textId="77777777" w:rsidTr="00F35CA3">
        <w:trPr>
          <w:trHeight w:val="363"/>
        </w:trPr>
        <w:tc>
          <w:tcPr>
            <w:tcW w:w="423" w:type="pct"/>
            <w:vAlign w:val="center"/>
          </w:tcPr>
          <w:p w14:paraId="4F101670" w14:textId="77777777" w:rsidR="000375CA" w:rsidRPr="00381900" w:rsidRDefault="00381900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>
              <w:rPr>
                <w:rFonts w:ascii="Times" w:hAnsi="Times"/>
                <w:b/>
                <w:sz w:val="16"/>
                <w:szCs w:val="16"/>
                <w:lang w:val="en-CA"/>
              </w:rPr>
              <w:t>Line of therapy</w:t>
            </w:r>
          </w:p>
        </w:tc>
        <w:tc>
          <w:tcPr>
            <w:tcW w:w="630" w:type="pct"/>
            <w:vAlign w:val="center"/>
          </w:tcPr>
          <w:p w14:paraId="37399823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Agent</w:t>
            </w:r>
          </w:p>
        </w:tc>
        <w:tc>
          <w:tcPr>
            <w:tcW w:w="498" w:type="pct"/>
            <w:vAlign w:val="center"/>
          </w:tcPr>
          <w:p w14:paraId="378E3B33" w14:textId="40BC24D8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 xml:space="preserve">Trial name </w:t>
            </w:r>
          </w:p>
        </w:tc>
        <w:tc>
          <w:tcPr>
            <w:tcW w:w="629" w:type="pct"/>
            <w:vAlign w:val="center"/>
          </w:tcPr>
          <w:p w14:paraId="6681EE1D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US"/>
              </w:rPr>
              <w:t xml:space="preserve">Inclusion </w:t>
            </w:r>
            <w:r w:rsidR="00381900" w:rsidRPr="00381900">
              <w:rPr>
                <w:rFonts w:ascii="Times" w:hAnsi="Times"/>
                <w:b/>
                <w:sz w:val="16"/>
                <w:szCs w:val="16"/>
                <w:lang w:val="en-US"/>
              </w:rPr>
              <w:t>criteria</w:t>
            </w:r>
          </w:p>
        </w:tc>
        <w:tc>
          <w:tcPr>
            <w:tcW w:w="497" w:type="pct"/>
            <w:vAlign w:val="center"/>
          </w:tcPr>
          <w:p w14:paraId="2198BF87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US"/>
              </w:rPr>
              <w:t>Number of patients</w:t>
            </w:r>
          </w:p>
        </w:tc>
        <w:tc>
          <w:tcPr>
            <w:tcW w:w="631" w:type="pct"/>
            <w:vAlign w:val="center"/>
          </w:tcPr>
          <w:p w14:paraId="08D84157" w14:textId="048EAB61" w:rsidR="00981C44" w:rsidRPr="00381900" w:rsidRDefault="000375CA" w:rsidP="00981C44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US"/>
              </w:rPr>
              <w:t xml:space="preserve">Objective response rate </w:t>
            </w: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 xml:space="preserve">(%) </w:t>
            </w:r>
          </w:p>
          <w:p w14:paraId="7BF87495" w14:textId="303831BB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</w:p>
        </w:tc>
        <w:tc>
          <w:tcPr>
            <w:tcW w:w="703" w:type="pct"/>
            <w:vAlign w:val="center"/>
          </w:tcPr>
          <w:p w14:paraId="059D7078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Complete response   and partial response (%)</w:t>
            </w:r>
          </w:p>
        </w:tc>
        <w:tc>
          <w:tcPr>
            <w:tcW w:w="494" w:type="pct"/>
            <w:vAlign w:val="center"/>
          </w:tcPr>
          <w:p w14:paraId="53C3301B" w14:textId="77777777" w:rsidR="00F35CA3" w:rsidRDefault="00F35CA3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</w:p>
          <w:p w14:paraId="03F05449" w14:textId="70515F70" w:rsidR="000375CA" w:rsidRPr="00381900" w:rsidRDefault="00010003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Median</w:t>
            </w:r>
            <w:r w:rsidR="00B1100B"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 xml:space="preserve"> progression free survival </w:t>
            </w: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(month</w:t>
            </w:r>
            <w:r w:rsidR="00663247">
              <w:rPr>
                <w:rFonts w:ascii="Times" w:hAnsi="Times"/>
                <w:b/>
                <w:sz w:val="16"/>
                <w:szCs w:val="16"/>
                <w:lang w:val="en-CA"/>
              </w:rPr>
              <w:t>s</w:t>
            </w: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)</w:t>
            </w:r>
          </w:p>
          <w:p w14:paraId="35DE19D6" w14:textId="55C7242A" w:rsidR="00353221" w:rsidRPr="00381900" w:rsidRDefault="00353221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</w:p>
        </w:tc>
        <w:tc>
          <w:tcPr>
            <w:tcW w:w="494" w:type="pct"/>
            <w:vAlign w:val="center"/>
          </w:tcPr>
          <w:p w14:paraId="2491EBC1" w14:textId="77777777" w:rsidR="000375CA" w:rsidRPr="00381900" w:rsidRDefault="00010003" w:rsidP="00381900">
            <w:pPr>
              <w:ind w:left="17" w:hanging="17"/>
              <w:contextualSpacing/>
              <w:jc w:val="center"/>
              <w:rPr>
                <w:rFonts w:ascii="Times" w:hAnsi="Times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/>
                <w:b/>
                <w:sz w:val="16"/>
                <w:szCs w:val="16"/>
                <w:lang w:val="en-CA"/>
              </w:rPr>
              <w:t>Adverse events (%)</w:t>
            </w:r>
          </w:p>
        </w:tc>
      </w:tr>
      <w:tr w:rsidR="00F35CA3" w:rsidRPr="003A2943" w14:paraId="4A6F7E00" w14:textId="77777777" w:rsidTr="00F35CA3">
        <w:trPr>
          <w:trHeight w:val="1476"/>
        </w:trPr>
        <w:tc>
          <w:tcPr>
            <w:tcW w:w="423" w:type="pct"/>
            <w:vAlign w:val="center"/>
          </w:tcPr>
          <w:p w14:paraId="6E990541" w14:textId="776D8DF4" w:rsidR="000375CA" w:rsidRPr="00381900" w:rsidRDefault="00C952B4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>
              <w:rPr>
                <w:rFonts w:ascii="Times" w:hAnsi="Times" w:cs="Arial"/>
                <w:sz w:val="16"/>
                <w:szCs w:val="16"/>
                <w:lang w:val="en-CA"/>
              </w:rPr>
              <w:t>Not first</w:t>
            </w:r>
            <w:bookmarkStart w:id="0" w:name="_GoBack"/>
            <w:bookmarkEnd w:id="0"/>
          </w:p>
        </w:tc>
        <w:tc>
          <w:tcPr>
            <w:tcW w:w="630" w:type="pct"/>
            <w:vAlign w:val="center"/>
          </w:tcPr>
          <w:p w14:paraId="7F6B8E23" w14:textId="77777777" w:rsidR="000375CA" w:rsidRPr="00381900" w:rsidRDefault="000375CA" w:rsidP="00381900">
            <w:pPr>
              <w:contextualSpacing/>
              <w:jc w:val="center"/>
              <w:rPr>
                <w:rFonts w:ascii="Times" w:eastAsia="Times New Roman" w:hAnsi="Times" w:cs="Arial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eastAsia="Times New Roman" w:hAnsi="Times" w:cs="Arial"/>
                <w:b/>
                <w:sz w:val="16"/>
                <w:szCs w:val="16"/>
                <w:lang w:val="en-CA"/>
              </w:rPr>
              <w:t xml:space="preserve">Nivolumab </w:t>
            </w:r>
            <w:r w:rsidRPr="00381900">
              <w:rPr>
                <w:rFonts w:ascii="Times" w:eastAsia="Times New Roman" w:hAnsi="Times" w:cs="Arial"/>
                <w:b/>
                <w:sz w:val="16"/>
                <w:szCs w:val="16"/>
                <w:lang w:val="en-CA"/>
              </w:rPr>
              <w:br/>
              <w:t xml:space="preserve">vs </w:t>
            </w:r>
            <w:r w:rsidRPr="00381900">
              <w:rPr>
                <w:rFonts w:ascii="Times" w:eastAsia="Times New Roman" w:hAnsi="Times" w:cs="Arial"/>
                <w:b/>
                <w:sz w:val="16"/>
                <w:szCs w:val="16"/>
                <w:lang w:val="en-CA"/>
              </w:rPr>
              <w:br/>
              <w:t>Everolimus</w:t>
            </w:r>
          </w:p>
        </w:tc>
        <w:tc>
          <w:tcPr>
            <w:tcW w:w="498" w:type="pct"/>
            <w:vAlign w:val="center"/>
          </w:tcPr>
          <w:p w14:paraId="5C38DAE9" w14:textId="4143693F" w:rsidR="000375CA" w:rsidRPr="00B91082" w:rsidRDefault="000375CA" w:rsidP="00381900">
            <w:pPr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vertAlign w:val="superscript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CheckMate 025</w:t>
            </w:r>
          </w:p>
          <w:p w14:paraId="0C3302C6" w14:textId="0CDE5A06" w:rsidR="000375CA" w:rsidRPr="00B91082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629" w:type="pct"/>
            <w:vAlign w:val="center"/>
          </w:tcPr>
          <w:p w14:paraId="1BFE2F83" w14:textId="77777777" w:rsidR="000375CA" w:rsidRPr="00B91082" w:rsidRDefault="00A11E6A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/>
                <w:sz w:val="16"/>
                <w:szCs w:val="16"/>
                <w:lang w:val="en-US"/>
              </w:rPr>
              <w:t>Patients with advanced or metastatic ccRCC histologically confirmed</w:t>
            </w:r>
          </w:p>
        </w:tc>
        <w:tc>
          <w:tcPr>
            <w:tcW w:w="497" w:type="pct"/>
            <w:vAlign w:val="center"/>
          </w:tcPr>
          <w:p w14:paraId="0171764E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  <w:t>821</w:t>
            </w:r>
          </w:p>
        </w:tc>
        <w:tc>
          <w:tcPr>
            <w:tcW w:w="631" w:type="pct"/>
            <w:vAlign w:val="center"/>
          </w:tcPr>
          <w:p w14:paraId="53B27A00" w14:textId="77777777" w:rsidR="00981C44" w:rsidRDefault="00981C44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00FF3176" w14:textId="77777777" w:rsidR="00981C44" w:rsidRDefault="00981C44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78D44D46" w14:textId="77777777" w:rsidR="000375CA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25 vs 5</w:t>
            </w:r>
          </w:p>
          <w:p w14:paraId="03A56674" w14:textId="77777777" w:rsidR="000375CA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7E867FA3" w14:textId="06F3D802" w:rsidR="000375CA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703" w:type="pct"/>
            <w:vAlign w:val="center"/>
          </w:tcPr>
          <w:p w14:paraId="08DB8E06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1/24</w:t>
            </w:r>
          </w:p>
          <w:p w14:paraId="69E42EC1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vs</w:t>
            </w:r>
          </w:p>
          <w:p w14:paraId="71E29341" w14:textId="6C272368" w:rsidR="000375CA" w:rsidRPr="00B91082" w:rsidRDefault="00381900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</w:t>
            </w:r>
            <w:r w:rsidR="000375CA" w:rsidRPr="00B91082">
              <w:rPr>
                <w:rFonts w:ascii="Times" w:hAnsi="Times" w:cs="Arial"/>
                <w:sz w:val="16"/>
                <w:szCs w:val="16"/>
                <w:lang w:val="en-CA"/>
              </w:rPr>
              <w:t>/5</w:t>
            </w:r>
          </w:p>
        </w:tc>
        <w:tc>
          <w:tcPr>
            <w:tcW w:w="494" w:type="pct"/>
            <w:vAlign w:val="center"/>
          </w:tcPr>
          <w:p w14:paraId="1C380918" w14:textId="77777777" w:rsidR="000375CA" w:rsidRPr="00B91082" w:rsidRDefault="00F30532" w:rsidP="0066324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shd w:val="clear" w:color="auto" w:fill="FFFFFF"/>
                <w:lang w:val="en-CA" w:eastAsia="zh-CN"/>
              </w:rPr>
            </w:pPr>
            <w:r w:rsidRPr="00B91082">
              <w:rPr>
                <w:rFonts w:ascii="Times" w:eastAsia="Times New Roman" w:hAnsi="Times" w:cs="Times New Roman"/>
                <w:color w:val="000000"/>
                <w:sz w:val="16"/>
                <w:szCs w:val="16"/>
                <w:shd w:val="clear" w:color="auto" w:fill="FFFFFF"/>
                <w:lang w:val="en-CA" w:eastAsia="zh-CN"/>
              </w:rPr>
              <w:t>5</w:t>
            </w:r>
            <w:r w:rsidR="00B1100B" w:rsidRPr="00B91082">
              <w:rPr>
                <w:rFonts w:ascii="Times" w:eastAsia="Times New Roman" w:hAnsi="Times" w:cs="Times New Roman"/>
                <w:color w:val="000000"/>
                <w:sz w:val="16"/>
                <w:szCs w:val="16"/>
                <w:shd w:val="clear" w:color="auto" w:fill="FFFFFF"/>
                <w:lang w:val="en-CA" w:eastAsia="zh-CN"/>
              </w:rPr>
              <w:t xml:space="preserve"> v</w:t>
            </w:r>
            <w:r w:rsidRPr="00B91082">
              <w:rPr>
                <w:rFonts w:ascii="Times" w:eastAsia="Times New Roman" w:hAnsi="Times" w:cs="Times New Roman"/>
                <w:color w:val="000000"/>
                <w:sz w:val="16"/>
                <w:szCs w:val="16"/>
                <w:shd w:val="clear" w:color="auto" w:fill="FFFFFF"/>
                <w:lang w:val="en-CA" w:eastAsia="zh-CN"/>
              </w:rPr>
              <w:t>s 4</w:t>
            </w:r>
          </w:p>
          <w:p w14:paraId="2CC1A786" w14:textId="3F986E2A" w:rsidR="00B1100B" w:rsidRPr="00B91082" w:rsidRDefault="00B1100B" w:rsidP="00663247">
            <w:pPr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494" w:type="pct"/>
            <w:vAlign w:val="center"/>
          </w:tcPr>
          <w:p w14:paraId="1C44964D" w14:textId="23A5C07B" w:rsidR="00010003" w:rsidRPr="00B91082" w:rsidRDefault="00010003" w:rsidP="00663247">
            <w:pPr>
              <w:widowControl w:val="0"/>
              <w:autoSpaceDE w:val="0"/>
              <w:autoSpaceDN w:val="0"/>
              <w:adjustRightInd w:val="0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Grade 3-4</w:t>
            </w:r>
            <w:r w:rsidR="00981C44">
              <w:rPr>
                <w:rFonts w:ascii="Times" w:hAnsi="Times" w:cs="Arial"/>
                <w:sz w:val="16"/>
                <w:szCs w:val="16"/>
                <w:lang w:val="en-CA"/>
              </w:rPr>
              <w:t>=</w:t>
            </w:r>
          </w:p>
          <w:p w14:paraId="0E46BA8D" w14:textId="77777777" w:rsidR="000375CA" w:rsidRPr="00B91082" w:rsidRDefault="00010003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19 vs 37</w:t>
            </w:r>
          </w:p>
        </w:tc>
      </w:tr>
      <w:tr w:rsidR="00F35CA3" w:rsidRPr="003A2943" w14:paraId="0465191E" w14:textId="77777777" w:rsidTr="00F35CA3">
        <w:trPr>
          <w:trHeight w:val="1591"/>
        </w:trPr>
        <w:tc>
          <w:tcPr>
            <w:tcW w:w="423" w:type="pct"/>
            <w:vMerge w:val="restart"/>
            <w:vAlign w:val="center"/>
          </w:tcPr>
          <w:p w14:paraId="3241AA7B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381900">
              <w:rPr>
                <w:rFonts w:ascii="Times" w:hAnsi="Times" w:cs="Arial"/>
                <w:sz w:val="16"/>
                <w:szCs w:val="16"/>
                <w:lang w:val="en-CA"/>
              </w:rPr>
              <w:t>First</w:t>
            </w:r>
          </w:p>
        </w:tc>
        <w:tc>
          <w:tcPr>
            <w:tcW w:w="630" w:type="pct"/>
            <w:vAlign w:val="center"/>
          </w:tcPr>
          <w:p w14:paraId="1C35FA6A" w14:textId="77777777" w:rsidR="000375CA" w:rsidRPr="00381900" w:rsidRDefault="000375CA" w:rsidP="00381900">
            <w:pPr>
              <w:widowControl w:val="0"/>
              <w:autoSpaceDE w:val="0"/>
              <w:autoSpaceDN w:val="0"/>
              <w:adjustRightInd w:val="0"/>
              <w:ind w:left="17" w:hanging="17"/>
              <w:contextualSpacing/>
              <w:jc w:val="center"/>
              <w:rPr>
                <w:rFonts w:ascii="Times" w:hAnsi="Times" w:cs="Arial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 w:cs="Arial"/>
                <w:b/>
                <w:sz w:val="16"/>
                <w:szCs w:val="16"/>
                <w:lang w:val="en-CA"/>
              </w:rPr>
              <w:t>Nivolumab</w:t>
            </w:r>
          </w:p>
          <w:p w14:paraId="5DD48428" w14:textId="77777777" w:rsidR="000375CA" w:rsidRPr="00381900" w:rsidRDefault="000375CA" w:rsidP="00381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" w:hAnsi="Times" w:cs="Arial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 w:cs="Arial"/>
                <w:b/>
                <w:sz w:val="16"/>
                <w:szCs w:val="16"/>
                <w:lang w:val="en-CA"/>
              </w:rPr>
              <w:t>+</w:t>
            </w:r>
          </w:p>
          <w:p w14:paraId="3CDECF98" w14:textId="77777777" w:rsidR="000375CA" w:rsidRPr="00381900" w:rsidRDefault="000375CA" w:rsidP="00381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" w:hAnsi="Times" w:cs="Arial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 w:cs="Arial"/>
                <w:b/>
                <w:sz w:val="16"/>
                <w:szCs w:val="16"/>
                <w:lang w:val="en-CA"/>
              </w:rPr>
              <w:t>Ipilimubab</w:t>
            </w:r>
          </w:p>
          <w:p w14:paraId="4ACEC49F" w14:textId="5480CC36" w:rsidR="000375CA" w:rsidRPr="00381900" w:rsidRDefault="00981C44" w:rsidP="00381900">
            <w:pPr>
              <w:widowControl w:val="0"/>
              <w:autoSpaceDE w:val="0"/>
              <w:autoSpaceDN w:val="0"/>
              <w:adjustRightInd w:val="0"/>
              <w:ind w:left="17" w:hanging="17"/>
              <w:contextualSpacing/>
              <w:jc w:val="center"/>
              <w:rPr>
                <w:rFonts w:ascii="Times" w:hAnsi="Times" w:cs="Arial"/>
                <w:b/>
                <w:sz w:val="16"/>
                <w:szCs w:val="16"/>
                <w:lang w:val="en-CA"/>
              </w:rPr>
            </w:pPr>
            <w:r>
              <w:rPr>
                <w:rFonts w:ascii="Times" w:hAnsi="Times" w:cs="Arial"/>
                <w:b/>
                <w:sz w:val="16"/>
                <w:szCs w:val="16"/>
                <w:lang w:val="en-CA"/>
              </w:rPr>
              <w:t>v</w:t>
            </w:r>
            <w:r w:rsidR="000375CA" w:rsidRPr="00381900">
              <w:rPr>
                <w:rFonts w:ascii="Times" w:hAnsi="Times" w:cs="Arial"/>
                <w:b/>
                <w:sz w:val="16"/>
                <w:szCs w:val="16"/>
                <w:lang w:val="en-CA"/>
              </w:rPr>
              <w:t>s</w:t>
            </w:r>
          </w:p>
          <w:p w14:paraId="7959EFC2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b/>
                <w:sz w:val="16"/>
                <w:szCs w:val="16"/>
                <w:lang w:val="en-CA"/>
              </w:rPr>
            </w:pPr>
            <w:r w:rsidRPr="00381900">
              <w:rPr>
                <w:rFonts w:ascii="Times" w:hAnsi="Times" w:cs="Arial"/>
                <w:b/>
                <w:sz w:val="16"/>
                <w:szCs w:val="16"/>
                <w:lang w:val="en-CA"/>
              </w:rPr>
              <w:t>Sunitinib</w:t>
            </w:r>
          </w:p>
        </w:tc>
        <w:tc>
          <w:tcPr>
            <w:tcW w:w="498" w:type="pct"/>
            <w:vAlign w:val="center"/>
          </w:tcPr>
          <w:p w14:paraId="0A4FEA2E" w14:textId="12F0F714" w:rsidR="000375CA" w:rsidRPr="00B91082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CheckMate 214</w:t>
            </w:r>
          </w:p>
          <w:p w14:paraId="36D78E33" w14:textId="72303A53" w:rsidR="000375CA" w:rsidRPr="00B91082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629" w:type="pct"/>
            <w:vAlign w:val="center"/>
          </w:tcPr>
          <w:p w14:paraId="067709CE" w14:textId="77777777" w:rsidR="000375CA" w:rsidRPr="00B91082" w:rsidRDefault="00030767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 xml:space="preserve">Patients with </w:t>
            </w:r>
            <w:r w:rsidR="001A77A4"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 xml:space="preserve">advanced or </w:t>
            </w: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metastatic ccRCC histologically confirmed</w:t>
            </w:r>
          </w:p>
        </w:tc>
        <w:tc>
          <w:tcPr>
            <w:tcW w:w="497" w:type="pct"/>
            <w:vAlign w:val="center"/>
          </w:tcPr>
          <w:p w14:paraId="1FBFDE0F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  <w:t>1096</w:t>
            </w:r>
          </w:p>
        </w:tc>
        <w:tc>
          <w:tcPr>
            <w:tcW w:w="631" w:type="pct"/>
            <w:vAlign w:val="center"/>
          </w:tcPr>
          <w:p w14:paraId="221FFE39" w14:textId="77777777" w:rsidR="000375CA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40688FA6" w14:textId="77777777" w:rsidR="00137F19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Intermediate/poor risk</w:t>
            </w:r>
          </w:p>
          <w:p w14:paraId="065B9CF7" w14:textId="77777777" w:rsidR="000375CA" w:rsidRPr="00B91082" w:rsidRDefault="00F30532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42 vs 27</w:t>
            </w:r>
          </w:p>
          <w:p w14:paraId="03A1520D" w14:textId="52BCF6C0" w:rsidR="000375CA" w:rsidRPr="00B91082" w:rsidRDefault="000375CA" w:rsidP="00981C44">
            <w:pPr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703" w:type="pct"/>
            <w:vAlign w:val="center"/>
          </w:tcPr>
          <w:p w14:paraId="5ED5778A" w14:textId="77777777" w:rsidR="000375CA" w:rsidRPr="00B91082" w:rsidRDefault="001A77A4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9</w:t>
            </w:r>
            <w:r w:rsidR="000375CA" w:rsidRPr="00B91082">
              <w:rPr>
                <w:rFonts w:ascii="Times" w:hAnsi="Times" w:cs="Arial"/>
                <w:sz w:val="16"/>
                <w:szCs w:val="16"/>
                <w:lang w:val="en-CA"/>
              </w:rPr>
              <w:t>/32</w:t>
            </w:r>
          </w:p>
          <w:p w14:paraId="3E57D987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vs</w:t>
            </w:r>
          </w:p>
          <w:p w14:paraId="4B40D534" w14:textId="77777777" w:rsidR="000375CA" w:rsidRPr="00B91082" w:rsidRDefault="001A77A4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</w:t>
            </w:r>
            <w:r w:rsidR="000375CA" w:rsidRPr="00B91082">
              <w:rPr>
                <w:rFonts w:ascii="Times" w:hAnsi="Times" w:cs="Arial"/>
                <w:sz w:val="16"/>
                <w:szCs w:val="16"/>
                <w:lang w:val="en-CA"/>
              </w:rPr>
              <w:t>/25</w:t>
            </w:r>
          </w:p>
        </w:tc>
        <w:tc>
          <w:tcPr>
            <w:tcW w:w="494" w:type="pct"/>
            <w:vAlign w:val="center"/>
          </w:tcPr>
          <w:p w14:paraId="6644FC5C" w14:textId="77777777" w:rsidR="00B1100B" w:rsidRPr="00B91082" w:rsidRDefault="00B1100B" w:rsidP="00663247">
            <w:pPr>
              <w:widowControl w:val="0"/>
              <w:autoSpaceDE w:val="0"/>
              <w:autoSpaceDN w:val="0"/>
              <w:adjustRightInd w:val="0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7F92510D" w14:textId="77777777" w:rsidR="00B1100B" w:rsidRPr="00B91082" w:rsidRDefault="00B1100B" w:rsidP="00663247">
            <w:pPr>
              <w:widowControl w:val="0"/>
              <w:autoSpaceDE w:val="0"/>
              <w:autoSpaceDN w:val="0"/>
              <w:adjustRightInd w:val="0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Intermediate/poor risk</w:t>
            </w:r>
          </w:p>
          <w:p w14:paraId="2B3C54B0" w14:textId="77777777" w:rsidR="000375CA" w:rsidRPr="00B91082" w:rsidRDefault="00F30532" w:rsidP="00663247">
            <w:pPr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12 vs 8</w:t>
            </w:r>
          </w:p>
          <w:p w14:paraId="4489AC3E" w14:textId="56421124" w:rsidR="00B1100B" w:rsidRPr="00B91082" w:rsidRDefault="00B1100B" w:rsidP="00663247">
            <w:pPr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494" w:type="pct"/>
            <w:vAlign w:val="center"/>
          </w:tcPr>
          <w:p w14:paraId="70A1AB39" w14:textId="07AA064F" w:rsidR="000375CA" w:rsidRDefault="00137F19" w:rsidP="00663247">
            <w:pPr>
              <w:contextualSpacing/>
              <w:jc w:val="center"/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  <w:t>Grade 3-4</w:t>
            </w:r>
          </w:p>
          <w:p w14:paraId="20C0C690" w14:textId="77777777" w:rsidR="00981C44" w:rsidRPr="00B91082" w:rsidRDefault="00981C44" w:rsidP="00663247">
            <w:pPr>
              <w:contextualSpacing/>
              <w:jc w:val="center"/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</w:pPr>
          </w:p>
          <w:p w14:paraId="0532AEB5" w14:textId="355F04F0" w:rsidR="00137F19" w:rsidRPr="00B91082" w:rsidRDefault="00B50454" w:rsidP="00663247">
            <w:pPr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46</w:t>
            </w:r>
            <w:r w:rsidR="00137F19"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 xml:space="preserve"> vs 63</w:t>
            </w:r>
          </w:p>
        </w:tc>
      </w:tr>
      <w:tr w:rsidR="00F35CA3" w:rsidRPr="003A2943" w14:paraId="33E45C48" w14:textId="77777777" w:rsidTr="00F35CA3">
        <w:trPr>
          <w:cantSplit/>
          <w:trHeight w:val="1825"/>
        </w:trPr>
        <w:tc>
          <w:tcPr>
            <w:tcW w:w="423" w:type="pct"/>
            <w:vMerge/>
            <w:vAlign w:val="center"/>
          </w:tcPr>
          <w:p w14:paraId="358152B0" w14:textId="77777777" w:rsidR="000375CA" w:rsidRPr="00381900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630" w:type="pct"/>
            <w:vAlign w:val="center"/>
          </w:tcPr>
          <w:p w14:paraId="2799EF18" w14:textId="2D0E206A" w:rsidR="000375CA" w:rsidRPr="00D938A5" w:rsidRDefault="00D938A5" w:rsidP="0027208E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b/>
                <w:color w:val="040404"/>
                <w:sz w:val="16"/>
                <w:szCs w:val="16"/>
                <w:lang w:val="en-CA"/>
              </w:rPr>
            </w:pPr>
            <w:r w:rsidRPr="00D938A5">
              <w:rPr>
                <w:rFonts w:ascii="Times" w:hAnsi="Times" w:cs="Arial"/>
                <w:b/>
                <w:bCs/>
                <w:color w:val="040404"/>
                <w:sz w:val="16"/>
                <w:szCs w:val="16"/>
              </w:rPr>
              <w:t xml:space="preserve">Atezolizumab + Bevacizumab </w:t>
            </w:r>
            <w:r w:rsidRPr="00D938A5">
              <w:rPr>
                <w:rFonts w:ascii="Times" w:hAnsi="Times" w:cs="Arial"/>
                <w:b/>
                <w:bCs/>
                <w:color w:val="040404"/>
                <w:sz w:val="16"/>
                <w:szCs w:val="16"/>
              </w:rPr>
              <w:br/>
              <w:t xml:space="preserve">vs </w:t>
            </w:r>
            <w:r w:rsidRPr="00D938A5">
              <w:rPr>
                <w:rFonts w:ascii="Times" w:hAnsi="Times" w:cs="Arial"/>
                <w:b/>
                <w:bCs/>
                <w:color w:val="040404"/>
                <w:sz w:val="16"/>
                <w:szCs w:val="16"/>
              </w:rPr>
              <w:br/>
              <w:t>Sunitinib</w:t>
            </w:r>
          </w:p>
        </w:tc>
        <w:tc>
          <w:tcPr>
            <w:tcW w:w="498" w:type="pct"/>
            <w:vAlign w:val="center"/>
          </w:tcPr>
          <w:p w14:paraId="57763CDD" w14:textId="77777777" w:rsidR="000375CA" w:rsidRPr="00B91082" w:rsidRDefault="000375CA" w:rsidP="00381900">
            <w:pPr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IMmotion</w:t>
            </w:r>
          </w:p>
          <w:p w14:paraId="6E09DF9F" w14:textId="0B4FE42B" w:rsidR="000375CA" w:rsidRPr="00B91082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vertAlign w:val="superscript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15</w:t>
            </w:r>
            <w:r w:rsidR="0027208E" w:rsidRPr="00B91082">
              <w:rPr>
                <w:rFonts w:ascii="Times" w:hAnsi="Times" w:cs="Arial"/>
                <w:sz w:val="16"/>
                <w:szCs w:val="16"/>
                <w:lang w:val="en-CA"/>
              </w:rPr>
              <w:t>1</w:t>
            </w:r>
          </w:p>
          <w:p w14:paraId="0BD4C1D6" w14:textId="49304CB4" w:rsidR="000375CA" w:rsidRPr="00B91082" w:rsidRDefault="000375CA" w:rsidP="00381900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629" w:type="pct"/>
            <w:vAlign w:val="center"/>
          </w:tcPr>
          <w:p w14:paraId="7C1CF7F2" w14:textId="43BA037F" w:rsidR="000375CA" w:rsidRPr="00B91082" w:rsidRDefault="00D938A5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Calibri"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Unresectable locally advanced or metastatic </w:t>
            </w:r>
            <w:r w:rsidRPr="00B91082">
              <w:rPr>
                <w:rFonts w:ascii="Times" w:hAnsi="Times"/>
                <w:sz w:val="16"/>
                <w:szCs w:val="16"/>
                <w:lang w:val="en-US"/>
              </w:rPr>
              <w:t>ccRCC with or without sarcomatoid</w:t>
            </w:r>
            <w:r w:rsidRPr="00B91082">
              <w:rPr>
                <w:rFonts w:ascii="Times" w:hAnsi="Times" w:cs="Calibri"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 feature</w:t>
            </w:r>
          </w:p>
        </w:tc>
        <w:tc>
          <w:tcPr>
            <w:tcW w:w="497" w:type="pct"/>
            <w:vAlign w:val="center"/>
          </w:tcPr>
          <w:p w14:paraId="7E60EA82" w14:textId="10912EAC" w:rsidR="000375CA" w:rsidRPr="00B91082" w:rsidRDefault="00D938A5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bCs/>
                <w:sz w:val="16"/>
                <w:szCs w:val="16"/>
                <w:lang w:val="en-CA"/>
              </w:rPr>
              <w:t>915</w:t>
            </w:r>
          </w:p>
        </w:tc>
        <w:tc>
          <w:tcPr>
            <w:tcW w:w="631" w:type="pct"/>
            <w:vAlign w:val="center"/>
          </w:tcPr>
          <w:p w14:paraId="67117722" w14:textId="77777777" w:rsidR="000375CA" w:rsidRPr="00B91082" w:rsidRDefault="00381900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Intent to treat</w:t>
            </w:r>
          </w:p>
          <w:p w14:paraId="38245F4C" w14:textId="5E166FE0" w:rsidR="000375CA" w:rsidRPr="00B91082" w:rsidRDefault="00D07138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37</w:t>
            </w:r>
            <w:r w:rsidR="00981C44">
              <w:rPr>
                <w:rFonts w:ascii="Times" w:hAnsi="Times" w:cs="Arial"/>
                <w:sz w:val="16"/>
                <w:szCs w:val="16"/>
                <w:lang w:val="en-CA"/>
              </w:rPr>
              <w:t xml:space="preserve"> </w:t>
            </w:r>
            <w:r w:rsidR="00E158EB" w:rsidRPr="00B91082">
              <w:rPr>
                <w:rFonts w:ascii="Times" w:hAnsi="Times" w:cs="Arial"/>
                <w:sz w:val="16"/>
                <w:szCs w:val="16"/>
                <w:lang w:val="en-CA"/>
              </w:rPr>
              <w:t xml:space="preserve">vs 33 </w:t>
            </w:r>
          </w:p>
          <w:p w14:paraId="79F7AE90" w14:textId="77777777" w:rsidR="00E158EB" w:rsidRPr="00B91082" w:rsidRDefault="00E158EB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</w:p>
          <w:p w14:paraId="6668B79B" w14:textId="27CEE76D" w:rsidR="000375CA" w:rsidRPr="00B91082" w:rsidRDefault="000375CA" w:rsidP="00981C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 xml:space="preserve">Intent to treat </w:t>
            </w:r>
            <w:r w:rsidR="00981C44">
              <w:rPr>
                <w:rFonts w:ascii="Times" w:hAnsi="Times" w:cs="Arial"/>
                <w:sz w:val="16"/>
                <w:szCs w:val="16"/>
                <w:lang w:val="en-CA"/>
              </w:rPr>
              <w:t xml:space="preserve">with </w:t>
            </w: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PD-L1 &gt; 1%</w:t>
            </w:r>
          </w:p>
          <w:p w14:paraId="5A589CB5" w14:textId="6BDE6EDD" w:rsidR="000375CA" w:rsidRPr="00B91082" w:rsidRDefault="00981C44" w:rsidP="00981C44">
            <w:pPr>
              <w:spacing w:line="276" w:lineRule="auto"/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pt-BR"/>
              </w:rPr>
            </w:pPr>
            <w:r>
              <w:rPr>
                <w:rFonts w:ascii="Times" w:hAnsi="Times" w:cs="Arial"/>
                <w:sz w:val="16"/>
                <w:szCs w:val="16"/>
                <w:lang w:val="pt-BR"/>
              </w:rPr>
              <w:t xml:space="preserve">43 </w:t>
            </w:r>
            <w:r w:rsidR="00E158EB" w:rsidRPr="00B91082">
              <w:rPr>
                <w:rFonts w:ascii="Times" w:hAnsi="Times" w:cs="Arial"/>
                <w:sz w:val="16"/>
                <w:szCs w:val="16"/>
                <w:lang w:val="pt-BR"/>
              </w:rPr>
              <w:t xml:space="preserve"> vs 35</w:t>
            </w:r>
          </w:p>
        </w:tc>
        <w:tc>
          <w:tcPr>
            <w:tcW w:w="703" w:type="pct"/>
            <w:vAlign w:val="center"/>
          </w:tcPr>
          <w:p w14:paraId="1480BF12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-</w:t>
            </w:r>
          </w:p>
        </w:tc>
        <w:tc>
          <w:tcPr>
            <w:tcW w:w="494" w:type="pct"/>
            <w:vAlign w:val="center"/>
          </w:tcPr>
          <w:p w14:paraId="2A2EDDEC" w14:textId="77777777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Intent to treat</w:t>
            </w:r>
          </w:p>
          <w:p w14:paraId="3BB1BC83" w14:textId="2244D6E2" w:rsidR="000375CA" w:rsidRPr="00B91082" w:rsidRDefault="00D92274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11 vs 8</w:t>
            </w:r>
          </w:p>
          <w:p w14:paraId="2C99B140" w14:textId="6702D845" w:rsidR="000375CA" w:rsidRPr="00B91082" w:rsidRDefault="000375CA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br/>
            </w:r>
            <w:r w:rsidR="00981C44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 xml:space="preserve">Intent to treat with </w:t>
            </w: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 xml:space="preserve"> PD-L1&gt;1%</w:t>
            </w:r>
          </w:p>
          <w:p w14:paraId="7C7673C3" w14:textId="77777777" w:rsidR="000375CA" w:rsidRPr="00B91082" w:rsidRDefault="00332997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eastAsia="Times New Roman" w:hAnsi="Times" w:cs="Arial"/>
                <w:sz w:val="16"/>
                <w:szCs w:val="16"/>
                <w:lang w:val="en-CA"/>
              </w:rPr>
              <w:t>11 vs 8</w:t>
            </w:r>
          </w:p>
          <w:p w14:paraId="1F31BEEA" w14:textId="732FAC59" w:rsidR="00332997" w:rsidRPr="00B91082" w:rsidRDefault="00332997" w:rsidP="00663247">
            <w:pPr>
              <w:ind w:left="17" w:hanging="17"/>
              <w:contextualSpacing/>
              <w:jc w:val="center"/>
              <w:rPr>
                <w:rFonts w:ascii="Times" w:eastAsia="Times New Roman" w:hAnsi="Times" w:cs="Arial"/>
                <w:sz w:val="16"/>
                <w:szCs w:val="16"/>
                <w:lang w:val="en-CA"/>
              </w:rPr>
            </w:pPr>
          </w:p>
        </w:tc>
        <w:tc>
          <w:tcPr>
            <w:tcW w:w="494" w:type="pct"/>
            <w:vAlign w:val="center"/>
          </w:tcPr>
          <w:p w14:paraId="5275E89B" w14:textId="14A89DAC" w:rsidR="00381900" w:rsidRDefault="00332997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bCs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bCs/>
                <w:sz w:val="16"/>
                <w:szCs w:val="16"/>
                <w:lang w:val="en-CA"/>
              </w:rPr>
              <w:t>Grade 2-4</w:t>
            </w:r>
          </w:p>
          <w:p w14:paraId="23B591E0" w14:textId="77777777" w:rsidR="00981C44" w:rsidRPr="00B91082" w:rsidRDefault="00981C44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bCs/>
                <w:sz w:val="16"/>
                <w:szCs w:val="16"/>
                <w:lang w:val="en-CA"/>
              </w:rPr>
            </w:pPr>
          </w:p>
          <w:p w14:paraId="106954BC" w14:textId="3E54EE15" w:rsidR="000375CA" w:rsidRPr="00B91082" w:rsidRDefault="00332997" w:rsidP="00663247">
            <w:pPr>
              <w:ind w:left="17" w:hanging="17"/>
              <w:contextualSpacing/>
              <w:jc w:val="center"/>
              <w:rPr>
                <w:rFonts w:ascii="Times" w:hAnsi="Times" w:cs="Arial"/>
                <w:sz w:val="16"/>
                <w:szCs w:val="16"/>
                <w:lang w:val="en-CA"/>
              </w:rPr>
            </w:pPr>
            <w:r w:rsidRPr="00B91082">
              <w:rPr>
                <w:rFonts w:ascii="Times" w:hAnsi="Times" w:cs="Arial"/>
                <w:sz w:val="16"/>
                <w:szCs w:val="16"/>
                <w:lang w:val="en-CA"/>
              </w:rPr>
              <w:t>40 vs 54</w:t>
            </w:r>
          </w:p>
        </w:tc>
      </w:tr>
    </w:tbl>
    <w:p w14:paraId="5AB50188" w14:textId="77777777" w:rsidR="002407E3" w:rsidRDefault="002407E3"/>
    <w:sectPr w:rsidR="002407E3" w:rsidSect="00F35CA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83"/>
    <w:rsid w:val="00010003"/>
    <w:rsid w:val="00030767"/>
    <w:rsid w:val="000375CA"/>
    <w:rsid w:val="000B027A"/>
    <w:rsid w:val="00137F19"/>
    <w:rsid w:val="001A77A4"/>
    <w:rsid w:val="00213EE2"/>
    <w:rsid w:val="002407E3"/>
    <w:rsid w:val="0027208E"/>
    <w:rsid w:val="00332997"/>
    <w:rsid w:val="00353221"/>
    <w:rsid w:val="00374F5E"/>
    <w:rsid w:val="00381900"/>
    <w:rsid w:val="00407783"/>
    <w:rsid w:val="0052447F"/>
    <w:rsid w:val="00546BE8"/>
    <w:rsid w:val="006053B9"/>
    <w:rsid w:val="006252A2"/>
    <w:rsid w:val="00663247"/>
    <w:rsid w:val="00684407"/>
    <w:rsid w:val="00846BEA"/>
    <w:rsid w:val="00981C44"/>
    <w:rsid w:val="00A11E6A"/>
    <w:rsid w:val="00B1100B"/>
    <w:rsid w:val="00B50454"/>
    <w:rsid w:val="00B91082"/>
    <w:rsid w:val="00BC0E84"/>
    <w:rsid w:val="00C952B4"/>
    <w:rsid w:val="00D07138"/>
    <w:rsid w:val="00D92274"/>
    <w:rsid w:val="00D938A5"/>
    <w:rsid w:val="00DE06D3"/>
    <w:rsid w:val="00E158EB"/>
    <w:rsid w:val="00F30532"/>
    <w:rsid w:val="00F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A589"/>
  <w14:defaultImageDpi w14:val="32767"/>
  <w15:chartTrackingRefBased/>
  <w15:docId w15:val="{B6E1EF02-2130-5846-9AF1-029CA56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783"/>
    <w:rPr>
      <w:rFonts w:eastAsiaTheme="minorEastAsia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783"/>
    <w:rPr>
      <w:rFonts w:eastAsiaTheme="minorEastAsia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BC853-8DA9-9C42-8004-92D508C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Nazzani</dc:creator>
  <cp:keywords/>
  <dc:description/>
  <cp:lastModifiedBy>Sebastiano Nazzani</cp:lastModifiedBy>
  <cp:revision>10</cp:revision>
  <dcterms:created xsi:type="dcterms:W3CDTF">2018-04-12T19:00:00Z</dcterms:created>
  <dcterms:modified xsi:type="dcterms:W3CDTF">2018-04-20T16:00:00Z</dcterms:modified>
</cp:coreProperties>
</file>