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3D6F" w14:textId="3B637DE3" w:rsidR="002E619D" w:rsidRDefault="002E619D" w:rsidP="002E619D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Hlk34255078"/>
      <w:r>
        <w:rPr>
          <w:rFonts w:ascii="Arial" w:hAnsi="Arial" w:cs="Arial"/>
          <w:b/>
          <w:sz w:val="24"/>
          <w:szCs w:val="24"/>
        </w:rPr>
        <w:t>Multiple sclerosis phenotypes as a continuum: the role of neurological reserve</w:t>
      </w:r>
    </w:p>
    <w:bookmarkEnd w:id="0"/>
    <w:p w14:paraId="1A39D246" w14:textId="77777777" w:rsidR="002E619D" w:rsidRDefault="002E619D" w:rsidP="002E619D">
      <w:pPr>
        <w:spacing w:line="360" w:lineRule="auto"/>
        <w:rPr>
          <w:rFonts w:ascii="Arial" w:hAnsi="Arial" w:cs="Arial"/>
          <w:b/>
        </w:rPr>
      </w:pPr>
    </w:p>
    <w:p w14:paraId="59F51EE6" w14:textId="3DE41C92" w:rsidR="002E619D" w:rsidRPr="002E619D" w:rsidRDefault="002E619D" w:rsidP="002E619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Timothy Vollmer, MD,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Kavita V. Nair, PhD, Ian M. Williams, PhD, Enrique Alvarez, MD</w:t>
      </w:r>
    </w:p>
    <w:p w14:paraId="2BAF4961" w14:textId="77777777" w:rsidR="002E619D" w:rsidRDefault="002E619D" w:rsidP="002E619D">
      <w:pPr>
        <w:spacing w:line="360" w:lineRule="auto"/>
        <w:rPr>
          <w:rFonts w:ascii="Arial" w:hAnsi="Arial" w:cs="Arial"/>
        </w:rPr>
      </w:pPr>
    </w:p>
    <w:p w14:paraId="2DAAE1EF" w14:textId="1A6F9AF1" w:rsidR="002E619D" w:rsidRPr="002E619D" w:rsidRDefault="002E619D" w:rsidP="002E619D">
      <w:pPr>
        <w:spacing w:line="360" w:lineRule="auto"/>
        <w:rPr>
          <w:rFonts w:ascii="Arial" w:hAnsi="Arial" w:cs="Arial"/>
          <w:b/>
        </w:rPr>
      </w:pPr>
      <w:bookmarkStart w:id="1" w:name="_Hlk31727912"/>
      <w:r>
        <w:rPr>
          <w:rFonts w:ascii="Arial" w:hAnsi="Arial" w:cs="Arial"/>
        </w:rPr>
        <w:t xml:space="preserve">Department of Neurology (TV, KVN, EA), University of Colorado, and Rocky Mountain Multiple Sclerosis Center at the University of Colorado, Aurora, CO, USA; Department of Clinical Pharmacy (KVN), Skaggs School of Pharmacy and Pharmaceutical Sciences, University of Colorado Anschutz Medical Campus, Aurora, CO, USA; Oxford </w:t>
      </w:r>
      <w:proofErr w:type="spellStart"/>
      <w:r>
        <w:rPr>
          <w:rFonts w:ascii="Arial" w:hAnsi="Arial" w:cs="Arial"/>
        </w:rPr>
        <w:t>PharmaGenesis</w:t>
      </w:r>
      <w:proofErr w:type="spellEnd"/>
      <w:r>
        <w:rPr>
          <w:rFonts w:ascii="Arial" w:hAnsi="Arial" w:cs="Arial"/>
        </w:rPr>
        <w:t xml:space="preserve"> (IMW), Oxford, UK.</w:t>
      </w:r>
    </w:p>
    <w:bookmarkEnd w:id="1"/>
    <w:p w14:paraId="0FAA6951" w14:textId="77777777" w:rsidR="002E619D" w:rsidRDefault="002E619D" w:rsidP="002E619D">
      <w:pPr>
        <w:spacing w:line="360" w:lineRule="auto"/>
        <w:rPr>
          <w:rFonts w:ascii="Arial" w:hAnsi="Arial" w:cs="Arial"/>
        </w:rPr>
      </w:pPr>
    </w:p>
    <w:p w14:paraId="1796F396" w14:textId="3A20898D" w:rsidR="002E619D" w:rsidRDefault="002E619D" w:rsidP="002E619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p w14:paraId="32C8BBD6" w14:textId="77777777" w:rsidR="002E619D" w:rsidRDefault="002E619D" w:rsidP="002E61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 Timothy Vollmer</w:t>
      </w:r>
    </w:p>
    <w:p w14:paraId="29876A8D" w14:textId="229DFCFA" w:rsidR="002E619D" w:rsidRDefault="002E619D" w:rsidP="002E61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Department of Neurology, University of Colorado School of Medicine, Academic Office 1, Mail Stop B-185, 12631 East 17th Avenue, Aurora, CO 80045, USA</w:t>
      </w:r>
    </w:p>
    <w:p w14:paraId="43AE169B" w14:textId="5B0C2C91" w:rsidR="002E619D" w:rsidRDefault="002E619D" w:rsidP="002E61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 Timothy.Vollmer@ucdenver.edu</w:t>
      </w:r>
    </w:p>
    <w:p w14:paraId="08A60A0F" w14:textId="77777777" w:rsidR="002E619D" w:rsidRDefault="002E619D" w:rsidP="002E619D">
      <w:pPr>
        <w:spacing w:after="0" w:line="360" w:lineRule="auto"/>
        <w:rPr>
          <w:rFonts w:ascii="Arial" w:hAnsi="Arial" w:cs="Arial"/>
          <w:b/>
        </w:rPr>
      </w:pPr>
    </w:p>
    <w:p w14:paraId="64DC9B71" w14:textId="0D49A923" w:rsidR="002E619D" w:rsidRDefault="002E619D" w:rsidP="002E619D">
      <w:pPr>
        <w:spacing w:after="0" w:line="360" w:lineRule="auto"/>
        <w:rPr>
          <w:rFonts w:ascii="Arial" w:hAnsi="Arial" w:cs="Arial"/>
          <w:i/>
        </w:rPr>
      </w:pPr>
      <w:r w:rsidRPr="002E619D">
        <w:rPr>
          <w:rFonts w:ascii="Arial" w:hAnsi="Arial" w:cs="Arial"/>
          <w:bCs/>
        </w:rPr>
        <w:t>Published 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Neurology: Clinical Practice</w:t>
      </w:r>
    </w:p>
    <w:p w14:paraId="5DEA5F0E" w14:textId="034D96E6" w:rsidR="002E619D" w:rsidRDefault="002E619D" w:rsidP="002E619D">
      <w:pPr>
        <w:spacing w:after="0" w:line="360" w:lineRule="auto"/>
        <w:rPr>
          <w:rFonts w:ascii="Arial" w:hAnsi="Arial" w:cs="Arial"/>
          <w:i/>
        </w:rPr>
      </w:pPr>
    </w:p>
    <w:p w14:paraId="52A29DDE" w14:textId="438F1CDA" w:rsidR="002E619D" w:rsidRDefault="002E619D" w:rsidP="002E619D">
      <w:pPr>
        <w:spacing w:after="0" w:line="360" w:lineRule="auto"/>
        <w:rPr>
          <w:rFonts w:ascii="Arial" w:hAnsi="Arial" w:cs="Arial"/>
          <w:i/>
        </w:rPr>
      </w:pPr>
    </w:p>
    <w:p w14:paraId="6452A173" w14:textId="126D7192" w:rsidR="002E619D" w:rsidRDefault="002E619D" w:rsidP="002E619D">
      <w:pPr>
        <w:spacing w:after="0" w:line="360" w:lineRule="auto"/>
        <w:rPr>
          <w:rFonts w:ascii="Arial" w:hAnsi="Arial" w:cs="Arial"/>
          <w:b/>
          <w:bCs/>
          <w:iCs/>
        </w:rPr>
      </w:pPr>
      <w:r w:rsidRPr="002E619D">
        <w:rPr>
          <w:rFonts w:ascii="Arial" w:hAnsi="Arial" w:cs="Arial"/>
          <w:b/>
          <w:bCs/>
          <w:iCs/>
        </w:rPr>
        <w:t>Supplementa</w:t>
      </w:r>
      <w:r>
        <w:rPr>
          <w:rFonts w:ascii="Arial" w:hAnsi="Arial" w:cs="Arial"/>
          <w:b/>
          <w:bCs/>
          <w:iCs/>
        </w:rPr>
        <w:t>l</w:t>
      </w:r>
      <w:r w:rsidRPr="002E619D">
        <w:rPr>
          <w:rFonts w:ascii="Arial" w:hAnsi="Arial" w:cs="Arial"/>
          <w:b/>
          <w:bCs/>
          <w:iCs/>
        </w:rPr>
        <w:t xml:space="preserve"> data</w:t>
      </w:r>
    </w:p>
    <w:p w14:paraId="323BD713" w14:textId="77777777" w:rsidR="002E619D" w:rsidRDefault="002E619D" w:rsidP="002E619D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211854DD" w14:textId="4A3C7800" w:rsidR="002E619D" w:rsidRPr="002E619D" w:rsidRDefault="002E619D" w:rsidP="002E619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iCs/>
        </w:rPr>
      </w:pPr>
      <w:r w:rsidRPr="002E619D">
        <w:rPr>
          <w:rFonts w:ascii="Arial" w:hAnsi="Arial" w:cs="Arial"/>
          <w:iCs/>
        </w:rPr>
        <w:t>Supplementary table</w:t>
      </w:r>
    </w:p>
    <w:p w14:paraId="0CD46C39" w14:textId="529087DB" w:rsidR="002E619D" w:rsidRPr="002E619D" w:rsidRDefault="002E619D" w:rsidP="002E619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iCs/>
        </w:rPr>
      </w:pPr>
      <w:r w:rsidRPr="002E619D">
        <w:rPr>
          <w:rFonts w:ascii="Arial" w:hAnsi="Arial" w:cs="Arial"/>
          <w:iCs/>
        </w:rPr>
        <w:t>Supplementary references</w:t>
      </w:r>
    </w:p>
    <w:p w14:paraId="6EBDBCCD" w14:textId="77777777" w:rsidR="002E619D" w:rsidRDefault="002E619D" w:rsidP="008E237B">
      <w:pPr>
        <w:spacing w:line="360" w:lineRule="auto"/>
        <w:rPr>
          <w:rFonts w:ascii="Arial" w:hAnsi="Arial" w:cs="Arial"/>
          <w:b/>
        </w:rPr>
      </w:pPr>
    </w:p>
    <w:p w14:paraId="3E93BB42" w14:textId="40A76761" w:rsidR="002E619D" w:rsidRDefault="002E61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8E02A1" w14:textId="0000ED14" w:rsidR="008E237B" w:rsidRDefault="008E237B" w:rsidP="008E237B">
      <w:pPr>
        <w:spacing w:line="360" w:lineRule="auto"/>
        <w:rPr>
          <w:rFonts w:ascii="Arial" w:hAnsi="Arial" w:cs="Arial"/>
          <w:bCs/>
        </w:rPr>
      </w:pPr>
      <w:r w:rsidRPr="0077701E">
        <w:rPr>
          <w:rFonts w:ascii="Arial" w:hAnsi="Arial" w:cs="Arial"/>
          <w:b/>
        </w:rPr>
        <w:lastRenderedPageBreak/>
        <w:t>Supplementary Table.</w:t>
      </w:r>
      <w:r>
        <w:rPr>
          <w:rFonts w:ascii="Arial" w:hAnsi="Arial" w:cs="Arial"/>
          <w:bCs/>
        </w:rPr>
        <w:t xml:space="preserve"> Assessment measures for cognitive reserve and reserve-related patient characteristics</w:t>
      </w:r>
    </w:p>
    <w:tbl>
      <w:tblPr>
        <w:tblStyle w:val="TableGrid2"/>
        <w:tblW w:w="0" w:type="auto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8E237B" w:rsidRPr="00DD563E" w14:paraId="59C09D6F" w14:textId="77777777" w:rsidTr="00B41B74">
        <w:tc>
          <w:tcPr>
            <w:tcW w:w="4505" w:type="dxa"/>
            <w:shd w:val="clear" w:color="auto" w:fill="auto"/>
          </w:tcPr>
          <w:p w14:paraId="6507CDF3" w14:textId="77777777" w:rsidR="008E237B" w:rsidRPr="00DD563E" w:rsidRDefault="008E237B" w:rsidP="00B41B74">
            <w:pPr>
              <w:rPr>
                <w:b/>
                <w:bCs/>
                <w:lang w:val="en-GB"/>
              </w:rPr>
            </w:pPr>
            <w:r w:rsidRPr="00DD563E">
              <w:rPr>
                <w:b/>
                <w:bCs/>
                <w:lang w:val="en-GB"/>
              </w:rPr>
              <w:t>Concept</w:t>
            </w:r>
          </w:p>
        </w:tc>
        <w:tc>
          <w:tcPr>
            <w:tcW w:w="4505" w:type="dxa"/>
            <w:shd w:val="clear" w:color="auto" w:fill="auto"/>
          </w:tcPr>
          <w:p w14:paraId="7774DFF4" w14:textId="77777777" w:rsidR="008E237B" w:rsidRPr="00DD563E" w:rsidRDefault="008E237B" w:rsidP="00B41B74">
            <w:pPr>
              <w:rPr>
                <w:b/>
                <w:bCs/>
                <w:lang w:val="en-GB"/>
              </w:rPr>
            </w:pPr>
            <w:r w:rsidRPr="00DD563E">
              <w:rPr>
                <w:b/>
                <w:bCs/>
                <w:lang w:val="en-GB"/>
              </w:rPr>
              <w:t>Potential measures</w:t>
            </w:r>
          </w:p>
        </w:tc>
      </w:tr>
      <w:tr w:rsidR="008E237B" w:rsidRPr="00DD563E" w14:paraId="19E762AB" w14:textId="77777777" w:rsidTr="00B41B74"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4D6486A9" w14:textId="77777777" w:rsidR="008E237B" w:rsidRPr="0077701E" w:rsidRDefault="008E237B" w:rsidP="00B41B74">
            <w:pPr>
              <w:rPr>
                <w:b/>
                <w:bCs/>
                <w:lang w:val="en-GB"/>
              </w:rPr>
            </w:pPr>
            <w:r w:rsidRPr="0077701E">
              <w:rPr>
                <w:b/>
                <w:bCs/>
                <w:lang w:val="en-GB"/>
              </w:rPr>
              <w:t xml:space="preserve">Reserve-building activities 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248EEB58" w14:textId="77777777" w:rsidR="008E237B" w:rsidRPr="00DD563E" w:rsidRDefault="008E237B" w:rsidP="00B41B74">
            <w:pPr>
              <w:rPr>
                <w:i/>
                <w:iCs/>
                <w:lang w:val="en-GB"/>
              </w:rPr>
            </w:pPr>
          </w:p>
        </w:tc>
      </w:tr>
      <w:tr w:rsidR="008E237B" w:rsidRPr="00DD563E" w14:paraId="397969ED" w14:textId="77777777" w:rsidTr="00B41B74">
        <w:tc>
          <w:tcPr>
            <w:tcW w:w="4505" w:type="dxa"/>
            <w:tcBorders>
              <w:bottom w:val="nil"/>
            </w:tcBorders>
          </w:tcPr>
          <w:p w14:paraId="5CC0E979" w14:textId="77777777" w:rsidR="008E237B" w:rsidRPr="00DD563E" w:rsidRDefault="008E237B" w:rsidP="008E237B">
            <w:pPr>
              <w:numPr>
                <w:ilvl w:val="0"/>
                <w:numId w:val="1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Past and current achievemen</w:t>
            </w:r>
            <w:r>
              <w:rPr>
                <w:lang w:val="en-GB"/>
              </w:rPr>
              <w:t>t</w:t>
            </w:r>
            <w:r w:rsidRPr="00DD563E">
              <w:rPr>
                <w:lang w:val="en-GB"/>
              </w:rPr>
              <w:t xml:space="preserve"> </w:t>
            </w:r>
          </w:p>
          <w:p w14:paraId="6FC9BF5D" w14:textId="77777777" w:rsidR="008E237B" w:rsidRPr="00DD563E" w:rsidRDefault="008E237B" w:rsidP="008E237B">
            <w:pPr>
              <w:numPr>
                <w:ilvl w:val="0"/>
                <w:numId w:val="3"/>
              </w:numPr>
              <w:contextualSpacing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DD563E">
              <w:rPr>
                <w:lang w:val="en-GB"/>
              </w:rPr>
              <w:t xml:space="preserve">ducational </w:t>
            </w:r>
          </w:p>
          <w:p w14:paraId="29BF4F05" w14:textId="77777777" w:rsidR="008E237B" w:rsidRPr="00DD563E" w:rsidRDefault="008E237B" w:rsidP="008E237B">
            <w:pPr>
              <w:numPr>
                <w:ilvl w:val="0"/>
                <w:numId w:val="3"/>
              </w:numPr>
              <w:contextualSpacing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Pr="00DD563E">
              <w:rPr>
                <w:lang w:val="en-GB"/>
              </w:rPr>
              <w:t>ccupational</w:t>
            </w:r>
          </w:p>
        </w:tc>
        <w:tc>
          <w:tcPr>
            <w:tcW w:w="4505" w:type="dxa"/>
            <w:tcBorders>
              <w:bottom w:val="nil"/>
            </w:tcBorders>
          </w:tcPr>
          <w:p w14:paraId="2B472C96" w14:textId="77777777" w:rsidR="008E237B" w:rsidRPr="00DD563E" w:rsidRDefault="008E237B" w:rsidP="008E237B">
            <w:pPr>
              <w:numPr>
                <w:ilvl w:val="0"/>
                <w:numId w:val="1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Assessments</w:t>
            </w:r>
          </w:p>
          <w:p w14:paraId="6486520D" w14:textId="77777777" w:rsidR="008E237B" w:rsidRPr="00DD563E" w:rsidRDefault="008E237B" w:rsidP="008E237B">
            <w:pPr>
              <w:numPr>
                <w:ilvl w:val="0"/>
                <w:numId w:val="5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Sole-</w:t>
            </w:r>
            <w:proofErr w:type="spellStart"/>
            <w:r w:rsidRPr="00DD563E">
              <w:rPr>
                <w:lang w:val="en-GB"/>
              </w:rPr>
              <w:t>Padulles</w:t>
            </w:r>
            <w:proofErr w:type="spellEnd"/>
            <w:r w:rsidRPr="00DD563E">
              <w:rPr>
                <w:lang w:val="en-GB"/>
              </w:rPr>
              <w:t xml:space="preserve"> Childhood Enrichment measure</w:t>
            </w:r>
          </w:p>
          <w:p w14:paraId="1006BB94" w14:textId="77777777" w:rsidR="008E237B" w:rsidRPr="00DD563E" w:rsidRDefault="008E237B" w:rsidP="008E237B">
            <w:pPr>
              <w:numPr>
                <w:ilvl w:val="0"/>
                <w:numId w:val="5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Wechsler Abbreviated Scale of Intelligence – vocabulary subtest</w:t>
            </w:r>
          </w:p>
          <w:p w14:paraId="6D56E418" w14:textId="77777777" w:rsidR="008E237B" w:rsidRPr="00DD563E" w:rsidRDefault="008E237B" w:rsidP="008E237B">
            <w:pPr>
              <w:numPr>
                <w:ilvl w:val="0"/>
                <w:numId w:val="5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Occupational attainment</w:t>
            </w:r>
          </w:p>
        </w:tc>
      </w:tr>
      <w:tr w:rsidR="008E237B" w:rsidRPr="00DD563E" w14:paraId="32F9AAF3" w14:textId="77777777" w:rsidTr="00B41B74">
        <w:tc>
          <w:tcPr>
            <w:tcW w:w="4505" w:type="dxa"/>
            <w:tcBorders>
              <w:top w:val="nil"/>
            </w:tcBorders>
          </w:tcPr>
          <w:p w14:paraId="01E170A9" w14:textId="77777777" w:rsidR="008E237B" w:rsidRPr="00DD563E" w:rsidRDefault="008E237B" w:rsidP="008E237B">
            <w:pPr>
              <w:numPr>
                <w:ilvl w:val="0"/>
                <w:numId w:val="1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Enrichment activities across a range of domains, including: </w:t>
            </w:r>
          </w:p>
          <w:p w14:paraId="40ABA26A" w14:textId="77777777" w:rsidR="008E237B" w:rsidRPr="00DD563E" w:rsidRDefault="008E237B" w:rsidP="008E237B">
            <w:pPr>
              <w:numPr>
                <w:ilvl w:val="0"/>
                <w:numId w:val="6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cultural/intellectual </w:t>
            </w:r>
          </w:p>
          <w:p w14:paraId="13829DFF" w14:textId="77777777" w:rsidR="008E237B" w:rsidRPr="00DD563E" w:rsidRDefault="008E237B" w:rsidP="008E237B">
            <w:pPr>
              <w:numPr>
                <w:ilvl w:val="0"/>
                <w:numId w:val="6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physical </w:t>
            </w:r>
          </w:p>
          <w:p w14:paraId="14F3EFD2" w14:textId="77777777" w:rsidR="008E237B" w:rsidRPr="00DD563E" w:rsidRDefault="008E237B" w:rsidP="008E237B">
            <w:pPr>
              <w:numPr>
                <w:ilvl w:val="0"/>
                <w:numId w:val="6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communal </w:t>
            </w:r>
          </w:p>
          <w:p w14:paraId="6D43F6E5" w14:textId="77777777" w:rsidR="008E237B" w:rsidRPr="00DD563E" w:rsidRDefault="008E237B" w:rsidP="008E237B">
            <w:pPr>
              <w:numPr>
                <w:ilvl w:val="0"/>
                <w:numId w:val="6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spiritual/religious</w:t>
            </w:r>
          </w:p>
        </w:tc>
        <w:tc>
          <w:tcPr>
            <w:tcW w:w="4505" w:type="dxa"/>
            <w:tcBorders>
              <w:top w:val="nil"/>
            </w:tcBorders>
          </w:tcPr>
          <w:p w14:paraId="6363A474" w14:textId="77777777" w:rsidR="008E237B" w:rsidRPr="00DD563E" w:rsidRDefault="008E237B" w:rsidP="008E237B">
            <w:pPr>
              <w:numPr>
                <w:ilvl w:val="0"/>
                <w:numId w:val="1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Patient-reported outcome measure</w:t>
            </w:r>
            <w:r>
              <w:rPr>
                <w:lang w:val="en-GB"/>
              </w:rPr>
              <w:t>s</w:t>
            </w:r>
            <w:r w:rsidRPr="00DD563E">
              <w:rPr>
                <w:lang w:val="en-GB"/>
              </w:rPr>
              <w:t xml:space="preserve">: </w:t>
            </w:r>
          </w:p>
          <w:p w14:paraId="00A8DA53" w14:textId="77777777" w:rsidR="008E237B" w:rsidRPr="00DD563E" w:rsidRDefault="008E237B" w:rsidP="008E237B">
            <w:pPr>
              <w:numPr>
                <w:ilvl w:val="0"/>
                <w:numId w:val="4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Stern Leisure Activities measure</w:t>
            </w:r>
          </w:p>
          <w:p w14:paraId="68CC5002" w14:textId="77777777" w:rsidR="008E237B" w:rsidRPr="00DD563E" w:rsidRDefault="008E237B" w:rsidP="008E237B">
            <w:pPr>
              <w:numPr>
                <w:ilvl w:val="0"/>
                <w:numId w:val="4"/>
              </w:numPr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Godin Leisure</w:t>
            </w:r>
            <w:r>
              <w:rPr>
                <w:lang w:val="en-GB"/>
              </w:rPr>
              <w:t>-</w:t>
            </w:r>
            <w:r w:rsidRPr="00DD563E">
              <w:rPr>
                <w:lang w:val="en-GB"/>
              </w:rPr>
              <w:t xml:space="preserve">Time Exercise Questionnaire </w:t>
            </w:r>
          </w:p>
          <w:p w14:paraId="01263CDD" w14:textId="77777777" w:rsidR="008E237B" w:rsidRPr="00DD563E" w:rsidRDefault="008E237B" w:rsidP="008E237B">
            <w:pPr>
              <w:numPr>
                <w:ilvl w:val="0"/>
                <w:numId w:val="4"/>
              </w:numPr>
              <w:contextualSpacing/>
              <w:rPr>
                <w:lang w:val="en-GB"/>
              </w:rPr>
            </w:pPr>
            <w:proofErr w:type="spellStart"/>
            <w:r w:rsidRPr="00DD563E">
              <w:rPr>
                <w:lang w:val="en-GB"/>
              </w:rPr>
              <w:t>DeltaQuest</w:t>
            </w:r>
            <w:proofErr w:type="spellEnd"/>
            <w:r w:rsidRPr="00DD563E">
              <w:rPr>
                <w:lang w:val="en-GB"/>
              </w:rPr>
              <w:t xml:space="preserve"> Reserve-Building Activities measure</w:t>
            </w:r>
          </w:p>
        </w:tc>
      </w:tr>
      <w:tr w:rsidR="008E237B" w:rsidRPr="00DD563E" w14:paraId="4A37083E" w14:textId="77777777" w:rsidTr="00B41B74">
        <w:tc>
          <w:tcPr>
            <w:tcW w:w="4505" w:type="dxa"/>
            <w:shd w:val="clear" w:color="auto" w:fill="auto"/>
          </w:tcPr>
          <w:p w14:paraId="2F1FFCC1" w14:textId="77777777" w:rsidR="008E237B" w:rsidRPr="0077701E" w:rsidRDefault="008E237B" w:rsidP="00B41B74">
            <w:pPr>
              <w:rPr>
                <w:b/>
                <w:bCs/>
                <w:lang w:val="en-GB"/>
              </w:rPr>
            </w:pPr>
            <w:r w:rsidRPr="0077701E">
              <w:rPr>
                <w:b/>
                <w:bCs/>
                <w:lang w:val="en-GB"/>
              </w:rPr>
              <w:t xml:space="preserve">Reserve-related person characteristics </w:t>
            </w:r>
          </w:p>
        </w:tc>
        <w:tc>
          <w:tcPr>
            <w:tcW w:w="4505" w:type="dxa"/>
            <w:shd w:val="clear" w:color="auto" w:fill="auto"/>
          </w:tcPr>
          <w:p w14:paraId="79303A3C" w14:textId="77777777" w:rsidR="008E237B" w:rsidRPr="00DD563E" w:rsidRDefault="008E237B" w:rsidP="00B41B74">
            <w:pPr>
              <w:rPr>
                <w:i/>
                <w:iCs/>
                <w:lang w:val="en-GB"/>
              </w:rPr>
            </w:pPr>
          </w:p>
        </w:tc>
      </w:tr>
      <w:tr w:rsidR="008E237B" w:rsidRPr="00DD563E" w14:paraId="7257741B" w14:textId="77777777" w:rsidTr="00B41B74">
        <w:tc>
          <w:tcPr>
            <w:tcW w:w="4505" w:type="dxa"/>
          </w:tcPr>
          <w:p w14:paraId="3C441F18" w14:textId="77777777" w:rsidR="008E237B" w:rsidRPr="00DD563E" w:rsidRDefault="008E237B" w:rsidP="008E237B">
            <w:pPr>
              <w:numPr>
                <w:ilvl w:val="0"/>
                <w:numId w:val="2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Attitudes, </w:t>
            </w:r>
            <w:proofErr w:type="gramStart"/>
            <w:r w:rsidRPr="00DD563E">
              <w:rPr>
                <w:lang w:val="en-GB"/>
              </w:rPr>
              <w:t>values</w:t>
            </w:r>
            <w:proofErr w:type="gramEnd"/>
            <w:r w:rsidRPr="00DD563E">
              <w:rPr>
                <w:lang w:val="en-GB"/>
              </w:rPr>
              <w:t xml:space="preserve"> and socio-emotional skills </w:t>
            </w:r>
          </w:p>
        </w:tc>
        <w:tc>
          <w:tcPr>
            <w:tcW w:w="4505" w:type="dxa"/>
          </w:tcPr>
          <w:p w14:paraId="1C69BD21" w14:textId="77777777" w:rsidR="008E237B" w:rsidRPr="00DD563E" w:rsidRDefault="008E237B" w:rsidP="008E237B">
            <w:pPr>
              <w:numPr>
                <w:ilvl w:val="0"/>
                <w:numId w:val="2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 xml:space="preserve">Person-reported measures of perseverance, work value and socio-emotional intelligence resources </w:t>
            </w:r>
          </w:p>
          <w:p w14:paraId="1F895390" w14:textId="77777777" w:rsidR="008E237B" w:rsidRPr="00DD563E" w:rsidRDefault="008E237B" w:rsidP="008E237B">
            <w:pPr>
              <w:numPr>
                <w:ilvl w:val="0"/>
                <w:numId w:val="2"/>
              </w:numPr>
              <w:ind w:left="227" w:hanging="227"/>
              <w:contextualSpacing/>
              <w:rPr>
                <w:lang w:val="en-GB"/>
              </w:rPr>
            </w:pPr>
            <w:r w:rsidRPr="00DD563E">
              <w:rPr>
                <w:lang w:val="en-GB"/>
              </w:rPr>
              <w:t>Measures of appraisal processes and personality</w:t>
            </w:r>
          </w:p>
        </w:tc>
      </w:tr>
    </w:tbl>
    <w:p w14:paraId="200E23E0" w14:textId="77777777" w:rsidR="008E237B" w:rsidRDefault="008E237B" w:rsidP="008E237B">
      <w:pPr>
        <w:spacing w:line="360" w:lineRule="auto"/>
        <w:rPr>
          <w:rFonts w:ascii="Arial" w:hAnsi="Arial" w:cs="Arial"/>
          <w:bCs/>
        </w:rPr>
      </w:pPr>
    </w:p>
    <w:p w14:paraId="131B53D1" w14:textId="77777777" w:rsidR="008E237B" w:rsidRDefault="008E237B" w:rsidP="00BF1383">
      <w:pPr>
        <w:spacing w:line="360" w:lineRule="auto"/>
        <w:rPr>
          <w:rFonts w:ascii="Arial" w:hAnsi="Arial" w:cs="Arial"/>
          <w:b/>
        </w:rPr>
      </w:pPr>
    </w:p>
    <w:p w14:paraId="1C54A785" w14:textId="598309C9" w:rsidR="00BF1383" w:rsidRDefault="00BF1383" w:rsidP="00BF1383">
      <w:pPr>
        <w:spacing w:line="360" w:lineRule="auto"/>
        <w:rPr>
          <w:rFonts w:ascii="Arial" w:hAnsi="Arial" w:cs="Arial"/>
          <w:b/>
        </w:rPr>
      </w:pPr>
      <w:r w:rsidRPr="00BC14D4">
        <w:rPr>
          <w:rFonts w:ascii="Arial" w:hAnsi="Arial" w:cs="Arial"/>
          <w:b/>
        </w:rPr>
        <w:t>Supplementary references</w:t>
      </w:r>
    </w:p>
    <w:p w14:paraId="76AB4E96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e1.</w:t>
      </w:r>
      <w:r>
        <w:tab/>
      </w:r>
      <w:r w:rsidRPr="00F60689">
        <w:rPr>
          <w:rFonts w:ascii="Arial" w:hAnsi="Arial" w:cs="Arial"/>
          <w:bCs/>
        </w:rPr>
        <w:t xml:space="preserve">Nakahara J, Maeda M, </w:t>
      </w:r>
      <w:proofErr w:type="spellStart"/>
      <w:r w:rsidRPr="00F60689">
        <w:rPr>
          <w:rFonts w:ascii="Arial" w:hAnsi="Arial" w:cs="Arial"/>
          <w:bCs/>
        </w:rPr>
        <w:t>Aiso</w:t>
      </w:r>
      <w:proofErr w:type="spellEnd"/>
      <w:r w:rsidRPr="00F60689">
        <w:rPr>
          <w:rFonts w:ascii="Arial" w:hAnsi="Arial" w:cs="Arial"/>
          <w:bCs/>
        </w:rPr>
        <w:t xml:space="preserve"> S, Suzuki N. Current concepts in multiple sclerosis: autoimmunity versus </w:t>
      </w:r>
      <w:proofErr w:type="spellStart"/>
      <w:r w:rsidRPr="00F60689">
        <w:rPr>
          <w:rFonts w:ascii="Arial" w:hAnsi="Arial" w:cs="Arial"/>
          <w:bCs/>
        </w:rPr>
        <w:t>oligodendrogliopathy</w:t>
      </w:r>
      <w:proofErr w:type="spellEnd"/>
      <w:r w:rsidRPr="00F60689">
        <w:rPr>
          <w:rFonts w:ascii="Arial" w:hAnsi="Arial" w:cs="Arial"/>
          <w:bCs/>
        </w:rPr>
        <w:t xml:space="preserve">. </w:t>
      </w:r>
      <w:r w:rsidRPr="002C227F">
        <w:rPr>
          <w:rFonts w:ascii="Arial" w:hAnsi="Arial" w:cs="Arial"/>
          <w:bCs/>
        </w:rPr>
        <w:t>Clin Rev Allergy Immunol</w:t>
      </w:r>
      <w:r>
        <w:rPr>
          <w:rFonts w:ascii="Arial" w:hAnsi="Arial" w:cs="Arial"/>
          <w:bCs/>
        </w:rPr>
        <w:t xml:space="preserve"> </w:t>
      </w:r>
      <w:proofErr w:type="gramStart"/>
      <w:r w:rsidRPr="00F60689">
        <w:rPr>
          <w:rFonts w:ascii="Arial" w:hAnsi="Arial" w:cs="Arial"/>
          <w:bCs/>
        </w:rPr>
        <w:t>2012;42:26</w:t>
      </w:r>
      <w:proofErr w:type="gramEnd"/>
      <w:r>
        <w:rPr>
          <w:rFonts w:ascii="Arial" w:hAnsi="Arial" w:cs="Arial"/>
          <w:bCs/>
        </w:rPr>
        <w:t>-</w:t>
      </w:r>
      <w:r w:rsidRPr="00F60689">
        <w:rPr>
          <w:rFonts w:ascii="Arial" w:hAnsi="Arial" w:cs="Arial"/>
          <w:bCs/>
        </w:rPr>
        <w:t>34</w:t>
      </w:r>
    </w:p>
    <w:p w14:paraId="24F2D651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e2.</w:t>
      </w:r>
      <w:r>
        <w:rPr>
          <w:rFonts w:ascii="Arial" w:hAnsi="Arial" w:cs="Arial"/>
          <w:bCs/>
        </w:rPr>
        <w:tab/>
      </w:r>
      <w:r w:rsidRPr="002C227F">
        <w:rPr>
          <w:rFonts w:ascii="Arial" w:hAnsi="Arial" w:cs="Arial"/>
          <w:bCs/>
        </w:rPr>
        <w:t xml:space="preserve">Wheeler MA, Clark IC, </w:t>
      </w:r>
      <w:proofErr w:type="spellStart"/>
      <w:r w:rsidRPr="002C227F">
        <w:rPr>
          <w:rFonts w:ascii="Arial" w:hAnsi="Arial" w:cs="Arial"/>
          <w:bCs/>
        </w:rPr>
        <w:t>Tjon</w:t>
      </w:r>
      <w:proofErr w:type="spellEnd"/>
      <w:r w:rsidRPr="002C227F">
        <w:rPr>
          <w:rFonts w:ascii="Arial" w:hAnsi="Arial" w:cs="Arial"/>
          <w:bCs/>
        </w:rPr>
        <w:t xml:space="preserve"> EC, et al. MAFG-driven astrocytes promote CNS inflammation. Nature </w:t>
      </w:r>
      <w:proofErr w:type="gramStart"/>
      <w:r w:rsidRPr="002C227F">
        <w:rPr>
          <w:rFonts w:ascii="Arial" w:hAnsi="Arial" w:cs="Arial"/>
          <w:bCs/>
        </w:rPr>
        <w:t>2020;578:593</w:t>
      </w:r>
      <w:proofErr w:type="gramEnd"/>
      <w:r>
        <w:rPr>
          <w:rFonts w:ascii="Arial" w:hAnsi="Arial" w:cs="Arial"/>
          <w:bCs/>
        </w:rPr>
        <w:t>-</w:t>
      </w:r>
      <w:r w:rsidRPr="002C227F">
        <w:rPr>
          <w:rFonts w:ascii="Arial" w:hAnsi="Arial" w:cs="Arial"/>
          <w:bCs/>
        </w:rPr>
        <w:t>599.</w:t>
      </w:r>
    </w:p>
    <w:p w14:paraId="1314A4CA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e3.</w:t>
      </w:r>
      <w:r>
        <w:rPr>
          <w:rFonts w:ascii="Arial" w:hAnsi="Arial" w:cs="Arial"/>
          <w:bCs/>
        </w:rPr>
        <w:tab/>
      </w:r>
      <w:r w:rsidRPr="002C227F">
        <w:rPr>
          <w:rFonts w:ascii="Arial" w:hAnsi="Arial" w:cs="Arial"/>
          <w:bCs/>
        </w:rPr>
        <w:t xml:space="preserve">Lublin FD, </w:t>
      </w:r>
      <w:proofErr w:type="spellStart"/>
      <w:r w:rsidRPr="002C227F">
        <w:rPr>
          <w:rFonts w:ascii="Arial" w:hAnsi="Arial" w:cs="Arial"/>
          <w:bCs/>
        </w:rPr>
        <w:t>Reingold</w:t>
      </w:r>
      <w:proofErr w:type="spellEnd"/>
      <w:r w:rsidRPr="002C227F">
        <w:rPr>
          <w:rFonts w:ascii="Arial" w:hAnsi="Arial" w:cs="Arial"/>
          <w:bCs/>
        </w:rPr>
        <w:t xml:space="preserve"> SC. Defining the clinical course of multiple sclerosis: results of an international survey. National Multiple Sclerosis Society (USA) Advisory Committee on Clinical Trials of New Agents in Multiple Sclerosis. Neurology </w:t>
      </w:r>
      <w:proofErr w:type="gramStart"/>
      <w:r w:rsidRPr="002C227F">
        <w:rPr>
          <w:rFonts w:ascii="Arial" w:hAnsi="Arial" w:cs="Arial"/>
          <w:bCs/>
        </w:rPr>
        <w:t>1996;46:907</w:t>
      </w:r>
      <w:proofErr w:type="gramEnd"/>
      <w:r>
        <w:rPr>
          <w:rFonts w:ascii="Arial" w:hAnsi="Arial" w:cs="Arial"/>
          <w:bCs/>
        </w:rPr>
        <w:t>-</w:t>
      </w:r>
      <w:r w:rsidRPr="002C227F">
        <w:rPr>
          <w:rFonts w:ascii="Arial" w:hAnsi="Arial" w:cs="Arial"/>
          <w:bCs/>
        </w:rPr>
        <w:t>911</w:t>
      </w:r>
      <w:r>
        <w:rPr>
          <w:rFonts w:ascii="Arial" w:hAnsi="Arial" w:cs="Arial"/>
          <w:bCs/>
        </w:rPr>
        <w:t>.</w:t>
      </w:r>
    </w:p>
    <w:p w14:paraId="1A02982D" w14:textId="77777777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e4.</w:t>
      </w:r>
      <w:r>
        <w:rPr>
          <w:rFonts w:ascii="Arial" w:hAnsi="Arial" w:cs="Arial"/>
          <w:bCs/>
        </w:rPr>
        <w:tab/>
      </w:r>
      <w:r w:rsidRPr="002C227F">
        <w:rPr>
          <w:rFonts w:ascii="Arial" w:hAnsi="Arial" w:cs="Arial"/>
          <w:bCs/>
        </w:rPr>
        <w:t>Lublin FD. New multiple sclerosis phenotypic classification. Eur</w:t>
      </w:r>
      <w:r>
        <w:rPr>
          <w:rFonts w:ascii="Arial" w:hAnsi="Arial" w:cs="Arial"/>
          <w:bCs/>
        </w:rPr>
        <w:t xml:space="preserve"> N</w:t>
      </w:r>
      <w:r w:rsidRPr="002C227F">
        <w:rPr>
          <w:rFonts w:ascii="Arial" w:hAnsi="Arial" w:cs="Arial"/>
          <w:bCs/>
        </w:rPr>
        <w:t>eurol 2014;72 Suppl 1:1</w:t>
      </w:r>
      <w:r>
        <w:rPr>
          <w:rFonts w:ascii="Arial" w:hAnsi="Arial" w:cs="Arial"/>
          <w:bCs/>
        </w:rPr>
        <w:t>-</w:t>
      </w:r>
      <w:r w:rsidRPr="002C227F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</w:p>
    <w:p w14:paraId="7094B210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e5.</w:t>
      </w:r>
      <w:r>
        <w:rPr>
          <w:rFonts w:ascii="Arial" w:hAnsi="Arial" w:cs="Arial"/>
          <w:bCs/>
        </w:rPr>
        <w:tab/>
      </w:r>
      <w:r w:rsidRPr="002C227F">
        <w:rPr>
          <w:rFonts w:ascii="Arial" w:hAnsi="Arial" w:cs="Arial"/>
          <w:bCs/>
        </w:rPr>
        <w:t xml:space="preserve">Rice GPA, </w:t>
      </w:r>
      <w:proofErr w:type="spellStart"/>
      <w:r w:rsidRPr="002C227F">
        <w:rPr>
          <w:rFonts w:ascii="Arial" w:hAnsi="Arial" w:cs="Arial"/>
          <w:bCs/>
        </w:rPr>
        <w:t>Kremenchutzky</w:t>
      </w:r>
      <w:proofErr w:type="spellEnd"/>
      <w:r w:rsidRPr="002C227F">
        <w:rPr>
          <w:rFonts w:ascii="Arial" w:hAnsi="Arial" w:cs="Arial"/>
          <w:bCs/>
        </w:rPr>
        <w:t xml:space="preserve"> M, Cottrell DA, Baskerville J, </w:t>
      </w:r>
      <w:proofErr w:type="spellStart"/>
      <w:r w:rsidRPr="002C227F">
        <w:rPr>
          <w:rFonts w:ascii="Arial" w:hAnsi="Arial" w:cs="Arial"/>
          <w:bCs/>
        </w:rPr>
        <w:t>Ebers</w:t>
      </w:r>
      <w:proofErr w:type="spellEnd"/>
      <w:r w:rsidRPr="002C227F">
        <w:rPr>
          <w:rFonts w:ascii="Arial" w:hAnsi="Arial" w:cs="Arial"/>
          <w:bCs/>
        </w:rPr>
        <w:t xml:space="preserve"> GC. Observations from the natural history cohort of London, Ontario. In: </w:t>
      </w:r>
      <w:proofErr w:type="spellStart"/>
      <w:r w:rsidRPr="002C227F">
        <w:rPr>
          <w:rFonts w:ascii="Arial" w:hAnsi="Arial" w:cs="Arial"/>
          <w:bCs/>
        </w:rPr>
        <w:t>Fililppi</w:t>
      </w:r>
      <w:proofErr w:type="spellEnd"/>
      <w:r w:rsidRPr="002C227F">
        <w:rPr>
          <w:rFonts w:ascii="Arial" w:hAnsi="Arial" w:cs="Arial"/>
          <w:bCs/>
        </w:rPr>
        <w:t xml:space="preserve"> M, </w:t>
      </w:r>
      <w:proofErr w:type="spellStart"/>
      <w:r w:rsidRPr="002C227F">
        <w:rPr>
          <w:rFonts w:ascii="Arial" w:hAnsi="Arial" w:cs="Arial"/>
          <w:bCs/>
        </w:rPr>
        <w:t>Comi</w:t>
      </w:r>
      <w:proofErr w:type="spellEnd"/>
      <w:r w:rsidRPr="002C227F">
        <w:rPr>
          <w:rFonts w:ascii="Arial" w:hAnsi="Arial" w:cs="Arial"/>
          <w:bCs/>
        </w:rPr>
        <w:t xml:space="preserve"> G, ed</w:t>
      </w:r>
      <w:r>
        <w:rPr>
          <w:rFonts w:ascii="Arial" w:hAnsi="Arial" w:cs="Arial"/>
          <w:bCs/>
        </w:rPr>
        <w:t>itor</w:t>
      </w:r>
      <w:r w:rsidRPr="002C227F">
        <w:rPr>
          <w:rFonts w:ascii="Arial" w:hAnsi="Arial" w:cs="Arial"/>
          <w:bCs/>
        </w:rPr>
        <w:t xml:space="preserve">s. Topics in </w:t>
      </w:r>
      <w:r>
        <w:rPr>
          <w:rFonts w:ascii="Arial" w:hAnsi="Arial" w:cs="Arial"/>
          <w:bCs/>
        </w:rPr>
        <w:lastRenderedPageBreak/>
        <w:t>N</w:t>
      </w:r>
      <w:r w:rsidRPr="002C227F">
        <w:rPr>
          <w:rFonts w:ascii="Arial" w:hAnsi="Arial" w:cs="Arial"/>
          <w:bCs/>
        </w:rPr>
        <w:t xml:space="preserve">euroscience: </w:t>
      </w:r>
      <w:r>
        <w:rPr>
          <w:rFonts w:ascii="Arial" w:hAnsi="Arial" w:cs="Arial"/>
          <w:bCs/>
        </w:rPr>
        <w:t>P</w:t>
      </w:r>
      <w:r w:rsidRPr="002C227F">
        <w:rPr>
          <w:rFonts w:ascii="Arial" w:hAnsi="Arial" w:cs="Arial"/>
          <w:bCs/>
        </w:rPr>
        <w:t xml:space="preserve">rimary </w:t>
      </w:r>
      <w:r>
        <w:rPr>
          <w:rFonts w:ascii="Arial" w:hAnsi="Arial" w:cs="Arial"/>
          <w:bCs/>
        </w:rPr>
        <w:t>P</w:t>
      </w:r>
      <w:r w:rsidRPr="002C227F">
        <w:rPr>
          <w:rFonts w:ascii="Arial" w:hAnsi="Arial" w:cs="Arial"/>
          <w:bCs/>
        </w:rPr>
        <w:t xml:space="preserve">rogressive </w:t>
      </w:r>
      <w:r>
        <w:rPr>
          <w:rFonts w:ascii="Arial" w:hAnsi="Arial" w:cs="Arial"/>
          <w:bCs/>
        </w:rPr>
        <w:t>M</w:t>
      </w:r>
      <w:r w:rsidRPr="002C227F">
        <w:rPr>
          <w:rFonts w:ascii="Arial" w:hAnsi="Arial" w:cs="Arial"/>
          <w:bCs/>
        </w:rPr>
        <w:t xml:space="preserve">ultiple </w:t>
      </w:r>
      <w:r>
        <w:rPr>
          <w:rFonts w:ascii="Arial" w:hAnsi="Arial" w:cs="Arial"/>
          <w:bCs/>
        </w:rPr>
        <w:t>S</w:t>
      </w:r>
      <w:r w:rsidRPr="002C227F">
        <w:rPr>
          <w:rFonts w:ascii="Arial" w:hAnsi="Arial" w:cs="Arial"/>
          <w:bCs/>
        </w:rPr>
        <w:t>clerosis. Milan, Italy: Springer Verlag Italia</w:t>
      </w:r>
      <w:r>
        <w:rPr>
          <w:rFonts w:ascii="Arial" w:hAnsi="Arial" w:cs="Arial"/>
          <w:bCs/>
        </w:rPr>
        <w:t>;</w:t>
      </w:r>
      <w:r w:rsidRPr="002C227F">
        <w:rPr>
          <w:rFonts w:ascii="Arial" w:hAnsi="Arial" w:cs="Arial"/>
          <w:bCs/>
        </w:rPr>
        <w:t xml:space="preserve"> 2002</w:t>
      </w:r>
      <w:r>
        <w:rPr>
          <w:rFonts w:ascii="Arial" w:hAnsi="Arial" w:cs="Arial"/>
          <w:bCs/>
        </w:rPr>
        <w:t>.</w:t>
      </w:r>
    </w:p>
    <w:p w14:paraId="1380071A" w14:textId="77777777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e6.</w:t>
      </w:r>
      <w:r>
        <w:rPr>
          <w:rFonts w:ascii="Arial" w:hAnsi="Arial" w:cs="Arial"/>
          <w:bCs/>
        </w:rPr>
        <w:tab/>
        <w:t>K</w:t>
      </w:r>
      <w:r w:rsidRPr="002C227F">
        <w:rPr>
          <w:rFonts w:ascii="Arial" w:hAnsi="Arial" w:cs="Arial"/>
          <w:bCs/>
        </w:rPr>
        <w:t xml:space="preserve">iselev I, </w:t>
      </w:r>
      <w:proofErr w:type="spellStart"/>
      <w:r w:rsidRPr="002C227F">
        <w:rPr>
          <w:rFonts w:ascii="Arial" w:hAnsi="Arial" w:cs="Arial"/>
          <w:bCs/>
        </w:rPr>
        <w:t>Bashinskaya</w:t>
      </w:r>
      <w:proofErr w:type="spellEnd"/>
      <w:r w:rsidRPr="002C227F">
        <w:rPr>
          <w:rFonts w:ascii="Arial" w:hAnsi="Arial" w:cs="Arial"/>
          <w:bCs/>
        </w:rPr>
        <w:t xml:space="preserve"> V, </w:t>
      </w:r>
      <w:proofErr w:type="spellStart"/>
      <w:r w:rsidRPr="002C227F">
        <w:rPr>
          <w:rFonts w:ascii="Arial" w:hAnsi="Arial" w:cs="Arial"/>
          <w:bCs/>
        </w:rPr>
        <w:t>Baulina</w:t>
      </w:r>
      <w:proofErr w:type="spellEnd"/>
      <w:r w:rsidRPr="002C227F">
        <w:rPr>
          <w:rFonts w:ascii="Arial" w:hAnsi="Arial" w:cs="Arial"/>
          <w:bCs/>
        </w:rPr>
        <w:t xml:space="preserve"> N, et al. Genetic differences between primary progressive and relapsing-remitting multiple sclerosis: The impact of immune-related genes variability. </w:t>
      </w:r>
      <w:proofErr w:type="spellStart"/>
      <w:r w:rsidRPr="002C227F">
        <w:rPr>
          <w:rFonts w:ascii="Arial" w:hAnsi="Arial" w:cs="Arial"/>
          <w:bCs/>
        </w:rPr>
        <w:t>Mult</w:t>
      </w:r>
      <w:proofErr w:type="spellEnd"/>
      <w:r w:rsidRPr="002C227F">
        <w:rPr>
          <w:rFonts w:ascii="Arial" w:hAnsi="Arial" w:cs="Arial"/>
          <w:bCs/>
        </w:rPr>
        <w:t xml:space="preserve"> </w:t>
      </w:r>
      <w:proofErr w:type="spellStart"/>
      <w:r w:rsidRPr="002C227F">
        <w:rPr>
          <w:rFonts w:ascii="Arial" w:hAnsi="Arial" w:cs="Arial"/>
          <w:bCs/>
        </w:rPr>
        <w:t>Scler</w:t>
      </w:r>
      <w:proofErr w:type="spellEnd"/>
      <w:r w:rsidRPr="002C227F">
        <w:rPr>
          <w:rFonts w:ascii="Arial" w:hAnsi="Arial" w:cs="Arial"/>
          <w:bCs/>
        </w:rPr>
        <w:t xml:space="preserve"> </w:t>
      </w:r>
      <w:proofErr w:type="spellStart"/>
      <w:r w:rsidRPr="002C227F">
        <w:rPr>
          <w:rFonts w:ascii="Arial" w:hAnsi="Arial" w:cs="Arial"/>
          <w:bCs/>
        </w:rPr>
        <w:t>Relat</w:t>
      </w:r>
      <w:proofErr w:type="spellEnd"/>
      <w:r w:rsidRPr="002C227F">
        <w:rPr>
          <w:rFonts w:ascii="Arial" w:hAnsi="Arial" w:cs="Arial"/>
          <w:bCs/>
        </w:rPr>
        <w:t xml:space="preserve"> </w:t>
      </w:r>
      <w:proofErr w:type="spellStart"/>
      <w:r w:rsidRPr="002C227F">
        <w:rPr>
          <w:rFonts w:ascii="Arial" w:hAnsi="Arial" w:cs="Arial"/>
          <w:bCs/>
        </w:rPr>
        <w:t>Disord</w:t>
      </w:r>
      <w:proofErr w:type="spellEnd"/>
      <w:r w:rsidRPr="002C227F">
        <w:rPr>
          <w:rFonts w:ascii="Arial" w:hAnsi="Arial" w:cs="Arial"/>
          <w:bCs/>
        </w:rPr>
        <w:t xml:space="preserve"> </w:t>
      </w:r>
      <w:proofErr w:type="gramStart"/>
      <w:r w:rsidRPr="002C227F">
        <w:rPr>
          <w:rFonts w:ascii="Arial" w:hAnsi="Arial" w:cs="Arial"/>
          <w:bCs/>
        </w:rPr>
        <w:t>2019;29:130</w:t>
      </w:r>
      <w:proofErr w:type="gramEnd"/>
      <w:r>
        <w:rPr>
          <w:rFonts w:ascii="Arial" w:hAnsi="Arial" w:cs="Arial"/>
          <w:bCs/>
        </w:rPr>
        <w:t>-</w:t>
      </w:r>
      <w:r w:rsidRPr="002C227F">
        <w:rPr>
          <w:rFonts w:ascii="Arial" w:hAnsi="Arial" w:cs="Arial"/>
          <w:bCs/>
        </w:rPr>
        <w:t>136</w:t>
      </w:r>
      <w:r>
        <w:rPr>
          <w:rFonts w:ascii="Arial" w:hAnsi="Arial" w:cs="Arial"/>
          <w:bCs/>
        </w:rPr>
        <w:t>.</w:t>
      </w:r>
    </w:p>
    <w:p w14:paraId="319D2A84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e7.</w:t>
      </w:r>
      <w:r>
        <w:rPr>
          <w:rFonts w:ascii="Arial" w:hAnsi="Arial" w:cs="Arial"/>
          <w:bCs/>
        </w:rPr>
        <w:tab/>
      </w:r>
      <w:r w:rsidRPr="00327215">
        <w:rPr>
          <w:rFonts w:ascii="Arial" w:hAnsi="Arial" w:cs="Arial"/>
          <w:bCs/>
        </w:rPr>
        <w:t xml:space="preserve">Lundstrom W, Greiner E, </w:t>
      </w:r>
      <w:proofErr w:type="spellStart"/>
      <w:r w:rsidRPr="00327215">
        <w:rPr>
          <w:rFonts w:ascii="Arial" w:hAnsi="Arial" w:cs="Arial"/>
          <w:bCs/>
        </w:rPr>
        <w:t>Lundmark</w:t>
      </w:r>
      <w:proofErr w:type="spellEnd"/>
      <w:r w:rsidRPr="00327215">
        <w:rPr>
          <w:rFonts w:ascii="Arial" w:hAnsi="Arial" w:cs="Arial"/>
          <w:bCs/>
        </w:rPr>
        <w:t xml:space="preserve"> F, et al. No influence on disease progression of non-HLA susceptibility genes in MS. J </w:t>
      </w:r>
      <w:proofErr w:type="spellStart"/>
      <w:r w:rsidRPr="00327215">
        <w:rPr>
          <w:rFonts w:ascii="Arial" w:hAnsi="Arial" w:cs="Arial"/>
          <w:bCs/>
        </w:rPr>
        <w:t>Neuroimmunol</w:t>
      </w:r>
      <w:proofErr w:type="spellEnd"/>
      <w:r w:rsidRPr="00327215">
        <w:rPr>
          <w:rFonts w:ascii="Arial" w:hAnsi="Arial" w:cs="Arial"/>
          <w:bCs/>
        </w:rPr>
        <w:t xml:space="preserve"> </w:t>
      </w:r>
      <w:proofErr w:type="gramStart"/>
      <w:r w:rsidRPr="00327215">
        <w:rPr>
          <w:rFonts w:ascii="Arial" w:hAnsi="Arial" w:cs="Arial"/>
          <w:bCs/>
        </w:rPr>
        <w:t>2011;237:98</w:t>
      </w:r>
      <w:proofErr w:type="gramEnd"/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100.</w:t>
      </w:r>
    </w:p>
    <w:p w14:paraId="7574DB06" w14:textId="77777777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e8.</w:t>
      </w:r>
      <w:r>
        <w:rPr>
          <w:rFonts w:ascii="Arial" w:hAnsi="Arial" w:cs="Arial"/>
          <w:bCs/>
        </w:rPr>
        <w:tab/>
      </w:r>
      <w:r w:rsidRPr="00327215">
        <w:rPr>
          <w:rFonts w:ascii="Arial" w:hAnsi="Arial" w:cs="Arial"/>
          <w:bCs/>
        </w:rPr>
        <w:t xml:space="preserve">Harding K, Ingram G, </w:t>
      </w:r>
      <w:proofErr w:type="spellStart"/>
      <w:r w:rsidRPr="00327215">
        <w:rPr>
          <w:rFonts w:ascii="Arial" w:hAnsi="Arial" w:cs="Arial"/>
          <w:bCs/>
        </w:rPr>
        <w:t>Cossburn</w:t>
      </w:r>
      <w:proofErr w:type="spellEnd"/>
      <w:r w:rsidRPr="00327215">
        <w:rPr>
          <w:rFonts w:ascii="Arial" w:hAnsi="Arial" w:cs="Arial"/>
          <w:bCs/>
        </w:rPr>
        <w:t xml:space="preserve"> M, et al. Genotype-phenotype correlation for non-HLA disease associated risk alleles in multiple sclerosis. </w:t>
      </w:r>
      <w:proofErr w:type="spellStart"/>
      <w:r w:rsidRPr="00327215">
        <w:rPr>
          <w:rFonts w:ascii="Arial" w:hAnsi="Arial" w:cs="Arial"/>
          <w:bCs/>
        </w:rPr>
        <w:t>Neurosci</w:t>
      </w:r>
      <w:proofErr w:type="spellEnd"/>
      <w:r w:rsidRPr="00327215">
        <w:rPr>
          <w:rFonts w:ascii="Arial" w:hAnsi="Arial" w:cs="Arial"/>
          <w:bCs/>
        </w:rPr>
        <w:t xml:space="preserve"> Lett </w:t>
      </w:r>
      <w:proofErr w:type="gramStart"/>
      <w:r w:rsidRPr="00327215">
        <w:rPr>
          <w:rFonts w:ascii="Arial" w:hAnsi="Arial" w:cs="Arial"/>
          <w:bCs/>
        </w:rPr>
        <w:t>2012;526:15</w:t>
      </w:r>
      <w:proofErr w:type="gramEnd"/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.</w:t>
      </w:r>
    </w:p>
    <w:p w14:paraId="1F03638D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e9.</w:t>
      </w:r>
      <w:r>
        <w:rPr>
          <w:rFonts w:ascii="Arial" w:hAnsi="Arial" w:cs="Arial"/>
          <w:bCs/>
        </w:rPr>
        <w:tab/>
      </w:r>
      <w:proofErr w:type="spellStart"/>
      <w:r w:rsidRPr="00327215">
        <w:rPr>
          <w:rFonts w:ascii="Arial" w:hAnsi="Arial" w:cs="Arial"/>
          <w:bCs/>
        </w:rPr>
        <w:t>Ebers</w:t>
      </w:r>
      <w:proofErr w:type="spellEnd"/>
      <w:r w:rsidRPr="00327215">
        <w:rPr>
          <w:rFonts w:ascii="Arial" w:hAnsi="Arial" w:cs="Arial"/>
          <w:bCs/>
        </w:rPr>
        <w:t xml:space="preserve"> GC. Natural history of primary progressive multiple sclerosis. </w:t>
      </w:r>
      <w:proofErr w:type="spellStart"/>
      <w:r w:rsidRPr="00327215">
        <w:rPr>
          <w:rFonts w:ascii="Arial" w:hAnsi="Arial" w:cs="Arial"/>
          <w:bCs/>
        </w:rPr>
        <w:t>Mult</w:t>
      </w:r>
      <w:proofErr w:type="spellEnd"/>
      <w:r w:rsidRPr="00327215">
        <w:rPr>
          <w:rFonts w:ascii="Arial" w:hAnsi="Arial" w:cs="Arial"/>
          <w:bCs/>
        </w:rPr>
        <w:t xml:space="preserve"> </w:t>
      </w:r>
      <w:proofErr w:type="spellStart"/>
      <w:r w:rsidRPr="00327215">
        <w:rPr>
          <w:rFonts w:ascii="Arial" w:hAnsi="Arial" w:cs="Arial"/>
          <w:bCs/>
        </w:rPr>
        <w:t>Scler</w:t>
      </w:r>
      <w:proofErr w:type="spellEnd"/>
      <w:r w:rsidRPr="00327215">
        <w:rPr>
          <w:rFonts w:ascii="Arial" w:hAnsi="Arial" w:cs="Arial"/>
          <w:bCs/>
        </w:rPr>
        <w:t xml:space="preserve"> 2004;10 Suppl </w:t>
      </w:r>
      <w:proofErr w:type="gramStart"/>
      <w:r w:rsidRPr="00327215">
        <w:rPr>
          <w:rFonts w:ascii="Arial" w:hAnsi="Arial" w:cs="Arial"/>
          <w:bCs/>
        </w:rPr>
        <w:t>1:S</w:t>
      </w:r>
      <w:proofErr w:type="gramEnd"/>
      <w:r w:rsidRPr="00327215">
        <w:rPr>
          <w:rFonts w:ascii="Arial" w:hAnsi="Arial" w:cs="Arial"/>
          <w:bCs/>
        </w:rPr>
        <w:t>8-13; discussion S13</w:t>
      </w:r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15.</w:t>
      </w:r>
    </w:p>
    <w:p w14:paraId="600EE120" w14:textId="77777777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e10.</w:t>
      </w:r>
      <w:r>
        <w:rPr>
          <w:rFonts w:ascii="Arial" w:hAnsi="Arial" w:cs="Arial"/>
          <w:bCs/>
        </w:rPr>
        <w:tab/>
      </w:r>
      <w:proofErr w:type="spellStart"/>
      <w:r w:rsidRPr="00327215">
        <w:rPr>
          <w:rFonts w:ascii="Arial" w:hAnsi="Arial" w:cs="Arial"/>
          <w:bCs/>
        </w:rPr>
        <w:t>Kuchling</w:t>
      </w:r>
      <w:proofErr w:type="spellEnd"/>
      <w:r w:rsidRPr="00327215">
        <w:rPr>
          <w:rFonts w:ascii="Arial" w:hAnsi="Arial" w:cs="Arial"/>
          <w:bCs/>
        </w:rPr>
        <w:t xml:space="preserve"> J, </w:t>
      </w:r>
      <w:proofErr w:type="spellStart"/>
      <w:r w:rsidRPr="00327215">
        <w:rPr>
          <w:rFonts w:ascii="Arial" w:hAnsi="Arial" w:cs="Arial"/>
          <w:bCs/>
        </w:rPr>
        <w:t>Ramien</w:t>
      </w:r>
      <w:proofErr w:type="spellEnd"/>
      <w:r w:rsidRPr="00327215">
        <w:rPr>
          <w:rFonts w:ascii="Arial" w:hAnsi="Arial" w:cs="Arial"/>
          <w:bCs/>
        </w:rPr>
        <w:t xml:space="preserve"> C, </w:t>
      </w:r>
      <w:proofErr w:type="spellStart"/>
      <w:r w:rsidRPr="00327215">
        <w:rPr>
          <w:rFonts w:ascii="Arial" w:hAnsi="Arial" w:cs="Arial"/>
          <w:bCs/>
        </w:rPr>
        <w:t>Bozin</w:t>
      </w:r>
      <w:proofErr w:type="spellEnd"/>
      <w:r w:rsidRPr="00327215">
        <w:rPr>
          <w:rFonts w:ascii="Arial" w:hAnsi="Arial" w:cs="Arial"/>
          <w:bCs/>
        </w:rPr>
        <w:t xml:space="preserve"> I, et al. Identical lesion morphology in primary progressive and relapsing-remitting MS--an ultrahigh field MRI study. </w:t>
      </w:r>
      <w:proofErr w:type="spellStart"/>
      <w:r w:rsidRPr="00327215">
        <w:rPr>
          <w:rFonts w:ascii="Arial" w:hAnsi="Arial" w:cs="Arial"/>
          <w:bCs/>
        </w:rPr>
        <w:t>Mult</w:t>
      </w:r>
      <w:proofErr w:type="spellEnd"/>
      <w:r w:rsidRPr="00327215">
        <w:rPr>
          <w:rFonts w:ascii="Arial" w:hAnsi="Arial" w:cs="Arial"/>
          <w:bCs/>
        </w:rPr>
        <w:t xml:space="preserve"> </w:t>
      </w:r>
      <w:proofErr w:type="spellStart"/>
      <w:r w:rsidRPr="00327215">
        <w:rPr>
          <w:rFonts w:ascii="Arial" w:hAnsi="Arial" w:cs="Arial"/>
          <w:bCs/>
        </w:rPr>
        <w:t>Scler</w:t>
      </w:r>
      <w:proofErr w:type="spellEnd"/>
      <w:r w:rsidRPr="00327215">
        <w:rPr>
          <w:rFonts w:ascii="Arial" w:hAnsi="Arial" w:cs="Arial"/>
          <w:bCs/>
        </w:rPr>
        <w:t xml:space="preserve"> </w:t>
      </w:r>
      <w:proofErr w:type="gramStart"/>
      <w:r w:rsidRPr="00327215">
        <w:rPr>
          <w:rFonts w:ascii="Arial" w:hAnsi="Arial" w:cs="Arial"/>
          <w:bCs/>
        </w:rPr>
        <w:t>2014;20:1866</w:t>
      </w:r>
      <w:proofErr w:type="gramEnd"/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1871.</w:t>
      </w:r>
    </w:p>
    <w:p w14:paraId="35DF7EB7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e11.</w:t>
      </w:r>
      <w:r>
        <w:rPr>
          <w:rFonts w:ascii="Arial" w:hAnsi="Arial" w:cs="Arial"/>
          <w:bCs/>
        </w:rPr>
        <w:tab/>
      </w:r>
      <w:r w:rsidRPr="00327215">
        <w:rPr>
          <w:rFonts w:ascii="Arial" w:hAnsi="Arial" w:cs="Arial"/>
          <w:bCs/>
        </w:rPr>
        <w:t xml:space="preserve">Orbach R, Zhao Z, Wang YC, O'Neill G, </w:t>
      </w:r>
      <w:proofErr w:type="spellStart"/>
      <w:r w:rsidRPr="00327215">
        <w:rPr>
          <w:rFonts w:ascii="Arial" w:hAnsi="Arial" w:cs="Arial"/>
          <w:bCs/>
        </w:rPr>
        <w:t>Cadavid</w:t>
      </w:r>
      <w:proofErr w:type="spellEnd"/>
      <w:r w:rsidRPr="00327215">
        <w:rPr>
          <w:rFonts w:ascii="Arial" w:hAnsi="Arial" w:cs="Arial"/>
          <w:bCs/>
        </w:rPr>
        <w:t xml:space="preserve"> D. Comparison of disease activity in SPMS and PPMS in the context of multicenter clinical trials. </w:t>
      </w:r>
      <w:proofErr w:type="spellStart"/>
      <w:r w:rsidRPr="00327215">
        <w:rPr>
          <w:rFonts w:ascii="Arial" w:hAnsi="Arial" w:cs="Arial"/>
          <w:bCs/>
        </w:rPr>
        <w:t>PLoS</w:t>
      </w:r>
      <w:proofErr w:type="spellEnd"/>
      <w:r w:rsidRPr="00327215">
        <w:rPr>
          <w:rFonts w:ascii="Arial" w:hAnsi="Arial" w:cs="Arial"/>
          <w:bCs/>
        </w:rPr>
        <w:t xml:space="preserve"> One 2012;</w:t>
      </w:r>
      <w:proofErr w:type="gramStart"/>
      <w:r w:rsidRPr="00327215">
        <w:rPr>
          <w:rFonts w:ascii="Arial" w:hAnsi="Arial" w:cs="Arial"/>
          <w:bCs/>
        </w:rPr>
        <w:t>7:e</w:t>
      </w:r>
      <w:proofErr w:type="gramEnd"/>
      <w:r w:rsidRPr="00327215">
        <w:rPr>
          <w:rFonts w:ascii="Arial" w:hAnsi="Arial" w:cs="Arial"/>
          <w:bCs/>
        </w:rPr>
        <w:t>45409.</w:t>
      </w:r>
    </w:p>
    <w:p w14:paraId="5A0CF025" w14:textId="77777777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e12.</w:t>
      </w:r>
      <w:r>
        <w:rPr>
          <w:rFonts w:ascii="Arial" w:hAnsi="Arial" w:cs="Arial"/>
          <w:bCs/>
        </w:rPr>
        <w:tab/>
      </w:r>
      <w:proofErr w:type="spellStart"/>
      <w:r w:rsidRPr="00327215">
        <w:rPr>
          <w:rFonts w:ascii="Arial" w:hAnsi="Arial" w:cs="Arial"/>
          <w:bCs/>
        </w:rPr>
        <w:t>Lassmann</w:t>
      </w:r>
      <w:proofErr w:type="spellEnd"/>
      <w:r w:rsidRPr="00327215">
        <w:rPr>
          <w:rFonts w:ascii="Arial" w:hAnsi="Arial" w:cs="Arial"/>
          <w:bCs/>
        </w:rPr>
        <w:t xml:space="preserve"> H. New concepts on progressive multiple sclerosis. </w:t>
      </w:r>
      <w:proofErr w:type="spellStart"/>
      <w:r w:rsidRPr="00327215">
        <w:rPr>
          <w:rFonts w:ascii="Arial" w:hAnsi="Arial" w:cs="Arial"/>
          <w:bCs/>
        </w:rPr>
        <w:t>Curr</w:t>
      </w:r>
      <w:proofErr w:type="spellEnd"/>
      <w:r w:rsidRPr="00327215">
        <w:rPr>
          <w:rFonts w:ascii="Arial" w:hAnsi="Arial" w:cs="Arial"/>
          <w:bCs/>
        </w:rPr>
        <w:t xml:space="preserve"> Neurol </w:t>
      </w:r>
      <w:proofErr w:type="spellStart"/>
      <w:r w:rsidRPr="00327215">
        <w:rPr>
          <w:rFonts w:ascii="Arial" w:hAnsi="Arial" w:cs="Arial"/>
          <w:bCs/>
        </w:rPr>
        <w:t>Neurosci</w:t>
      </w:r>
      <w:proofErr w:type="spellEnd"/>
      <w:r w:rsidRPr="00327215">
        <w:rPr>
          <w:rFonts w:ascii="Arial" w:hAnsi="Arial" w:cs="Arial"/>
          <w:bCs/>
        </w:rPr>
        <w:t xml:space="preserve"> Rep </w:t>
      </w:r>
      <w:proofErr w:type="gramStart"/>
      <w:r w:rsidRPr="00327215">
        <w:rPr>
          <w:rFonts w:ascii="Arial" w:hAnsi="Arial" w:cs="Arial"/>
          <w:bCs/>
        </w:rPr>
        <w:t>2007;7:239</w:t>
      </w:r>
      <w:proofErr w:type="gramEnd"/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244.</w:t>
      </w:r>
    </w:p>
    <w:p w14:paraId="3D65A817" w14:textId="77777777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e13.</w:t>
      </w:r>
      <w:r>
        <w:rPr>
          <w:rFonts w:ascii="Arial" w:hAnsi="Arial" w:cs="Arial"/>
          <w:bCs/>
        </w:rPr>
        <w:tab/>
      </w:r>
      <w:proofErr w:type="spellStart"/>
      <w:r w:rsidRPr="00327215">
        <w:rPr>
          <w:rFonts w:ascii="Arial" w:hAnsi="Arial" w:cs="Arial"/>
          <w:bCs/>
        </w:rPr>
        <w:t>Lassmann</w:t>
      </w:r>
      <w:proofErr w:type="spellEnd"/>
      <w:r w:rsidRPr="00327215">
        <w:rPr>
          <w:rFonts w:ascii="Arial" w:hAnsi="Arial" w:cs="Arial"/>
          <w:bCs/>
        </w:rPr>
        <w:t xml:space="preserve"> H, van </w:t>
      </w:r>
      <w:proofErr w:type="spellStart"/>
      <w:r w:rsidRPr="00327215">
        <w:rPr>
          <w:rFonts w:ascii="Arial" w:hAnsi="Arial" w:cs="Arial"/>
          <w:bCs/>
        </w:rPr>
        <w:t>Horssen</w:t>
      </w:r>
      <w:proofErr w:type="spellEnd"/>
      <w:r w:rsidRPr="00327215">
        <w:rPr>
          <w:rFonts w:ascii="Arial" w:hAnsi="Arial" w:cs="Arial"/>
          <w:bCs/>
        </w:rPr>
        <w:t xml:space="preserve"> J, Mahad D. Progressive multiple sclerosis: pathology and pathogenesis. Nat Rev Neurol </w:t>
      </w:r>
      <w:proofErr w:type="gramStart"/>
      <w:r w:rsidRPr="00327215">
        <w:rPr>
          <w:rFonts w:ascii="Arial" w:hAnsi="Arial" w:cs="Arial"/>
          <w:bCs/>
        </w:rPr>
        <w:t>2012;8:647</w:t>
      </w:r>
      <w:proofErr w:type="gramEnd"/>
      <w:r>
        <w:rPr>
          <w:rFonts w:ascii="Arial" w:hAnsi="Arial" w:cs="Arial"/>
          <w:bCs/>
        </w:rPr>
        <w:t>-</w:t>
      </w:r>
      <w:r w:rsidRPr="00327215">
        <w:rPr>
          <w:rFonts w:ascii="Arial" w:hAnsi="Arial" w:cs="Arial"/>
          <w:bCs/>
        </w:rPr>
        <w:t>656</w:t>
      </w:r>
      <w:r>
        <w:rPr>
          <w:rFonts w:ascii="Arial" w:hAnsi="Arial" w:cs="Arial"/>
          <w:bCs/>
        </w:rPr>
        <w:t>.</w:t>
      </w:r>
    </w:p>
    <w:p w14:paraId="7FEE3C5D" w14:textId="0C9A1CC6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e14.</w:t>
      </w:r>
      <w:r>
        <w:rPr>
          <w:rFonts w:ascii="Arial" w:hAnsi="Arial" w:cs="Arial"/>
          <w:bCs/>
        </w:rPr>
        <w:tab/>
      </w:r>
      <w:proofErr w:type="spellStart"/>
      <w:r w:rsidRPr="00327215">
        <w:rPr>
          <w:rFonts w:ascii="Arial" w:hAnsi="Arial" w:cs="Arial"/>
          <w:bCs/>
        </w:rPr>
        <w:t>Lassmann</w:t>
      </w:r>
      <w:proofErr w:type="spellEnd"/>
      <w:r w:rsidRPr="00327215">
        <w:rPr>
          <w:rFonts w:ascii="Arial" w:hAnsi="Arial" w:cs="Arial"/>
          <w:bCs/>
        </w:rPr>
        <w:t xml:space="preserve"> H. Pathogenic mechanisms associated with different clinical courses of multiple sclerosis. Front Immunol</w:t>
      </w:r>
      <w:r>
        <w:rPr>
          <w:rFonts w:ascii="Arial" w:hAnsi="Arial" w:cs="Arial"/>
          <w:bCs/>
        </w:rPr>
        <w:t xml:space="preserve"> </w:t>
      </w:r>
      <w:r w:rsidRPr="00327215">
        <w:rPr>
          <w:rFonts w:ascii="Arial" w:hAnsi="Arial" w:cs="Arial"/>
          <w:bCs/>
        </w:rPr>
        <w:t>2019;9</w:t>
      </w:r>
      <w:r>
        <w:rPr>
          <w:rFonts w:ascii="Arial" w:hAnsi="Arial" w:cs="Arial"/>
          <w:bCs/>
        </w:rPr>
        <w:t>.</w:t>
      </w:r>
    </w:p>
    <w:p w14:paraId="213D6850" w14:textId="4F2CD354" w:rsidR="00D87D10" w:rsidRPr="00D87D10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e15. </w:t>
      </w:r>
      <w:r>
        <w:rPr>
          <w:rFonts w:ascii="Arial" w:hAnsi="Arial" w:cs="Arial"/>
          <w:bCs/>
        </w:rPr>
        <w:tab/>
      </w:r>
      <w:proofErr w:type="spellStart"/>
      <w:r w:rsidRPr="00D87D10">
        <w:rPr>
          <w:rFonts w:ascii="Arial" w:hAnsi="Arial" w:cs="Arial"/>
          <w:bCs/>
        </w:rPr>
        <w:t>Sotirchos</w:t>
      </w:r>
      <w:proofErr w:type="spellEnd"/>
      <w:r w:rsidRPr="00D87D10">
        <w:rPr>
          <w:rFonts w:ascii="Arial" w:hAnsi="Arial" w:cs="Arial"/>
          <w:bCs/>
        </w:rPr>
        <w:t xml:space="preserve"> ES, et al. Progressive </w:t>
      </w:r>
      <w:r>
        <w:rPr>
          <w:rFonts w:ascii="Arial" w:hAnsi="Arial" w:cs="Arial"/>
          <w:bCs/>
        </w:rPr>
        <w:t>m</w:t>
      </w:r>
      <w:r w:rsidRPr="00D87D10">
        <w:rPr>
          <w:rFonts w:ascii="Arial" w:hAnsi="Arial" w:cs="Arial"/>
          <w:bCs/>
        </w:rPr>
        <w:t xml:space="preserve">ultiple </w:t>
      </w:r>
      <w:r>
        <w:rPr>
          <w:rFonts w:ascii="Arial" w:hAnsi="Arial" w:cs="Arial"/>
          <w:bCs/>
        </w:rPr>
        <w:t>s</w:t>
      </w:r>
      <w:r w:rsidRPr="00D87D10">
        <w:rPr>
          <w:rFonts w:ascii="Arial" w:hAnsi="Arial" w:cs="Arial"/>
          <w:bCs/>
        </w:rPr>
        <w:t xml:space="preserve">clerosis </w:t>
      </w:r>
      <w:r>
        <w:rPr>
          <w:rFonts w:ascii="Arial" w:hAnsi="Arial" w:cs="Arial"/>
          <w:bCs/>
        </w:rPr>
        <w:t>i</w:t>
      </w:r>
      <w:r w:rsidRPr="00D87D10">
        <w:rPr>
          <w:rFonts w:ascii="Arial" w:hAnsi="Arial" w:cs="Arial"/>
          <w:bCs/>
        </w:rPr>
        <w:t xml:space="preserve">s </w:t>
      </w:r>
      <w:r>
        <w:rPr>
          <w:rFonts w:ascii="Arial" w:hAnsi="Arial" w:cs="Arial"/>
          <w:bCs/>
        </w:rPr>
        <w:t>a</w:t>
      </w:r>
      <w:r w:rsidRPr="00D87D10">
        <w:rPr>
          <w:rFonts w:ascii="Arial" w:hAnsi="Arial" w:cs="Arial"/>
          <w:bCs/>
        </w:rPr>
        <w:t xml:space="preserve">ssociated with </w:t>
      </w:r>
      <w:r>
        <w:rPr>
          <w:rFonts w:ascii="Arial" w:hAnsi="Arial" w:cs="Arial"/>
          <w:bCs/>
        </w:rPr>
        <w:t>f</w:t>
      </w:r>
      <w:r w:rsidRPr="00D87D10">
        <w:rPr>
          <w:rFonts w:ascii="Arial" w:hAnsi="Arial" w:cs="Arial"/>
          <w:bCs/>
        </w:rPr>
        <w:t xml:space="preserve">aster and </w:t>
      </w:r>
      <w:r>
        <w:rPr>
          <w:rFonts w:ascii="Arial" w:hAnsi="Arial" w:cs="Arial"/>
          <w:bCs/>
        </w:rPr>
        <w:t>s</w:t>
      </w:r>
      <w:r w:rsidRPr="00D87D10">
        <w:rPr>
          <w:rFonts w:ascii="Arial" w:hAnsi="Arial" w:cs="Arial"/>
          <w:bCs/>
        </w:rPr>
        <w:t xml:space="preserve">pecific </w:t>
      </w:r>
      <w:r>
        <w:rPr>
          <w:rFonts w:ascii="Arial" w:hAnsi="Arial" w:cs="Arial"/>
          <w:bCs/>
        </w:rPr>
        <w:t>r</w:t>
      </w:r>
      <w:r w:rsidRPr="00D87D10">
        <w:rPr>
          <w:rFonts w:ascii="Arial" w:hAnsi="Arial" w:cs="Arial"/>
          <w:bCs/>
        </w:rPr>
        <w:t xml:space="preserve">etinal </w:t>
      </w:r>
      <w:r>
        <w:rPr>
          <w:rFonts w:ascii="Arial" w:hAnsi="Arial" w:cs="Arial"/>
          <w:bCs/>
        </w:rPr>
        <w:t>l</w:t>
      </w:r>
      <w:r w:rsidRPr="00D87D10">
        <w:rPr>
          <w:rFonts w:ascii="Arial" w:hAnsi="Arial" w:cs="Arial"/>
          <w:bCs/>
        </w:rPr>
        <w:t xml:space="preserve">ayer </w:t>
      </w:r>
      <w:r>
        <w:rPr>
          <w:rFonts w:ascii="Arial" w:hAnsi="Arial" w:cs="Arial"/>
          <w:bCs/>
        </w:rPr>
        <w:t>a</w:t>
      </w:r>
      <w:r w:rsidRPr="00D87D10">
        <w:rPr>
          <w:rFonts w:ascii="Arial" w:hAnsi="Arial" w:cs="Arial"/>
          <w:bCs/>
        </w:rPr>
        <w:t>trophy. Ann Neurol</w:t>
      </w:r>
      <w:r>
        <w:rPr>
          <w:rFonts w:ascii="Arial" w:hAnsi="Arial" w:cs="Arial"/>
          <w:bCs/>
        </w:rPr>
        <w:t xml:space="preserve"> </w:t>
      </w:r>
      <w:proofErr w:type="gramStart"/>
      <w:r w:rsidRPr="00D87D10">
        <w:rPr>
          <w:rFonts w:ascii="Arial" w:hAnsi="Arial" w:cs="Arial"/>
          <w:bCs/>
        </w:rPr>
        <w:t>2020;87:885</w:t>
      </w:r>
      <w:proofErr w:type="gramEnd"/>
      <w:r w:rsidRPr="00D87D10">
        <w:rPr>
          <w:rFonts w:ascii="Arial" w:hAnsi="Arial" w:cs="Arial"/>
          <w:bCs/>
        </w:rPr>
        <w:t>-896.</w:t>
      </w:r>
    </w:p>
    <w:p w14:paraId="24E4900C" w14:textId="6AD3BA00" w:rsidR="00D87D10" w:rsidRPr="00D87D10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e16.</w:t>
      </w:r>
      <w:r>
        <w:rPr>
          <w:rFonts w:ascii="Arial" w:hAnsi="Arial" w:cs="Arial"/>
          <w:bCs/>
        </w:rPr>
        <w:tab/>
      </w:r>
      <w:proofErr w:type="spellStart"/>
      <w:r w:rsidRPr="00D87D10">
        <w:rPr>
          <w:rFonts w:ascii="Arial" w:hAnsi="Arial" w:cs="Arial"/>
          <w:bCs/>
        </w:rPr>
        <w:t>Jankowska</w:t>
      </w:r>
      <w:proofErr w:type="spellEnd"/>
      <w:r w:rsidRPr="00D87D10">
        <w:rPr>
          <w:rFonts w:ascii="Arial" w:hAnsi="Arial" w:cs="Arial"/>
          <w:bCs/>
        </w:rPr>
        <w:t xml:space="preserve">-Lech I, et al. Peripapillary retinal nerve fiber layer thickness measured by optical coherence tomography in different clinical subtypes of multiple sclerosis. </w:t>
      </w:r>
      <w:proofErr w:type="spellStart"/>
      <w:r w:rsidRPr="00D87D10">
        <w:rPr>
          <w:rFonts w:ascii="Arial" w:hAnsi="Arial" w:cs="Arial"/>
          <w:bCs/>
        </w:rPr>
        <w:t>Mult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spellStart"/>
      <w:r w:rsidRPr="00D87D10">
        <w:rPr>
          <w:rFonts w:ascii="Arial" w:hAnsi="Arial" w:cs="Arial"/>
          <w:bCs/>
        </w:rPr>
        <w:t>Scler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spellStart"/>
      <w:r w:rsidRPr="00D87D10">
        <w:rPr>
          <w:rFonts w:ascii="Arial" w:hAnsi="Arial" w:cs="Arial"/>
          <w:bCs/>
        </w:rPr>
        <w:t>Relat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spellStart"/>
      <w:r w:rsidRPr="00D87D10">
        <w:rPr>
          <w:rFonts w:ascii="Arial" w:hAnsi="Arial" w:cs="Arial"/>
          <w:bCs/>
        </w:rPr>
        <w:t>Disord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gramStart"/>
      <w:r w:rsidRPr="00D87D10">
        <w:rPr>
          <w:rFonts w:ascii="Arial" w:hAnsi="Arial" w:cs="Arial"/>
          <w:bCs/>
        </w:rPr>
        <w:t>2019;27:260</w:t>
      </w:r>
      <w:proofErr w:type="gramEnd"/>
      <w:r w:rsidRPr="00D87D10">
        <w:rPr>
          <w:rFonts w:ascii="Arial" w:hAnsi="Arial" w:cs="Arial"/>
          <w:bCs/>
        </w:rPr>
        <w:t>-268.</w:t>
      </w:r>
    </w:p>
    <w:p w14:paraId="0F4E8FE8" w14:textId="53066A84" w:rsidR="00D87D10" w:rsidRPr="00BC14D4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e17.</w:t>
      </w:r>
      <w:r>
        <w:rPr>
          <w:rFonts w:ascii="Arial" w:hAnsi="Arial" w:cs="Arial"/>
          <w:bCs/>
        </w:rPr>
        <w:tab/>
      </w:r>
      <w:proofErr w:type="spellStart"/>
      <w:r w:rsidRPr="00D87D10">
        <w:rPr>
          <w:rFonts w:ascii="Arial" w:hAnsi="Arial" w:cs="Arial"/>
          <w:bCs/>
        </w:rPr>
        <w:t>Oberwahrenbrock</w:t>
      </w:r>
      <w:proofErr w:type="spellEnd"/>
      <w:r w:rsidRPr="00D87D10">
        <w:rPr>
          <w:rFonts w:ascii="Arial" w:hAnsi="Arial" w:cs="Arial"/>
          <w:bCs/>
        </w:rPr>
        <w:t xml:space="preserve"> T, et al. Retinal Damage in Multiple Sclerosis Disease Subtypes Measured by High-Resolution Optical Coherence Tomography. </w:t>
      </w:r>
      <w:proofErr w:type="spellStart"/>
      <w:r w:rsidRPr="00D87D10">
        <w:rPr>
          <w:rFonts w:ascii="Arial" w:hAnsi="Arial" w:cs="Arial"/>
          <w:bCs/>
        </w:rPr>
        <w:t>Mult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spellStart"/>
      <w:r w:rsidRPr="00D87D10">
        <w:rPr>
          <w:rFonts w:ascii="Arial" w:hAnsi="Arial" w:cs="Arial"/>
          <w:bCs/>
        </w:rPr>
        <w:t>Scler</w:t>
      </w:r>
      <w:proofErr w:type="spellEnd"/>
      <w:r w:rsidRPr="00D87D10">
        <w:rPr>
          <w:rFonts w:ascii="Arial" w:hAnsi="Arial" w:cs="Arial"/>
          <w:bCs/>
        </w:rPr>
        <w:t xml:space="preserve"> Int </w:t>
      </w:r>
      <w:proofErr w:type="gramStart"/>
      <w:r w:rsidRPr="00D87D10">
        <w:rPr>
          <w:rFonts w:ascii="Arial" w:hAnsi="Arial" w:cs="Arial"/>
          <w:bCs/>
        </w:rPr>
        <w:t>2012;2012:530305</w:t>
      </w:r>
      <w:proofErr w:type="gramEnd"/>
      <w:r w:rsidRPr="00D87D10">
        <w:rPr>
          <w:rFonts w:ascii="Arial" w:hAnsi="Arial" w:cs="Arial"/>
          <w:bCs/>
        </w:rPr>
        <w:t xml:space="preserve">.  </w:t>
      </w:r>
    </w:p>
    <w:p w14:paraId="718EBCF5" w14:textId="1A85EC96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</w:t>
      </w:r>
      <w:r w:rsidR="00D87D1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715E70">
        <w:rPr>
          <w:rFonts w:ascii="Arial" w:hAnsi="Arial" w:cs="Arial"/>
          <w:bCs/>
        </w:rPr>
        <w:t xml:space="preserve">Popescu BF, </w:t>
      </w:r>
      <w:proofErr w:type="spellStart"/>
      <w:r w:rsidRPr="00715E70">
        <w:rPr>
          <w:rFonts w:ascii="Arial" w:hAnsi="Arial" w:cs="Arial"/>
          <w:bCs/>
        </w:rPr>
        <w:t>Lucchinetti</w:t>
      </w:r>
      <w:proofErr w:type="spellEnd"/>
      <w:r w:rsidRPr="00715E70">
        <w:rPr>
          <w:rFonts w:ascii="Arial" w:hAnsi="Arial" w:cs="Arial"/>
          <w:bCs/>
        </w:rPr>
        <w:t xml:space="preserve"> CF. Pathology of demyelinating diseases. </w:t>
      </w:r>
      <w:proofErr w:type="spellStart"/>
      <w:r w:rsidRPr="00715E70">
        <w:rPr>
          <w:rFonts w:ascii="Arial" w:hAnsi="Arial" w:cs="Arial"/>
          <w:bCs/>
        </w:rPr>
        <w:t>Annu</w:t>
      </w:r>
      <w:proofErr w:type="spellEnd"/>
      <w:r w:rsidRPr="00715E70">
        <w:rPr>
          <w:rFonts w:ascii="Arial" w:hAnsi="Arial" w:cs="Arial"/>
          <w:bCs/>
        </w:rPr>
        <w:t xml:space="preserve"> Rev </w:t>
      </w:r>
      <w:proofErr w:type="spellStart"/>
      <w:r w:rsidRPr="00715E70">
        <w:rPr>
          <w:rFonts w:ascii="Arial" w:hAnsi="Arial" w:cs="Arial"/>
          <w:bCs/>
        </w:rPr>
        <w:t>Pathol</w:t>
      </w:r>
      <w:proofErr w:type="spellEnd"/>
      <w:r w:rsidRPr="00715E70">
        <w:rPr>
          <w:rFonts w:ascii="Arial" w:hAnsi="Arial" w:cs="Arial"/>
          <w:bCs/>
        </w:rPr>
        <w:t xml:space="preserve"> </w:t>
      </w:r>
      <w:proofErr w:type="gramStart"/>
      <w:r w:rsidRPr="00715E70">
        <w:rPr>
          <w:rFonts w:ascii="Arial" w:hAnsi="Arial" w:cs="Arial"/>
          <w:bCs/>
        </w:rPr>
        <w:t>2012;7:185</w:t>
      </w:r>
      <w:proofErr w:type="gramEnd"/>
      <w:r>
        <w:rPr>
          <w:rFonts w:ascii="Arial" w:hAnsi="Arial" w:cs="Arial"/>
          <w:bCs/>
        </w:rPr>
        <w:t>-</w:t>
      </w:r>
      <w:r w:rsidRPr="00715E70">
        <w:rPr>
          <w:rFonts w:ascii="Arial" w:hAnsi="Arial" w:cs="Arial"/>
          <w:bCs/>
        </w:rPr>
        <w:t>217.</w:t>
      </w:r>
    </w:p>
    <w:p w14:paraId="0BF408E7" w14:textId="1ED1F343" w:rsidR="00BF1383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e1</w:t>
      </w:r>
      <w:r w:rsidR="00D87D10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486D7E">
        <w:rPr>
          <w:rFonts w:ascii="Arial" w:hAnsi="Arial" w:cs="Arial"/>
          <w:bCs/>
        </w:rPr>
        <w:t xml:space="preserve">Tremlett H, Zhao Y, Joseph J, Devonshire V, Neurologists UC. Relapses in multiple sclerosis are age- and time-dependent. J Neurol </w:t>
      </w:r>
      <w:proofErr w:type="spellStart"/>
      <w:r w:rsidRPr="00486D7E">
        <w:rPr>
          <w:rFonts w:ascii="Arial" w:hAnsi="Arial" w:cs="Arial"/>
          <w:bCs/>
        </w:rPr>
        <w:t>Neurosurg</w:t>
      </w:r>
      <w:proofErr w:type="spellEnd"/>
      <w:r w:rsidRPr="00486D7E">
        <w:rPr>
          <w:rFonts w:ascii="Arial" w:hAnsi="Arial" w:cs="Arial"/>
          <w:bCs/>
        </w:rPr>
        <w:t xml:space="preserve"> Psychiatry </w:t>
      </w:r>
      <w:proofErr w:type="gramStart"/>
      <w:r w:rsidRPr="00486D7E">
        <w:rPr>
          <w:rFonts w:ascii="Arial" w:hAnsi="Arial" w:cs="Arial"/>
          <w:bCs/>
        </w:rPr>
        <w:t>2008;79:1368</w:t>
      </w:r>
      <w:proofErr w:type="gramEnd"/>
      <w:r>
        <w:rPr>
          <w:rFonts w:ascii="Arial" w:hAnsi="Arial" w:cs="Arial"/>
          <w:bCs/>
        </w:rPr>
        <w:t>-</w:t>
      </w:r>
      <w:r w:rsidRPr="00486D7E">
        <w:rPr>
          <w:rFonts w:ascii="Arial" w:hAnsi="Arial" w:cs="Arial"/>
          <w:bCs/>
        </w:rPr>
        <w:t>1374.</w:t>
      </w:r>
    </w:p>
    <w:p w14:paraId="5278BA6C" w14:textId="26B73A4C" w:rsidR="00D87D10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e20.</w:t>
      </w:r>
      <w:r>
        <w:rPr>
          <w:rFonts w:ascii="Arial" w:hAnsi="Arial" w:cs="Arial"/>
          <w:bCs/>
        </w:rPr>
        <w:tab/>
      </w:r>
      <w:proofErr w:type="spellStart"/>
      <w:r w:rsidRPr="00D87D10">
        <w:rPr>
          <w:rFonts w:ascii="Arial" w:hAnsi="Arial" w:cs="Arial"/>
          <w:bCs/>
        </w:rPr>
        <w:t>Fransen</w:t>
      </w:r>
      <w:proofErr w:type="spellEnd"/>
      <w:r w:rsidRPr="00D87D10">
        <w:rPr>
          <w:rFonts w:ascii="Arial" w:hAnsi="Arial" w:cs="Arial"/>
          <w:bCs/>
        </w:rPr>
        <w:t xml:space="preserve"> NL, et al. Tissue-resident memory T cells invade the brain parenchyma in multiple sclerosis white matter lesions. Brain 2020;143(6):1714-1730.</w:t>
      </w:r>
    </w:p>
    <w:p w14:paraId="36A3EE9B" w14:textId="77777777" w:rsidR="00D87D10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e21.</w:t>
      </w:r>
      <w:r>
        <w:rPr>
          <w:rFonts w:ascii="Arial" w:hAnsi="Arial" w:cs="Arial"/>
          <w:bCs/>
        </w:rPr>
        <w:tab/>
      </w:r>
      <w:r w:rsidRPr="00D87D10">
        <w:rPr>
          <w:rFonts w:ascii="Arial" w:hAnsi="Arial" w:cs="Arial"/>
          <w:bCs/>
        </w:rPr>
        <w:t xml:space="preserve">Machado-Santos J, et al. The compartmentalized inflammatory response in the multiple sclerosis brain is composed of </w:t>
      </w:r>
      <w:proofErr w:type="gramStart"/>
      <w:r w:rsidRPr="00D87D10">
        <w:rPr>
          <w:rFonts w:ascii="Arial" w:hAnsi="Arial" w:cs="Arial"/>
          <w:bCs/>
        </w:rPr>
        <w:t>tissue-resident</w:t>
      </w:r>
      <w:proofErr w:type="gramEnd"/>
      <w:r w:rsidRPr="00D87D10">
        <w:rPr>
          <w:rFonts w:ascii="Arial" w:hAnsi="Arial" w:cs="Arial"/>
          <w:bCs/>
        </w:rPr>
        <w:t xml:space="preserve"> CD8+ T lymphocytes and B cells. Brain 2018;141(7):2066-2082.</w:t>
      </w:r>
    </w:p>
    <w:p w14:paraId="5E443BF7" w14:textId="5C412125" w:rsidR="00D87D10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e22.</w:t>
      </w:r>
      <w:r>
        <w:rPr>
          <w:rFonts w:ascii="Arial" w:hAnsi="Arial" w:cs="Arial"/>
          <w:bCs/>
        </w:rPr>
        <w:tab/>
      </w:r>
      <w:proofErr w:type="gramStart"/>
      <w:r w:rsidRPr="00D87D10">
        <w:rPr>
          <w:rFonts w:ascii="Arial" w:hAnsi="Arial" w:cs="Arial"/>
          <w:bCs/>
        </w:rPr>
        <w:t>Smolders  J</w:t>
      </w:r>
      <w:proofErr w:type="gramEnd"/>
      <w:r w:rsidRPr="00D87D10">
        <w:rPr>
          <w:rFonts w:ascii="Arial" w:hAnsi="Arial" w:cs="Arial"/>
          <w:bCs/>
        </w:rPr>
        <w:t xml:space="preserve"> , et al. Perivascular tissue resident memory T cells as therapeutic target in multiple sclerosis. Expert Rev </w:t>
      </w:r>
      <w:proofErr w:type="spellStart"/>
      <w:r w:rsidRPr="00D87D10">
        <w:rPr>
          <w:rFonts w:ascii="Arial" w:hAnsi="Arial" w:cs="Arial"/>
          <w:bCs/>
        </w:rPr>
        <w:t>Neurother</w:t>
      </w:r>
      <w:proofErr w:type="spellEnd"/>
      <w:r w:rsidRPr="00D87D10">
        <w:rPr>
          <w:rFonts w:ascii="Arial" w:hAnsi="Arial" w:cs="Arial"/>
          <w:bCs/>
        </w:rPr>
        <w:t xml:space="preserve"> 2020;1-14.</w:t>
      </w:r>
    </w:p>
    <w:p w14:paraId="47A0A007" w14:textId="3414830C" w:rsidR="00D87D10" w:rsidRPr="00D87D10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e23.</w:t>
      </w:r>
      <w:r>
        <w:rPr>
          <w:rFonts w:ascii="Arial" w:hAnsi="Arial" w:cs="Arial"/>
          <w:bCs/>
        </w:rPr>
        <w:tab/>
      </w:r>
      <w:r w:rsidRPr="00D87D10">
        <w:rPr>
          <w:rFonts w:ascii="Arial" w:hAnsi="Arial" w:cs="Arial"/>
          <w:bCs/>
        </w:rPr>
        <w:t>Elliott C, et al. Chronic white matter lesion activity predicts clinical progression in primary progressive multiple sclerosis. Brain 2019;142(9):2787-2799.</w:t>
      </w:r>
    </w:p>
    <w:p w14:paraId="49A1777C" w14:textId="698BD00C" w:rsidR="00D87D10" w:rsidRPr="00BC14D4" w:rsidRDefault="00D87D10" w:rsidP="00D87D10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e24.</w:t>
      </w:r>
      <w:r>
        <w:rPr>
          <w:rFonts w:ascii="Arial" w:hAnsi="Arial" w:cs="Arial"/>
          <w:bCs/>
        </w:rPr>
        <w:tab/>
      </w:r>
      <w:r w:rsidRPr="00D87D10">
        <w:rPr>
          <w:rFonts w:ascii="Arial" w:hAnsi="Arial" w:cs="Arial"/>
          <w:bCs/>
        </w:rPr>
        <w:t xml:space="preserve">Elliott C, et al. Slowly expanding/evolving lesions as a magnetic resonance imaging marker of chronic active multiple sclerosis lesions. </w:t>
      </w:r>
      <w:proofErr w:type="spellStart"/>
      <w:r w:rsidRPr="00D87D10">
        <w:rPr>
          <w:rFonts w:ascii="Arial" w:hAnsi="Arial" w:cs="Arial"/>
          <w:bCs/>
        </w:rPr>
        <w:t>Mult</w:t>
      </w:r>
      <w:proofErr w:type="spellEnd"/>
      <w:r w:rsidRPr="00D87D10">
        <w:rPr>
          <w:rFonts w:ascii="Arial" w:hAnsi="Arial" w:cs="Arial"/>
          <w:bCs/>
        </w:rPr>
        <w:t xml:space="preserve"> </w:t>
      </w:r>
      <w:proofErr w:type="spellStart"/>
      <w:r w:rsidRPr="00D87D10">
        <w:rPr>
          <w:rFonts w:ascii="Arial" w:hAnsi="Arial" w:cs="Arial"/>
          <w:bCs/>
        </w:rPr>
        <w:t>Scler</w:t>
      </w:r>
      <w:proofErr w:type="spellEnd"/>
      <w:r w:rsidRPr="00D87D10">
        <w:rPr>
          <w:rFonts w:ascii="Arial" w:hAnsi="Arial" w:cs="Arial"/>
          <w:bCs/>
        </w:rPr>
        <w:t xml:space="preserve"> 2019;25(14):1915-1925.</w:t>
      </w:r>
    </w:p>
    <w:p w14:paraId="3CAB370C" w14:textId="449C523D" w:rsidR="00D87D10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e25.</w:t>
      </w:r>
      <w:r>
        <w:rPr>
          <w:rFonts w:ascii="Arial" w:hAnsi="Arial" w:cs="Arial"/>
          <w:bCs/>
        </w:rPr>
        <w:tab/>
      </w:r>
      <w:r w:rsidRPr="00D87D10">
        <w:rPr>
          <w:rFonts w:ascii="Arial" w:hAnsi="Arial" w:cs="Arial"/>
          <w:bCs/>
        </w:rPr>
        <w:t xml:space="preserve">Martin SJ, et al. Cerebrospinal fluid neurofilament light chain in multiple sclerosis and its subtypes: a meta-analysis of case-control studies. J Neurol </w:t>
      </w:r>
      <w:proofErr w:type="spellStart"/>
      <w:r w:rsidRPr="00D87D10">
        <w:rPr>
          <w:rFonts w:ascii="Arial" w:hAnsi="Arial" w:cs="Arial"/>
          <w:bCs/>
        </w:rPr>
        <w:t>Neurosurg</w:t>
      </w:r>
      <w:proofErr w:type="spellEnd"/>
      <w:r w:rsidRPr="00D87D10">
        <w:rPr>
          <w:rFonts w:ascii="Arial" w:hAnsi="Arial" w:cs="Arial"/>
          <w:bCs/>
        </w:rPr>
        <w:t xml:space="preserve"> Psychiatry 2019;90(9):1059-1067.</w:t>
      </w:r>
    </w:p>
    <w:p w14:paraId="69C2A895" w14:textId="13C63AB2" w:rsidR="00D87D10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e26. </w:t>
      </w:r>
      <w:proofErr w:type="spellStart"/>
      <w:r w:rsidRPr="00D87D10">
        <w:rPr>
          <w:rFonts w:ascii="Arial" w:hAnsi="Arial" w:cs="Arial"/>
          <w:bCs/>
        </w:rPr>
        <w:t>Bridel</w:t>
      </w:r>
      <w:proofErr w:type="spellEnd"/>
      <w:r w:rsidRPr="00D87D10">
        <w:rPr>
          <w:rFonts w:ascii="Arial" w:hAnsi="Arial" w:cs="Arial"/>
          <w:bCs/>
        </w:rPr>
        <w:t xml:space="preserve"> C, et al. Diagnostic </w:t>
      </w:r>
      <w:r>
        <w:rPr>
          <w:rFonts w:ascii="Arial" w:hAnsi="Arial" w:cs="Arial"/>
          <w:bCs/>
        </w:rPr>
        <w:t>v</w:t>
      </w:r>
      <w:r w:rsidRPr="00D87D10">
        <w:rPr>
          <w:rFonts w:ascii="Arial" w:hAnsi="Arial" w:cs="Arial"/>
          <w:bCs/>
        </w:rPr>
        <w:t xml:space="preserve">alue of </w:t>
      </w:r>
      <w:r>
        <w:rPr>
          <w:rFonts w:ascii="Arial" w:hAnsi="Arial" w:cs="Arial"/>
          <w:bCs/>
        </w:rPr>
        <w:t>c</w:t>
      </w:r>
      <w:r w:rsidRPr="00D87D10">
        <w:rPr>
          <w:rFonts w:ascii="Arial" w:hAnsi="Arial" w:cs="Arial"/>
          <w:bCs/>
        </w:rPr>
        <w:t xml:space="preserve">erebrospinal </w:t>
      </w:r>
      <w:r>
        <w:rPr>
          <w:rFonts w:ascii="Arial" w:hAnsi="Arial" w:cs="Arial"/>
          <w:bCs/>
        </w:rPr>
        <w:t>f</w:t>
      </w:r>
      <w:r w:rsidRPr="00D87D10">
        <w:rPr>
          <w:rFonts w:ascii="Arial" w:hAnsi="Arial" w:cs="Arial"/>
          <w:bCs/>
        </w:rPr>
        <w:t xml:space="preserve">luid </w:t>
      </w:r>
      <w:r>
        <w:rPr>
          <w:rFonts w:ascii="Arial" w:hAnsi="Arial" w:cs="Arial"/>
          <w:bCs/>
        </w:rPr>
        <w:t>n</w:t>
      </w:r>
      <w:r w:rsidRPr="00D87D10">
        <w:rPr>
          <w:rFonts w:ascii="Arial" w:hAnsi="Arial" w:cs="Arial"/>
          <w:bCs/>
        </w:rPr>
        <w:t xml:space="preserve">eurofilament </w:t>
      </w:r>
      <w:r>
        <w:rPr>
          <w:rFonts w:ascii="Arial" w:hAnsi="Arial" w:cs="Arial"/>
          <w:bCs/>
        </w:rPr>
        <w:t>l</w:t>
      </w:r>
      <w:r w:rsidRPr="00D87D10">
        <w:rPr>
          <w:rFonts w:ascii="Arial" w:hAnsi="Arial" w:cs="Arial"/>
          <w:bCs/>
        </w:rPr>
        <w:t xml:space="preserve">ight </w:t>
      </w:r>
      <w:r>
        <w:rPr>
          <w:rFonts w:ascii="Arial" w:hAnsi="Arial" w:cs="Arial"/>
          <w:bCs/>
        </w:rPr>
        <w:t>p</w:t>
      </w:r>
      <w:r w:rsidRPr="00D87D10">
        <w:rPr>
          <w:rFonts w:ascii="Arial" w:hAnsi="Arial" w:cs="Arial"/>
          <w:bCs/>
        </w:rPr>
        <w:t xml:space="preserve">rotein in </w:t>
      </w:r>
      <w:r>
        <w:rPr>
          <w:rFonts w:ascii="Arial" w:hAnsi="Arial" w:cs="Arial"/>
          <w:bCs/>
        </w:rPr>
        <w:t>n</w:t>
      </w:r>
      <w:r w:rsidRPr="00D87D10">
        <w:rPr>
          <w:rFonts w:ascii="Arial" w:hAnsi="Arial" w:cs="Arial"/>
          <w:bCs/>
        </w:rPr>
        <w:t xml:space="preserve">eurology: </w:t>
      </w:r>
      <w:r>
        <w:rPr>
          <w:rFonts w:ascii="Arial" w:hAnsi="Arial" w:cs="Arial"/>
          <w:bCs/>
        </w:rPr>
        <w:t>a</w:t>
      </w:r>
      <w:r w:rsidRPr="00D87D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D87D10">
        <w:rPr>
          <w:rFonts w:ascii="Arial" w:hAnsi="Arial" w:cs="Arial"/>
          <w:bCs/>
        </w:rPr>
        <w:t xml:space="preserve">ystematic </w:t>
      </w:r>
      <w:r>
        <w:rPr>
          <w:rFonts w:ascii="Arial" w:hAnsi="Arial" w:cs="Arial"/>
          <w:bCs/>
        </w:rPr>
        <w:t>r</w:t>
      </w:r>
      <w:r w:rsidRPr="00D87D10">
        <w:rPr>
          <w:rFonts w:ascii="Arial" w:hAnsi="Arial" w:cs="Arial"/>
          <w:bCs/>
        </w:rPr>
        <w:t xml:space="preserve">eview and </w:t>
      </w:r>
      <w:r>
        <w:rPr>
          <w:rFonts w:ascii="Arial" w:hAnsi="Arial" w:cs="Arial"/>
          <w:bCs/>
        </w:rPr>
        <w:t>m</w:t>
      </w:r>
      <w:r w:rsidRPr="00D87D10">
        <w:rPr>
          <w:rFonts w:ascii="Arial" w:hAnsi="Arial" w:cs="Arial"/>
          <w:bCs/>
        </w:rPr>
        <w:t>eta-analysis. JAMA Neurol 2019;76(9):1035-1048.</w:t>
      </w:r>
    </w:p>
    <w:p w14:paraId="2C06502C" w14:textId="5484A309" w:rsidR="00BF1383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e27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proofErr w:type="spellStart"/>
      <w:r w:rsidR="00BF1383" w:rsidRPr="00486D7E">
        <w:rPr>
          <w:rFonts w:ascii="Arial" w:hAnsi="Arial" w:cs="Arial"/>
          <w:bCs/>
        </w:rPr>
        <w:t>Scalfari</w:t>
      </w:r>
      <w:proofErr w:type="spellEnd"/>
      <w:r w:rsidR="00BF1383" w:rsidRPr="00486D7E">
        <w:rPr>
          <w:rFonts w:ascii="Arial" w:hAnsi="Arial" w:cs="Arial"/>
          <w:bCs/>
        </w:rPr>
        <w:t xml:space="preserve"> A, Neuhaus A, </w:t>
      </w:r>
      <w:proofErr w:type="spellStart"/>
      <w:r w:rsidR="00BF1383" w:rsidRPr="00486D7E">
        <w:rPr>
          <w:rFonts w:ascii="Arial" w:hAnsi="Arial" w:cs="Arial"/>
          <w:bCs/>
        </w:rPr>
        <w:t>Daumer</w:t>
      </w:r>
      <w:proofErr w:type="spellEnd"/>
      <w:r w:rsidR="00BF1383" w:rsidRPr="00486D7E">
        <w:rPr>
          <w:rFonts w:ascii="Arial" w:hAnsi="Arial" w:cs="Arial"/>
          <w:bCs/>
        </w:rPr>
        <w:t xml:space="preserve"> M, </w:t>
      </w:r>
      <w:proofErr w:type="spellStart"/>
      <w:r w:rsidR="00BF1383" w:rsidRPr="00486D7E">
        <w:rPr>
          <w:rFonts w:ascii="Arial" w:hAnsi="Arial" w:cs="Arial"/>
          <w:bCs/>
        </w:rPr>
        <w:t>Muraro</w:t>
      </w:r>
      <w:proofErr w:type="spellEnd"/>
      <w:r w:rsidR="00BF1383" w:rsidRPr="00486D7E">
        <w:rPr>
          <w:rFonts w:ascii="Arial" w:hAnsi="Arial" w:cs="Arial"/>
          <w:bCs/>
        </w:rPr>
        <w:t xml:space="preserve"> PA, </w:t>
      </w:r>
      <w:proofErr w:type="spellStart"/>
      <w:r w:rsidR="00BF1383" w:rsidRPr="00486D7E">
        <w:rPr>
          <w:rFonts w:ascii="Arial" w:hAnsi="Arial" w:cs="Arial"/>
          <w:bCs/>
        </w:rPr>
        <w:t>Ebers</w:t>
      </w:r>
      <w:proofErr w:type="spellEnd"/>
      <w:r w:rsidR="00BF1383" w:rsidRPr="00486D7E">
        <w:rPr>
          <w:rFonts w:ascii="Arial" w:hAnsi="Arial" w:cs="Arial"/>
          <w:bCs/>
        </w:rPr>
        <w:t xml:space="preserve"> GC. Onset of secondary progressive phase and long-term evolution of multiple sclerosis. J Neurol </w:t>
      </w:r>
      <w:proofErr w:type="spellStart"/>
      <w:r w:rsidR="00BF1383" w:rsidRPr="00486D7E">
        <w:rPr>
          <w:rFonts w:ascii="Arial" w:hAnsi="Arial" w:cs="Arial"/>
          <w:bCs/>
        </w:rPr>
        <w:t>Neurosurg</w:t>
      </w:r>
      <w:proofErr w:type="spellEnd"/>
      <w:r w:rsidR="00BF1383" w:rsidRPr="00486D7E">
        <w:rPr>
          <w:rFonts w:ascii="Arial" w:hAnsi="Arial" w:cs="Arial"/>
          <w:bCs/>
        </w:rPr>
        <w:t xml:space="preserve"> Psychiatry </w:t>
      </w:r>
      <w:proofErr w:type="gramStart"/>
      <w:r w:rsidR="00BF1383" w:rsidRPr="00486D7E">
        <w:rPr>
          <w:rFonts w:ascii="Arial" w:hAnsi="Arial" w:cs="Arial"/>
          <w:bCs/>
        </w:rPr>
        <w:t>2014;85:67</w:t>
      </w:r>
      <w:proofErr w:type="gramEnd"/>
      <w:r w:rsidR="00BF1383">
        <w:rPr>
          <w:rFonts w:ascii="Arial" w:hAnsi="Arial" w:cs="Arial"/>
          <w:bCs/>
        </w:rPr>
        <w:t>-</w:t>
      </w:r>
      <w:r w:rsidR="00BF1383" w:rsidRPr="00486D7E">
        <w:rPr>
          <w:rFonts w:ascii="Arial" w:hAnsi="Arial" w:cs="Arial"/>
          <w:bCs/>
        </w:rPr>
        <w:t>75</w:t>
      </w:r>
      <w:r w:rsidR="00BF1383">
        <w:rPr>
          <w:rFonts w:ascii="Arial" w:hAnsi="Arial" w:cs="Arial"/>
          <w:bCs/>
        </w:rPr>
        <w:t>.</w:t>
      </w:r>
    </w:p>
    <w:p w14:paraId="32BC18AF" w14:textId="509C9277" w:rsidR="00D87D10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e28.</w:t>
      </w:r>
      <w:r>
        <w:rPr>
          <w:rFonts w:ascii="Arial" w:hAnsi="Arial" w:cs="Arial"/>
          <w:bCs/>
        </w:rPr>
        <w:tab/>
      </w:r>
      <w:proofErr w:type="spellStart"/>
      <w:r w:rsidRPr="00D87D10">
        <w:rPr>
          <w:rFonts w:ascii="Arial" w:hAnsi="Arial" w:cs="Arial"/>
          <w:bCs/>
        </w:rPr>
        <w:t>Zeydan</w:t>
      </w:r>
      <w:proofErr w:type="spellEnd"/>
      <w:r w:rsidRPr="00D87D10">
        <w:rPr>
          <w:rFonts w:ascii="Arial" w:hAnsi="Arial" w:cs="Arial"/>
          <w:bCs/>
        </w:rPr>
        <w:t xml:space="preserve"> B, </w:t>
      </w:r>
      <w:proofErr w:type="spellStart"/>
      <w:r w:rsidRPr="00D87D10">
        <w:rPr>
          <w:rFonts w:ascii="Arial" w:hAnsi="Arial" w:cs="Arial"/>
          <w:bCs/>
        </w:rPr>
        <w:t>Kantarci</w:t>
      </w:r>
      <w:proofErr w:type="spellEnd"/>
      <w:r w:rsidRPr="00D87D10">
        <w:rPr>
          <w:rFonts w:ascii="Arial" w:hAnsi="Arial" w:cs="Arial"/>
          <w:bCs/>
        </w:rPr>
        <w:t xml:space="preserve"> OH. Progressive </w:t>
      </w:r>
      <w:r>
        <w:rPr>
          <w:rFonts w:ascii="Arial" w:hAnsi="Arial" w:cs="Arial"/>
          <w:bCs/>
        </w:rPr>
        <w:t>f</w:t>
      </w:r>
      <w:r w:rsidRPr="00D87D10">
        <w:rPr>
          <w:rFonts w:ascii="Arial" w:hAnsi="Arial" w:cs="Arial"/>
          <w:bCs/>
        </w:rPr>
        <w:t xml:space="preserve">orms of </w:t>
      </w:r>
      <w:r>
        <w:rPr>
          <w:rFonts w:ascii="Arial" w:hAnsi="Arial" w:cs="Arial"/>
          <w:bCs/>
        </w:rPr>
        <w:t>m</w:t>
      </w:r>
      <w:r w:rsidRPr="00D87D10">
        <w:rPr>
          <w:rFonts w:ascii="Arial" w:hAnsi="Arial" w:cs="Arial"/>
          <w:bCs/>
        </w:rPr>
        <w:t xml:space="preserve">ultiple </w:t>
      </w:r>
      <w:r>
        <w:rPr>
          <w:rFonts w:ascii="Arial" w:hAnsi="Arial" w:cs="Arial"/>
          <w:bCs/>
        </w:rPr>
        <w:t>s</w:t>
      </w:r>
      <w:r w:rsidRPr="00D87D10">
        <w:rPr>
          <w:rFonts w:ascii="Arial" w:hAnsi="Arial" w:cs="Arial"/>
          <w:bCs/>
        </w:rPr>
        <w:t xml:space="preserve">clerosis: </w:t>
      </w:r>
      <w:r>
        <w:rPr>
          <w:rFonts w:ascii="Arial" w:hAnsi="Arial" w:cs="Arial"/>
          <w:bCs/>
        </w:rPr>
        <w:t>d</w:t>
      </w:r>
      <w:r w:rsidRPr="00D87D10">
        <w:rPr>
          <w:rFonts w:ascii="Arial" w:hAnsi="Arial" w:cs="Arial"/>
          <w:bCs/>
        </w:rPr>
        <w:t xml:space="preserve">istinct </w:t>
      </w:r>
      <w:r>
        <w:rPr>
          <w:rFonts w:ascii="Arial" w:hAnsi="Arial" w:cs="Arial"/>
          <w:bCs/>
        </w:rPr>
        <w:t>e</w:t>
      </w:r>
      <w:r w:rsidRPr="00D87D10">
        <w:rPr>
          <w:rFonts w:ascii="Arial" w:hAnsi="Arial" w:cs="Arial"/>
          <w:bCs/>
        </w:rPr>
        <w:t xml:space="preserve">ntity or </w:t>
      </w:r>
      <w:r>
        <w:rPr>
          <w:rFonts w:ascii="Arial" w:hAnsi="Arial" w:cs="Arial"/>
          <w:bCs/>
        </w:rPr>
        <w:t>a</w:t>
      </w:r>
      <w:r w:rsidRPr="00D87D10">
        <w:rPr>
          <w:rFonts w:ascii="Arial" w:hAnsi="Arial" w:cs="Arial"/>
          <w:bCs/>
        </w:rPr>
        <w:t>ge-</w:t>
      </w:r>
      <w:r>
        <w:rPr>
          <w:rFonts w:ascii="Arial" w:hAnsi="Arial" w:cs="Arial"/>
          <w:bCs/>
        </w:rPr>
        <w:t>d</w:t>
      </w:r>
      <w:r w:rsidRPr="00D87D10">
        <w:rPr>
          <w:rFonts w:ascii="Arial" w:hAnsi="Arial" w:cs="Arial"/>
          <w:bCs/>
        </w:rPr>
        <w:t xml:space="preserve">ependent </w:t>
      </w:r>
      <w:r>
        <w:rPr>
          <w:rFonts w:ascii="Arial" w:hAnsi="Arial" w:cs="Arial"/>
          <w:bCs/>
        </w:rPr>
        <w:t>p</w:t>
      </w:r>
      <w:r w:rsidRPr="00D87D10">
        <w:rPr>
          <w:rFonts w:ascii="Arial" w:hAnsi="Arial" w:cs="Arial"/>
          <w:bCs/>
        </w:rPr>
        <w:t>henomena</w:t>
      </w:r>
      <w:r>
        <w:rPr>
          <w:rFonts w:ascii="Arial" w:hAnsi="Arial" w:cs="Arial"/>
          <w:bCs/>
        </w:rPr>
        <w:t xml:space="preserve">. </w:t>
      </w:r>
      <w:r w:rsidRPr="00D87D10">
        <w:rPr>
          <w:rFonts w:ascii="Arial" w:hAnsi="Arial" w:cs="Arial"/>
          <w:bCs/>
        </w:rPr>
        <w:t xml:space="preserve">Neurol Clin </w:t>
      </w:r>
      <w:proofErr w:type="gramStart"/>
      <w:r w:rsidRPr="00D87D10">
        <w:rPr>
          <w:rFonts w:ascii="Arial" w:hAnsi="Arial" w:cs="Arial"/>
          <w:bCs/>
        </w:rPr>
        <w:t>2018;36:163</w:t>
      </w:r>
      <w:proofErr w:type="gramEnd"/>
      <w:r w:rsidRPr="00D87D10">
        <w:rPr>
          <w:rFonts w:ascii="Arial" w:hAnsi="Arial" w:cs="Arial"/>
          <w:bCs/>
        </w:rPr>
        <w:t>-171</w:t>
      </w:r>
    </w:p>
    <w:p w14:paraId="093E820D" w14:textId="7F6F66A9" w:rsidR="00BF1383" w:rsidRPr="00BC14D4" w:rsidRDefault="00BF1383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87D10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486D7E">
        <w:rPr>
          <w:rFonts w:ascii="Arial" w:hAnsi="Arial" w:cs="Arial"/>
          <w:bCs/>
        </w:rPr>
        <w:t xml:space="preserve">Chard DT, Griffin CM, Parker GJM, Kapoor R, Thompson AJ, Miller DH. Brain atrophy in clinically early relapsing–remitting multiple sclerosis. Brain </w:t>
      </w:r>
      <w:proofErr w:type="gramStart"/>
      <w:r w:rsidRPr="00486D7E">
        <w:rPr>
          <w:rFonts w:ascii="Arial" w:hAnsi="Arial" w:cs="Arial"/>
          <w:bCs/>
        </w:rPr>
        <w:t>2002;125:327</w:t>
      </w:r>
      <w:proofErr w:type="gramEnd"/>
      <w:r>
        <w:rPr>
          <w:rFonts w:ascii="Arial" w:hAnsi="Arial" w:cs="Arial"/>
          <w:bCs/>
        </w:rPr>
        <w:t>-</w:t>
      </w:r>
      <w:r w:rsidRPr="00486D7E">
        <w:rPr>
          <w:rFonts w:ascii="Arial" w:hAnsi="Arial" w:cs="Arial"/>
          <w:bCs/>
        </w:rPr>
        <w:t>337</w:t>
      </w:r>
      <w:r>
        <w:rPr>
          <w:rFonts w:ascii="Arial" w:hAnsi="Arial" w:cs="Arial"/>
          <w:bCs/>
        </w:rPr>
        <w:t>.</w:t>
      </w:r>
    </w:p>
    <w:p w14:paraId="3E0FECF0" w14:textId="0BE281E4" w:rsidR="00BF1383" w:rsidRDefault="00D87D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e30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r w:rsidR="00BF1383" w:rsidRPr="00486D7E">
        <w:rPr>
          <w:rFonts w:ascii="Arial" w:hAnsi="Arial" w:cs="Arial"/>
          <w:bCs/>
        </w:rPr>
        <w:t xml:space="preserve">Stern Y. Cognitive reserve in ageing and Alzheimer's disease. Lancet Neurol </w:t>
      </w:r>
      <w:proofErr w:type="gramStart"/>
      <w:r w:rsidR="00BF1383" w:rsidRPr="00486D7E">
        <w:rPr>
          <w:rFonts w:ascii="Arial" w:hAnsi="Arial" w:cs="Arial"/>
          <w:bCs/>
        </w:rPr>
        <w:t>2012;11:1006</w:t>
      </w:r>
      <w:proofErr w:type="gramEnd"/>
      <w:r w:rsidR="00BF1383">
        <w:rPr>
          <w:rFonts w:ascii="Arial" w:hAnsi="Arial" w:cs="Arial"/>
          <w:bCs/>
        </w:rPr>
        <w:t>-</w:t>
      </w:r>
      <w:r w:rsidR="00BF1383" w:rsidRPr="00486D7E">
        <w:rPr>
          <w:rFonts w:ascii="Arial" w:hAnsi="Arial" w:cs="Arial"/>
          <w:bCs/>
        </w:rPr>
        <w:t>1012.</w:t>
      </w:r>
    </w:p>
    <w:p w14:paraId="04018038" w14:textId="3E976074" w:rsidR="00BF1383" w:rsidRDefault="00C347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e31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r w:rsidR="00BF1383" w:rsidRPr="00486D7E">
        <w:rPr>
          <w:rFonts w:ascii="Arial" w:hAnsi="Arial" w:cs="Arial"/>
          <w:bCs/>
        </w:rPr>
        <w:t xml:space="preserve">Bigler ED, Stern Y. Traumatic brain injury and reserve. </w:t>
      </w:r>
      <w:proofErr w:type="spellStart"/>
      <w:r w:rsidR="00BF1383" w:rsidRPr="00486D7E">
        <w:rPr>
          <w:rFonts w:ascii="Arial" w:hAnsi="Arial" w:cs="Arial"/>
          <w:bCs/>
        </w:rPr>
        <w:t>Handb</w:t>
      </w:r>
      <w:proofErr w:type="spellEnd"/>
      <w:r w:rsidR="00BF1383" w:rsidRPr="00486D7E">
        <w:rPr>
          <w:rFonts w:ascii="Arial" w:hAnsi="Arial" w:cs="Arial"/>
          <w:bCs/>
        </w:rPr>
        <w:t xml:space="preserve"> Clin Neurol </w:t>
      </w:r>
      <w:proofErr w:type="gramStart"/>
      <w:r w:rsidR="00BF1383" w:rsidRPr="00486D7E">
        <w:rPr>
          <w:rFonts w:ascii="Arial" w:hAnsi="Arial" w:cs="Arial"/>
          <w:bCs/>
        </w:rPr>
        <w:t>2015;128:691</w:t>
      </w:r>
      <w:proofErr w:type="gramEnd"/>
      <w:r w:rsidR="00BF1383">
        <w:rPr>
          <w:rFonts w:ascii="Arial" w:hAnsi="Arial" w:cs="Arial"/>
          <w:bCs/>
        </w:rPr>
        <w:t>-</w:t>
      </w:r>
      <w:r w:rsidR="00BF1383" w:rsidRPr="00486D7E">
        <w:rPr>
          <w:rFonts w:ascii="Arial" w:hAnsi="Arial" w:cs="Arial"/>
          <w:bCs/>
        </w:rPr>
        <w:t>710.</w:t>
      </w:r>
    </w:p>
    <w:p w14:paraId="18CB479B" w14:textId="783FAABE" w:rsidR="00C34710" w:rsidRDefault="00C347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e32.</w:t>
      </w:r>
      <w:r>
        <w:rPr>
          <w:rFonts w:ascii="Arial" w:hAnsi="Arial" w:cs="Arial"/>
          <w:bCs/>
        </w:rPr>
        <w:tab/>
      </w:r>
      <w:proofErr w:type="spellStart"/>
      <w:r w:rsidRPr="00C34710">
        <w:rPr>
          <w:rFonts w:ascii="Arial" w:hAnsi="Arial" w:cs="Arial"/>
          <w:bCs/>
        </w:rPr>
        <w:t>Sumowski</w:t>
      </w:r>
      <w:proofErr w:type="spellEnd"/>
      <w:r w:rsidRPr="00C34710">
        <w:rPr>
          <w:rFonts w:ascii="Arial" w:hAnsi="Arial" w:cs="Arial"/>
          <w:bCs/>
        </w:rPr>
        <w:t xml:space="preserve"> JF, et al. Brain reserve and cognitive reserve in multiple sclerosis: what </w:t>
      </w:r>
      <w:proofErr w:type="gramStart"/>
      <w:r w:rsidRPr="00C34710">
        <w:rPr>
          <w:rFonts w:ascii="Arial" w:hAnsi="Arial" w:cs="Arial"/>
          <w:bCs/>
        </w:rPr>
        <w:t>you've</w:t>
      </w:r>
      <w:proofErr w:type="gramEnd"/>
      <w:r w:rsidRPr="00C34710">
        <w:rPr>
          <w:rFonts w:ascii="Arial" w:hAnsi="Arial" w:cs="Arial"/>
          <w:bCs/>
        </w:rPr>
        <w:t xml:space="preserve"> got and how you use it. Neurology 2013;80(24):2186-93.</w:t>
      </w:r>
    </w:p>
    <w:p w14:paraId="3D862173" w14:textId="1E4A4AD1" w:rsidR="00C34710" w:rsidRPr="00BC14D4" w:rsidRDefault="00C34710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e33.</w:t>
      </w:r>
      <w:r>
        <w:rPr>
          <w:rFonts w:ascii="Arial" w:hAnsi="Arial" w:cs="Arial"/>
          <w:bCs/>
        </w:rPr>
        <w:tab/>
      </w:r>
      <w:proofErr w:type="spellStart"/>
      <w:r w:rsidRPr="00C34710">
        <w:rPr>
          <w:rFonts w:ascii="Arial" w:hAnsi="Arial" w:cs="Arial"/>
          <w:bCs/>
        </w:rPr>
        <w:t>Sumowski</w:t>
      </w:r>
      <w:proofErr w:type="spellEnd"/>
      <w:r w:rsidRPr="00C34710">
        <w:rPr>
          <w:rFonts w:ascii="Arial" w:hAnsi="Arial" w:cs="Arial"/>
          <w:bCs/>
        </w:rPr>
        <w:t xml:space="preserve"> JF, et al. Brain reserve and cognitive reserve protect against cognitive decline over 4.5 years in MS. Neurology 2014;82(20):1776-83.</w:t>
      </w:r>
    </w:p>
    <w:p w14:paraId="3CBB195C" w14:textId="0AF19A20" w:rsidR="00EF705C" w:rsidRPr="00EF705C" w:rsidRDefault="00EF705C" w:rsidP="00EF705C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e.34.</w:t>
      </w:r>
      <w:r>
        <w:rPr>
          <w:rFonts w:ascii="Arial" w:hAnsi="Arial" w:cs="Arial"/>
          <w:bCs/>
        </w:rPr>
        <w:tab/>
      </w:r>
      <w:proofErr w:type="spellStart"/>
      <w:r w:rsidRPr="00EF705C">
        <w:rPr>
          <w:rFonts w:ascii="Arial" w:hAnsi="Arial" w:cs="Arial"/>
          <w:bCs/>
        </w:rPr>
        <w:t>Sumowski</w:t>
      </w:r>
      <w:proofErr w:type="spellEnd"/>
      <w:r w:rsidRPr="00EF705C">
        <w:rPr>
          <w:rFonts w:ascii="Arial" w:hAnsi="Arial" w:cs="Arial"/>
          <w:bCs/>
        </w:rPr>
        <w:t xml:space="preserve"> JF, et al. Intellectual enrichment lessens the effect of brain atrophy on learning and memory in multiple sclerosis Neurology 2010;74(24):1942-5.</w:t>
      </w:r>
    </w:p>
    <w:p w14:paraId="083D0961" w14:textId="77777777" w:rsidR="00EF705C" w:rsidRDefault="00EF705C" w:rsidP="00EF705C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e35.</w:t>
      </w:r>
      <w:r>
        <w:rPr>
          <w:rFonts w:ascii="Arial" w:hAnsi="Arial" w:cs="Arial"/>
          <w:bCs/>
        </w:rPr>
        <w:tab/>
      </w:r>
      <w:proofErr w:type="spellStart"/>
      <w:r w:rsidRPr="00EF705C">
        <w:rPr>
          <w:rFonts w:ascii="Arial" w:hAnsi="Arial" w:cs="Arial"/>
          <w:bCs/>
        </w:rPr>
        <w:t>Sumowski</w:t>
      </w:r>
      <w:proofErr w:type="spellEnd"/>
      <w:r w:rsidRPr="00EF705C">
        <w:rPr>
          <w:rFonts w:ascii="Arial" w:hAnsi="Arial" w:cs="Arial"/>
          <w:bCs/>
        </w:rPr>
        <w:t xml:space="preserve"> JF, Leavitt VM. Cognitive reserve in multiple sclerosis. </w:t>
      </w:r>
      <w:proofErr w:type="spellStart"/>
      <w:r w:rsidRPr="00EF705C">
        <w:rPr>
          <w:rFonts w:ascii="Arial" w:hAnsi="Arial" w:cs="Arial"/>
          <w:bCs/>
        </w:rPr>
        <w:t>Mult</w:t>
      </w:r>
      <w:proofErr w:type="spellEnd"/>
      <w:r w:rsidRPr="00EF705C">
        <w:rPr>
          <w:rFonts w:ascii="Arial" w:hAnsi="Arial" w:cs="Arial"/>
          <w:bCs/>
        </w:rPr>
        <w:t xml:space="preserve"> </w:t>
      </w:r>
      <w:proofErr w:type="spellStart"/>
      <w:r w:rsidRPr="00EF705C">
        <w:rPr>
          <w:rFonts w:ascii="Arial" w:hAnsi="Arial" w:cs="Arial"/>
          <w:bCs/>
        </w:rPr>
        <w:t>Scler</w:t>
      </w:r>
      <w:proofErr w:type="spellEnd"/>
      <w:r w:rsidRPr="00EF705C">
        <w:rPr>
          <w:rFonts w:ascii="Arial" w:hAnsi="Arial" w:cs="Arial"/>
          <w:bCs/>
        </w:rPr>
        <w:t>. 2013; 19(9):1122-7. E35</w:t>
      </w:r>
    </w:p>
    <w:p w14:paraId="71CACE2C" w14:textId="29FB2575" w:rsidR="00EF705C" w:rsidRDefault="00EF705C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</w:t>
      </w:r>
      <w:r w:rsidR="00E373F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EF705C">
        <w:rPr>
          <w:rFonts w:ascii="Arial" w:hAnsi="Arial" w:cs="Arial"/>
          <w:bCs/>
        </w:rPr>
        <w:t xml:space="preserve">Schwartz CE, et al. Cognitive </w:t>
      </w:r>
      <w:proofErr w:type="gramStart"/>
      <w:r w:rsidRPr="00EF705C">
        <w:rPr>
          <w:rFonts w:ascii="Arial" w:hAnsi="Arial" w:cs="Arial"/>
          <w:bCs/>
        </w:rPr>
        <w:t>reserve</w:t>
      </w:r>
      <w:proofErr w:type="gramEnd"/>
      <w:r w:rsidRPr="00EF705C">
        <w:rPr>
          <w:rFonts w:ascii="Arial" w:hAnsi="Arial" w:cs="Arial"/>
          <w:bCs/>
        </w:rPr>
        <w:t xml:space="preserve"> and patient-reported outcomes in multiple sclerosis. </w:t>
      </w:r>
      <w:proofErr w:type="spellStart"/>
      <w:r w:rsidRPr="00EF705C">
        <w:rPr>
          <w:rFonts w:ascii="Arial" w:hAnsi="Arial" w:cs="Arial"/>
          <w:bCs/>
        </w:rPr>
        <w:t>Mult</w:t>
      </w:r>
      <w:proofErr w:type="spellEnd"/>
      <w:r w:rsidRPr="00EF705C">
        <w:rPr>
          <w:rFonts w:ascii="Arial" w:hAnsi="Arial" w:cs="Arial"/>
          <w:bCs/>
        </w:rPr>
        <w:t xml:space="preserve"> </w:t>
      </w:r>
      <w:proofErr w:type="spellStart"/>
      <w:r w:rsidRPr="00EF705C">
        <w:rPr>
          <w:rFonts w:ascii="Arial" w:hAnsi="Arial" w:cs="Arial"/>
          <w:bCs/>
        </w:rPr>
        <w:t>Scler</w:t>
      </w:r>
      <w:proofErr w:type="spellEnd"/>
      <w:r w:rsidRPr="00EF705C">
        <w:rPr>
          <w:rFonts w:ascii="Arial" w:hAnsi="Arial" w:cs="Arial"/>
          <w:bCs/>
        </w:rPr>
        <w:t xml:space="preserve"> 2013;19(1):87-105</w:t>
      </w:r>
      <w:r>
        <w:rPr>
          <w:rFonts w:ascii="Arial" w:hAnsi="Arial" w:cs="Arial"/>
          <w:bCs/>
        </w:rPr>
        <w:t>.</w:t>
      </w:r>
    </w:p>
    <w:p w14:paraId="739543BE" w14:textId="71873BC7" w:rsidR="00EF705C" w:rsidRDefault="00EF705C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</w:t>
      </w:r>
      <w:r w:rsidR="00E373FB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</w:t>
      </w:r>
      <w:proofErr w:type="spellStart"/>
      <w:r w:rsidRPr="00EF705C">
        <w:rPr>
          <w:rFonts w:ascii="Arial" w:hAnsi="Arial" w:cs="Arial"/>
          <w:bCs/>
        </w:rPr>
        <w:t>Marrie</w:t>
      </w:r>
      <w:proofErr w:type="spellEnd"/>
      <w:r w:rsidRPr="00EF705C">
        <w:rPr>
          <w:rFonts w:ascii="Arial" w:hAnsi="Arial" w:cs="Arial"/>
          <w:bCs/>
        </w:rPr>
        <w:t xml:space="preserve"> RA et al. Vascular comorbidity is associated with more rapid disability progression in multiple sclerosis. Neurology 2010; 74:1041–7</w:t>
      </w:r>
      <w:r>
        <w:rPr>
          <w:rFonts w:ascii="Arial" w:hAnsi="Arial" w:cs="Arial"/>
          <w:bCs/>
        </w:rPr>
        <w:t>.</w:t>
      </w:r>
    </w:p>
    <w:p w14:paraId="7D2DE20F" w14:textId="5F3C0E2C" w:rsidR="00BF1383" w:rsidRDefault="00EF705C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e3</w:t>
      </w:r>
      <w:r w:rsidR="00E373FB">
        <w:rPr>
          <w:rFonts w:ascii="Arial" w:hAnsi="Arial" w:cs="Arial"/>
          <w:bCs/>
        </w:rPr>
        <w:t>8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proofErr w:type="spellStart"/>
      <w:r w:rsidR="00BF1383" w:rsidRPr="00486D7E">
        <w:rPr>
          <w:rFonts w:ascii="Arial" w:hAnsi="Arial" w:cs="Arial"/>
          <w:bCs/>
        </w:rPr>
        <w:t>Klaren</w:t>
      </w:r>
      <w:proofErr w:type="spellEnd"/>
      <w:r w:rsidR="00BF1383" w:rsidRPr="00486D7E">
        <w:rPr>
          <w:rFonts w:ascii="Arial" w:hAnsi="Arial" w:cs="Arial"/>
          <w:bCs/>
        </w:rPr>
        <w:t xml:space="preserve"> RE, Hubbard EA, </w:t>
      </w:r>
      <w:proofErr w:type="spellStart"/>
      <w:r w:rsidR="00BF1383" w:rsidRPr="00486D7E">
        <w:rPr>
          <w:rFonts w:ascii="Arial" w:hAnsi="Arial" w:cs="Arial"/>
          <w:bCs/>
        </w:rPr>
        <w:t>Motl</w:t>
      </w:r>
      <w:proofErr w:type="spellEnd"/>
      <w:r w:rsidR="00BF1383" w:rsidRPr="00486D7E">
        <w:rPr>
          <w:rFonts w:ascii="Arial" w:hAnsi="Arial" w:cs="Arial"/>
          <w:bCs/>
        </w:rPr>
        <w:t xml:space="preserve"> RW, </w:t>
      </w:r>
      <w:proofErr w:type="spellStart"/>
      <w:r w:rsidR="00BF1383" w:rsidRPr="00486D7E">
        <w:rPr>
          <w:rFonts w:ascii="Arial" w:hAnsi="Arial" w:cs="Arial"/>
          <w:bCs/>
        </w:rPr>
        <w:t>Pilutti</w:t>
      </w:r>
      <w:proofErr w:type="spellEnd"/>
      <w:r w:rsidR="00BF1383" w:rsidRPr="00486D7E">
        <w:rPr>
          <w:rFonts w:ascii="Arial" w:hAnsi="Arial" w:cs="Arial"/>
          <w:bCs/>
        </w:rPr>
        <w:t xml:space="preserve"> LA, Wetter NC, Sutton BP. Objectively measured physical activity is associated with brain volumetric measurements in multiple sclerosis. </w:t>
      </w:r>
      <w:proofErr w:type="spellStart"/>
      <w:r w:rsidR="00BF1383" w:rsidRPr="00486D7E">
        <w:rPr>
          <w:rFonts w:ascii="Arial" w:hAnsi="Arial" w:cs="Arial"/>
          <w:bCs/>
        </w:rPr>
        <w:t>Behav</w:t>
      </w:r>
      <w:proofErr w:type="spellEnd"/>
      <w:r w:rsidR="00BF1383" w:rsidRPr="00486D7E">
        <w:rPr>
          <w:rFonts w:ascii="Arial" w:hAnsi="Arial" w:cs="Arial"/>
          <w:bCs/>
        </w:rPr>
        <w:t xml:space="preserve"> Neurol </w:t>
      </w:r>
      <w:proofErr w:type="gramStart"/>
      <w:r w:rsidR="00BF1383" w:rsidRPr="00486D7E">
        <w:rPr>
          <w:rFonts w:ascii="Arial" w:hAnsi="Arial" w:cs="Arial"/>
          <w:bCs/>
        </w:rPr>
        <w:t>2015;2015:482536</w:t>
      </w:r>
      <w:proofErr w:type="gramEnd"/>
      <w:r w:rsidR="00BF1383">
        <w:rPr>
          <w:rFonts w:ascii="Arial" w:hAnsi="Arial" w:cs="Arial"/>
          <w:bCs/>
        </w:rPr>
        <w:t>.</w:t>
      </w:r>
    </w:p>
    <w:p w14:paraId="64466650" w14:textId="6630833A" w:rsidR="00BF1383" w:rsidRDefault="00EF705C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</w:t>
      </w:r>
      <w:r w:rsidR="00E373FB">
        <w:rPr>
          <w:rFonts w:ascii="Arial" w:hAnsi="Arial" w:cs="Arial"/>
          <w:bCs/>
        </w:rPr>
        <w:t>39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r w:rsidR="00BF1383" w:rsidRPr="00486D7E">
        <w:rPr>
          <w:rFonts w:ascii="Arial" w:hAnsi="Arial" w:cs="Arial"/>
          <w:bCs/>
        </w:rPr>
        <w:t xml:space="preserve">Schwartz CE, </w:t>
      </w:r>
      <w:proofErr w:type="spellStart"/>
      <w:r w:rsidR="00BF1383" w:rsidRPr="00486D7E">
        <w:rPr>
          <w:rFonts w:ascii="Arial" w:hAnsi="Arial" w:cs="Arial"/>
          <w:bCs/>
        </w:rPr>
        <w:t>Ayandeh</w:t>
      </w:r>
      <w:proofErr w:type="spellEnd"/>
      <w:r w:rsidR="00BF1383" w:rsidRPr="00486D7E">
        <w:rPr>
          <w:rFonts w:ascii="Arial" w:hAnsi="Arial" w:cs="Arial"/>
          <w:bCs/>
        </w:rPr>
        <w:t xml:space="preserve"> A, Ramanathan M, et al. Reserve-building activities in multiple sclerosis patients and healthy controls: a descriptive study. BMC Neurol </w:t>
      </w:r>
      <w:proofErr w:type="gramStart"/>
      <w:r w:rsidR="00BF1383" w:rsidRPr="00486D7E">
        <w:rPr>
          <w:rFonts w:ascii="Arial" w:hAnsi="Arial" w:cs="Arial"/>
          <w:bCs/>
        </w:rPr>
        <w:t>2015;15:135</w:t>
      </w:r>
      <w:proofErr w:type="gramEnd"/>
      <w:r w:rsidR="00BF1383">
        <w:rPr>
          <w:rFonts w:ascii="Arial" w:hAnsi="Arial" w:cs="Arial"/>
          <w:bCs/>
        </w:rPr>
        <w:t>.</w:t>
      </w:r>
    </w:p>
    <w:p w14:paraId="2C587082" w14:textId="77777777" w:rsidR="00E17E0F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e40.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F051D">
        <w:rPr>
          <w:rFonts w:ascii="Arial" w:eastAsia="Calibri" w:hAnsi="Arial" w:cs="Arial"/>
          <w:lang w:val="en-GB"/>
        </w:rPr>
        <w:t>Australian Government: Department of Health Therapeutic Goods Admini</w:t>
      </w:r>
      <w:r>
        <w:rPr>
          <w:rFonts w:ascii="Arial" w:eastAsia="Calibri" w:hAnsi="Arial" w:cs="Arial"/>
          <w:lang w:val="en-GB"/>
        </w:rPr>
        <w:t>s</w:t>
      </w:r>
      <w:r w:rsidRPr="005F051D">
        <w:rPr>
          <w:rFonts w:ascii="Arial" w:eastAsia="Calibri" w:hAnsi="Arial" w:cs="Arial"/>
          <w:lang w:val="en-GB"/>
        </w:rPr>
        <w:t xml:space="preserve">tration: Australian prescription medicine decision summaries - </w:t>
      </w:r>
      <w:r>
        <w:rPr>
          <w:rFonts w:ascii="Arial" w:eastAsia="Calibri" w:hAnsi="Arial" w:cs="Arial"/>
          <w:lang w:val="en-GB"/>
        </w:rPr>
        <w:t>Ocrevus</w:t>
      </w:r>
      <w:r w:rsidRPr="005F051D">
        <w:rPr>
          <w:rFonts w:ascii="Arial" w:eastAsia="Calibri" w:hAnsi="Arial" w:cs="Arial"/>
          <w:lang w:val="en-GB"/>
        </w:rPr>
        <w:t>.</w:t>
      </w:r>
      <w:r>
        <w:rPr>
          <w:rFonts w:ascii="Arial" w:hAnsi="Arial" w:cs="Arial"/>
          <w:bCs/>
        </w:rPr>
        <w:tab/>
      </w:r>
      <w:hyperlink r:id="rId7" w:history="1">
        <w:r w:rsidRPr="003804CA">
          <w:rPr>
            <w:rStyle w:val="Hyperlink"/>
            <w:rFonts w:ascii="Arial" w:hAnsi="Arial" w:cs="Arial"/>
            <w:bCs/>
          </w:rPr>
          <w:t>https://www.ebs.tga.gov.au/ebs/picmi/picmirepository.nsf/pdf?OpenAgent&amp;id=CP-2017-PI-02089-1</w:t>
        </w:r>
      </w:hyperlink>
      <w:r>
        <w:rPr>
          <w:rFonts w:ascii="Arial" w:hAnsi="Arial" w:cs="Arial"/>
          <w:bCs/>
        </w:rPr>
        <w:t xml:space="preserve"> (2017). </w:t>
      </w:r>
      <w:bookmarkStart w:id="2" w:name="_Hlk52795319"/>
      <w:r>
        <w:rPr>
          <w:rFonts w:ascii="Arial" w:hAnsi="Arial" w:cs="Arial"/>
          <w:bCs/>
        </w:rPr>
        <w:t xml:space="preserve">Accessed October </w:t>
      </w:r>
      <w:proofErr w:type="gramStart"/>
      <w:r>
        <w:rPr>
          <w:rFonts w:ascii="Arial" w:hAnsi="Arial" w:cs="Arial"/>
          <w:bCs/>
        </w:rPr>
        <w:t>05</w:t>
      </w:r>
      <w:proofErr w:type="gramEnd"/>
      <w:r>
        <w:rPr>
          <w:rFonts w:ascii="Arial" w:hAnsi="Arial" w:cs="Arial"/>
          <w:bCs/>
        </w:rPr>
        <w:t xml:space="preserve"> 2020.</w:t>
      </w:r>
      <w:bookmarkEnd w:id="2"/>
    </w:p>
    <w:p w14:paraId="57E0FEFF" w14:textId="1A5E45D0" w:rsidR="00E17E0F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e41.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F051D">
        <w:rPr>
          <w:rFonts w:ascii="Arial" w:eastAsia="Calibri" w:hAnsi="Arial" w:cs="Arial"/>
          <w:noProof/>
        </w:rPr>
        <w:t xml:space="preserve">European Medicines Agency: </w:t>
      </w:r>
      <w:r>
        <w:rPr>
          <w:rFonts w:ascii="Arial" w:eastAsia="Calibri" w:hAnsi="Arial" w:cs="Arial"/>
          <w:noProof/>
        </w:rPr>
        <w:t>Ocrevus</w:t>
      </w:r>
      <w:r w:rsidRPr="005F051D">
        <w:rPr>
          <w:rFonts w:ascii="Arial" w:eastAsia="Calibri" w:hAnsi="Arial" w:cs="Arial"/>
          <w:noProof/>
        </w:rPr>
        <w:t>: EPAR - Product information.</w:t>
      </w:r>
      <w:r>
        <w:rPr>
          <w:rFonts w:ascii="Arial" w:eastAsia="Calibri" w:hAnsi="Arial" w:cs="Arial"/>
          <w:noProof/>
        </w:rPr>
        <w:t xml:space="preserve"> </w:t>
      </w:r>
      <w:hyperlink r:id="rId8" w:history="1">
        <w:r w:rsidRPr="003804CA">
          <w:rPr>
            <w:rStyle w:val="Hyperlink"/>
            <w:rFonts w:ascii="Arial" w:hAnsi="Arial" w:cs="Arial"/>
            <w:bCs/>
          </w:rPr>
          <w:t>https://www.ema.europa.eu/en/documents/product-information/ocrevus-epar-product-information_en.pdf</w:t>
        </w:r>
      </w:hyperlink>
      <w:r>
        <w:rPr>
          <w:rFonts w:ascii="Arial" w:hAnsi="Arial" w:cs="Arial"/>
          <w:bCs/>
        </w:rPr>
        <w:t xml:space="preserve"> (2018). </w:t>
      </w:r>
      <w:r w:rsidRPr="005F051D">
        <w:rPr>
          <w:rFonts w:ascii="Arial" w:hAnsi="Arial" w:cs="Arial"/>
          <w:bCs/>
        </w:rPr>
        <w:t xml:space="preserve">Accessed October </w:t>
      </w:r>
      <w:proofErr w:type="gramStart"/>
      <w:r w:rsidRPr="005F051D">
        <w:rPr>
          <w:rFonts w:ascii="Arial" w:hAnsi="Arial" w:cs="Arial"/>
          <w:bCs/>
        </w:rPr>
        <w:t>05</w:t>
      </w:r>
      <w:proofErr w:type="gramEnd"/>
      <w:r w:rsidRPr="005F051D">
        <w:rPr>
          <w:rFonts w:ascii="Arial" w:hAnsi="Arial" w:cs="Arial"/>
          <w:bCs/>
        </w:rPr>
        <w:t xml:space="preserve"> 2020.</w:t>
      </w:r>
    </w:p>
    <w:p w14:paraId="6DA35952" w14:textId="77777777" w:rsidR="00E17E0F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3" w:name="_Hlk52795681"/>
      <w:r>
        <w:rPr>
          <w:rFonts w:ascii="Arial" w:hAnsi="Arial" w:cs="Arial"/>
          <w:bCs/>
        </w:rPr>
        <w:t xml:space="preserve">Genentech USA, Inc.: Ocrevus – prescribing information. </w:t>
      </w:r>
      <w:hyperlink r:id="rId9" w:history="1">
        <w:r w:rsidRPr="00642C61">
          <w:rPr>
            <w:rStyle w:val="Hyperlink"/>
            <w:rFonts w:ascii="Arial" w:hAnsi="Arial" w:cs="Arial"/>
            <w:bCs/>
          </w:rPr>
          <w:t>https://www.gene.com/download/pdf/ocrevus_prescribing.pdf</w:t>
        </w:r>
      </w:hyperlink>
      <w:r>
        <w:rPr>
          <w:rFonts w:ascii="Arial" w:hAnsi="Arial" w:cs="Arial"/>
          <w:bCs/>
        </w:rPr>
        <w:t xml:space="preserve"> (2017). Accessed October </w:t>
      </w:r>
      <w:proofErr w:type="gramStart"/>
      <w:r>
        <w:rPr>
          <w:rFonts w:ascii="Arial" w:hAnsi="Arial" w:cs="Arial"/>
          <w:bCs/>
        </w:rPr>
        <w:t>05</w:t>
      </w:r>
      <w:proofErr w:type="gramEnd"/>
      <w:r>
        <w:rPr>
          <w:rFonts w:ascii="Arial" w:hAnsi="Arial" w:cs="Arial"/>
          <w:bCs/>
        </w:rPr>
        <w:t xml:space="preserve"> 2020.</w:t>
      </w:r>
      <w:bookmarkEnd w:id="3"/>
    </w:p>
    <w:p w14:paraId="2EA69314" w14:textId="4B6B24DB" w:rsidR="00E17E0F" w:rsidRPr="005F051D" w:rsidRDefault="00E17E0F" w:rsidP="00E17E0F">
      <w:pPr>
        <w:pStyle w:val="EndNoteBibliography"/>
        <w:spacing w:after="360"/>
        <w:rPr>
          <w:rFonts w:eastAsia="Calibri"/>
        </w:rPr>
      </w:pPr>
      <w:r>
        <w:rPr>
          <w:bCs/>
        </w:rPr>
        <w:t>e43.</w:t>
      </w:r>
      <w:r>
        <w:rPr>
          <w:bCs/>
        </w:rPr>
        <w:tab/>
      </w:r>
      <w:r>
        <w:rPr>
          <w:bCs/>
        </w:rPr>
        <w:tab/>
      </w:r>
      <w:bookmarkStart w:id="4" w:name="_Hlk52795336"/>
      <w:r w:rsidRPr="005F051D">
        <w:rPr>
          <w:rFonts w:eastAsia="Calibri"/>
        </w:rPr>
        <w:t>European Medicines Agency: Mayzent: EPAR - Product information.</w:t>
      </w:r>
      <w:bookmarkEnd w:id="4"/>
      <w:r w:rsidRPr="005F051D">
        <w:rPr>
          <w:rFonts w:eastAsia="Calibri"/>
        </w:rPr>
        <w:t xml:space="preserve"> </w:t>
      </w:r>
      <w:hyperlink r:id="rId10" w:history="1">
        <w:r w:rsidRPr="00E17E0F">
          <w:rPr>
            <w:rFonts w:eastAsia="Calibri"/>
            <w:color w:val="4472C4" w:themeColor="accent1"/>
            <w:u w:val="single"/>
          </w:rPr>
          <w:t>https://www.ema.europa.eu/en/documents/product-information/m</w:t>
        </w:r>
        <w:r w:rsidRPr="00E17E0F">
          <w:rPr>
            <w:rFonts w:eastAsia="Calibri"/>
            <w:color w:val="4472C4" w:themeColor="accent1"/>
            <w:u w:val="single"/>
          </w:rPr>
          <w:t>a</w:t>
        </w:r>
        <w:r w:rsidRPr="00E17E0F">
          <w:rPr>
            <w:rFonts w:eastAsia="Calibri"/>
            <w:color w:val="4472C4" w:themeColor="accent1"/>
            <w:u w:val="single"/>
          </w:rPr>
          <w:t>yzent-epar-product-information_en.pdf</w:t>
        </w:r>
      </w:hyperlink>
      <w:r w:rsidRPr="00E17E0F">
        <w:rPr>
          <w:rFonts w:eastAsia="Calibri"/>
          <w:color w:val="4472C4" w:themeColor="accent1"/>
        </w:rPr>
        <w:t xml:space="preserve"> </w:t>
      </w:r>
      <w:r w:rsidRPr="005F051D">
        <w:rPr>
          <w:rFonts w:eastAsia="Calibri"/>
        </w:rPr>
        <w:t xml:space="preserve">(2020). Accessed </w:t>
      </w:r>
      <w:r>
        <w:rPr>
          <w:rFonts w:eastAsia="Calibri"/>
        </w:rPr>
        <w:t>October 05</w:t>
      </w:r>
      <w:r w:rsidRPr="005F051D">
        <w:rPr>
          <w:rFonts w:eastAsia="Calibri"/>
        </w:rPr>
        <w:t xml:space="preserve"> 2020.</w:t>
      </w:r>
    </w:p>
    <w:p w14:paraId="47653C82" w14:textId="48058F87" w:rsidR="00E17E0F" w:rsidRPr="005F051D" w:rsidRDefault="00E17E0F" w:rsidP="00E17E0F">
      <w:pPr>
        <w:pStyle w:val="EndNoteBibliography"/>
        <w:spacing w:after="360"/>
      </w:pPr>
      <w:r>
        <w:rPr>
          <w:bCs/>
        </w:rPr>
        <w:t>e44.</w:t>
      </w:r>
      <w:r>
        <w:rPr>
          <w:bCs/>
        </w:rPr>
        <w:tab/>
      </w:r>
      <w:r>
        <w:rPr>
          <w:bCs/>
        </w:rPr>
        <w:tab/>
      </w:r>
      <w:r w:rsidRPr="00435C36">
        <w:t>Novartis Pharmaceuticals Corporation: Mayzent</w:t>
      </w:r>
      <w:r w:rsidRPr="00435C36">
        <w:rPr>
          <w:vertAlign w:val="superscript"/>
        </w:rPr>
        <w:t>®</w:t>
      </w:r>
      <w:r w:rsidRPr="00435C36">
        <w:t xml:space="preserve"> – prescribing information. </w:t>
      </w:r>
      <w:hyperlink r:id="rId11" w:history="1">
        <w:r w:rsidRPr="00435C36">
          <w:rPr>
            <w:rStyle w:val="Hyperlink"/>
          </w:rPr>
          <w:t>https://www.pharma.us.novartis.com/sites/www.pharma.u</w:t>
        </w:r>
        <w:r w:rsidRPr="00435C36">
          <w:rPr>
            <w:rStyle w:val="Hyperlink"/>
          </w:rPr>
          <w:t>s</w:t>
        </w:r>
        <w:r w:rsidRPr="00435C36">
          <w:rPr>
            <w:rStyle w:val="Hyperlink"/>
          </w:rPr>
          <w:t>.novartis.com/files/mayzent.pdf</w:t>
        </w:r>
      </w:hyperlink>
      <w:r w:rsidRPr="00435C36">
        <w:t xml:space="preserve"> (2019). Accessed </w:t>
      </w:r>
      <w:r>
        <w:t>October 05 2020</w:t>
      </w:r>
      <w:r w:rsidRPr="00435C36">
        <w:t>.</w:t>
      </w:r>
    </w:p>
    <w:p w14:paraId="11CF23B1" w14:textId="7E05C2FF" w:rsidR="00E17E0F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e45.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5" w:name="_Hlk52795086"/>
      <w:r w:rsidRPr="005F051D">
        <w:rPr>
          <w:rFonts w:ascii="Arial" w:eastAsia="Calibri" w:hAnsi="Arial" w:cs="Arial"/>
          <w:lang w:val="en-GB"/>
        </w:rPr>
        <w:t>Australian Government: Department of Health Therapeutic Goods Admini</w:t>
      </w:r>
      <w:r>
        <w:rPr>
          <w:rFonts w:ascii="Arial" w:eastAsia="Calibri" w:hAnsi="Arial" w:cs="Arial"/>
          <w:lang w:val="en-GB"/>
        </w:rPr>
        <w:t>s</w:t>
      </w:r>
      <w:r w:rsidRPr="005F051D">
        <w:rPr>
          <w:rFonts w:ascii="Arial" w:eastAsia="Calibri" w:hAnsi="Arial" w:cs="Arial"/>
          <w:lang w:val="en-GB"/>
        </w:rPr>
        <w:t xml:space="preserve">tration: Australian prescription medicine decision summaries - Mayzent. </w:t>
      </w:r>
      <w:bookmarkEnd w:id="5"/>
      <w:r w:rsidRPr="005F051D">
        <w:rPr>
          <w:rFonts w:ascii="Arial" w:eastAsia="Calibri" w:hAnsi="Arial" w:cs="Arial"/>
          <w:lang w:val="en-GB"/>
        </w:rPr>
        <w:fldChar w:fldCharType="begin"/>
      </w:r>
      <w:r w:rsidRPr="005F051D">
        <w:rPr>
          <w:rFonts w:ascii="Arial" w:eastAsia="Calibri" w:hAnsi="Arial" w:cs="Arial"/>
          <w:lang w:val="en-GB"/>
        </w:rPr>
        <w:instrText xml:space="preserve"> HYPERLINK "https://www.tga.gov.au/apm-summary/mayzent" </w:instrText>
      </w:r>
      <w:r w:rsidRPr="005F051D">
        <w:rPr>
          <w:rFonts w:ascii="Arial" w:eastAsia="Calibri" w:hAnsi="Arial" w:cs="Arial"/>
          <w:lang w:val="en-GB"/>
        </w:rPr>
        <w:fldChar w:fldCharType="separate"/>
      </w:r>
      <w:r w:rsidRPr="00E17E0F">
        <w:rPr>
          <w:rFonts w:ascii="Arial" w:eastAsia="Calibri" w:hAnsi="Arial" w:cs="Arial"/>
          <w:color w:val="4472C4" w:themeColor="accent1"/>
          <w:u w:val="single"/>
          <w:lang w:val="en-GB"/>
        </w:rPr>
        <w:t>https://www.tga.gov.au/apm-summ</w:t>
      </w:r>
      <w:r w:rsidRPr="00E17E0F">
        <w:rPr>
          <w:rFonts w:ascii="Arial" w:eastAsia="Calibri" w:hAnsi="Arial" w:cs="Arial"/>
          <w:color w:val="4472C4" w:themeColor="accent1"/>
          <w:u w:val="single"/>
          <w:lang w:val="en-GB"/>
        </w:rPr>
        <w:t>a</w:t>
      </w:r>
      <w:r w:rsidRPr="00E17E0F">
        <w:rPr>
          <w:rFonts w:ascii="Arial" w:eastAsia="Calibri" w:hAnsi="Arial" w:cs="Arial"/>
          <w:color w:val="4472C4" w:themeColor="accent1"/>
          <w:u w:val="single"/>
          <w:lang w:val="en-GB"/>
        </w:rPr>
        <w:t>ry/mayzen</w:t>
      </w:r>
      <w:r w:rsidRPr="005F051D">
        <w:rPr>
          <w:rFonts w:ascii="Arial" w:eastAsia="Calibri" w:hAnsi="Arial" w:cs="Arial"/>
          <w:color w:val="0000FF"/>
          <w:u w:val="single"/>
          <w:lang w:val="en-GB"/>
        </w:rPr>
        <w:t>t</w:t>
      </w:r>
      <w:r w:rsidRPr="005F051D">
        <w:rPr>
          <w:rFonts w:ascii="Arial" w:eastAsia="Calibri" w:hAnsi="Arial" w:cs="Arial"/>
          <w:color w:val="0000FF"/>
          <w:u w:val="single"/>
          <w:lang w:val="en-GB"/>
        </w:rPr>
        <w:fldChar w:fldCharType="end"/>
      </w:r>
      <w:r w:rsidRPr="005F051D">
        <w:rPr>
          <w:rFonts w:ascii="Arial" w:eastAsia="Calibri" w:hAnsi="Arial" w:cs="Arial"/>
          <w:lang w:val="en-GB"/>
        </w:rPr>
        <w:t xml:space="preserve"> (2019). Accessed </w:t>
      </w:r>
      <w:r>
        <w:rPr>
          <w:rFonts w:ascii="Arial" w:eastAsia="Calibri" w:hAnsi="Arial" w:cs="Arial"/>
          <w:lang w:val="en-GB"/>
        </w:rPr>
        <w:t xml:space="preserve">October </w:t>
      </w:r>
      <w:proofErr w:type="gramStart"/>
      <w:r>
        <w:rPr>
          <w:rFonts w:ascii="Arial" w:eastAsia="Calibri" w:hAnsi="Arial" w:cs="Arial"/>
          <w:lang w:val="en-GB"/>
        </w:rPr>
        <w:t>05</w:t>
      </w:r>
      <w:proofErr w:type="gramEnd"/>
      <w:r w:rsidRPr="005F051D">
        <w:rPr>
          <w:rFonts w:ascii="Arial" w:eastAsia="Calibri" w:hAnsi="Arial" w:cs="Arial"/>
          <w:lang w:val="en-GB"/>
        </w:rPr>
        <w:t xml:space="preserve"> 2020.</w:t>
      </w:r>
    </w:p>
    <w:p w14:paraId="5298F652" w14:textId="6E865B0A" w:rsidR="00E17E0F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e46.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F051D">
        <w:rPr>
          <w:rFonts w:ascii="Arial" w:eastAsia="Calibri" w:hAnsi="Arial" w:cs="Arial"/>
          <w:lang w:val="en-GB"/>
        </w:rPr>
        <w:t xml:space="preserve">Novartis Pharma KK: Novartis receives simultaneous approval for five new products from Japanese Ministry of Health, Labour and Welfare, offering Japanese patients a broad range of novel treatment options. </w:t>
      </w:r>
      <w:hyperlink r:id="rId12" w:history="1">
        <w:r w:rsidRPr="00E17E0F">
          <w:rPr>
            <w:rFonts w:ascii="Arial" w:eastAsia="Calibri" w:hAnsi="Arial" w:cs="Arial"/>
            <w:color w:val="4472C4" w:themeColor="accent1"/>
            <w:u w:val="single"/>
            <w:lang w:val="en-GB"/>
          </w:rPr>
          <w:t>https://ww</w:t>
        </w:r>
        <w:r w:rsidRPr="00E17E0F">
          <w:rPr>
            <w:rFonts w:ascii="Arial" w:eastAsia="Calibri" w:hAnsi="Arial" w:cs="Arial"/>
            <w:color w:val="4472C4" w:themeColor="accent1"/>
            <w:u w:val="single"/>
            <w:lang w:val="en-GB"/>
          </w:rPr>
          <w:t>w</w:t>
        </w:r>
        <w:r w:rsidRPr="00E17E0F">
          <w:rPr>
            <w:rFonts w:ascii="Arial" w:eastAsia="Calibri" w:hAnsi="Arial" w:cs="Arial"/>
            <w:color w:val="4472C4" w:themeColor="accent1"/>
            <w:u w:val="single"/>
            <w:lang w:val="en-GB"/>
          </w:rPr>
          <w:t>.novartis.com/news/media-releases/novartis-receives-simultaneous-approval-five-new-products-from-japanese-ministry-health-labour-and-welfare-offering-japanese-patients-broad-range-novel</w:t>
        </w:r>
      </w:hyperlink>
      <w:r w:rsidRPr="005F051D">
        <w:rPr>
          <w:rFonts w:ascii="Arial" w:eastAsia="Calibri" w:hAnsi="Arial" w:cs="Arial"/>
          <w:lang w:val="en-GB"/>
        </w:rPr>
        <w:t xml:space="preserve"> (2020). Accessed </w:t>
      </w:r>
      <w:r>
        <w:rPr>
          <w:rFonts w:ascii="Arial" w:eastAsia="Calibri" w:hAnsi="Arial" w:cs="Arial"/>
          <w:lang w:val="en-GB"/>
        </w:rPr>
        <w:t xml:space="preserve">October </w:t>
      </w:r>
      <w:proofErr w:type="gramStart"/>
      <w:r>
        <w:rPr>
          <w:rFonts w:ascii="Arial" w:eastAsia="Calibri" w:hAnsi="Arial" w:cs="Arial"/>
          <w:lang w:val="en-GB"/>
        </w:rPr>
        <w:t>05</w:t>
      </w:r>
      <w:proofErr w:type="gramEnd"/>
      <w:r w:rsidRPr="005F051D">
        <w:rPr>
          <w:rFonts w:ascii="Arial" w:eastAsia="Calibri" w:hAnsi="Arial" w:cs="Arial"/>
          <w:lang w:val="en-GB"/>
        </w:rPr>
        <w:t xml:space="preserve"> 2020.</w:t>
      </w:r>
    </w:p>
    <w:p w14:paraId="512E8A65" w14:textId="4325E682" w:rsidR="00E17E0F" w:rsidRPr="00BC14D4" w:rsidRDefault="00E17E0F" w:rsidP="00E17E0F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e47.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EMD Serono: </w:t>
      </w:r>
      <w:proofErr w:type="spellStart"/>
      <w:r>
        <w:rPr>
          <w:rFonts w:ascii="Arial" w:hAnsi="Arial" w:cs="Arial"/>
          <w:bCs/>
        </w:rPr>
        <w:t>Mavenclad</w:t>
      </w:r>
      <w:proofErr w:type="spellEnd"/>
      <w:r>
        <w:rPr>
          <w:rFonts w:ascii="Arial" w:hAnsi="Arial" w:cs="Arial"/>
          <w:bCs/>
        </w:rPr>
        <w:t xml:space="preserve"> – prescribing information. </w:t>
      </w:r>
      <w:hyperlink r:id="rId13" w:history="1">
        <w:r w:rsidRPr="003804CA">
          <w:rPr>
            <w:rStyle w:val="Hyperlink"/>
            <w:rFonts w:ascii="Arial" w:hAnsi="Arial" w:cs="Arial"/>
            <w:bCs/>
          </w:rPr>
          <w:t>https://www.emdserono.com/us-en/pi/mavenclad-pi.pdf</w:t>
        </w:r>
      </w:hyperlink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(2019). Accessed October </w:t>
      </w:r>
      <w:proofErr w:type="gramStart"/>
      <w:r>
        <w:rPr>
          <w:rFonts w:ascii="Arial" w:hAnsi="Arial" w:cs="Arial"/>
          <w:bCs/>
        </w:rPr>
        <w:t>05</w:t>
      </w:r>
      <w:proofErr w:type="gramEnd"/>
      <w:r>
        <w:rPr>
          <w:rFonts w:ascii="Arial" w:hAnsi="Arial" w:cs="Arial"/>
          <w:bCs/>
        </w:rPr>
        <w:t xml:space="preserve"> 2020.</w:t>
      </w:r>
    </w:p>
    <w:p w14:paraId="7BCFF77B" w14:textId="7A1D03ED" w:rsidR="00BF1383" w:rsidRDefault="00E60E39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</w:t>
      </w:r>
      <w:r w:rsidR="00E17E0F">
        <w:rPr>
          <w:rFonts w:ascii="Arial" w:hAnsi="Arial" w:cs="Arial"/>
          <w:bCs/>
        </w:rPr>
        <w:t>8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r w:rsidR="00BF1383" w:rsidRPr="00486D7E">
        <w:rPr>
          <w:rFonts w:ascii="Arial" w:hAnsi="Arial" w:cs="Arial"/>
          <w:bCs/>
        </w:rPr>
        <w:t xml:space="preserve">Thompson AJ, </w:t>
      </w:r>
      <w:proofErr w:type="spellStart"/>
      <w:r w:rsidR="00BF1383" w:rsidRPr="00486D7E">
        <w:rPr>
          <w:rFonts w:ascii="Arial" w:hAnsi="Arial" w:cs="Arial"/>
          <w:bCs/>
        </w:rPr>
        <w:t>Banwell</w:t>
      </w:r>
      <w:proofErr w:type="spellEnd"/>
      <w:r w:rsidR="00BF1383" w:rsidRPr="00486D7E">
        <w:rPr>
          <w:rFonts w:ascii="Arial" w:hAnsi="Arial" w:cs="Arial"/>
          <w:bCs/>
        </w:rPr>
        <w:t xml:space="preserve"> BL, </w:t>
      </w:r>
      <w:proofErr w:type="spellStart"/>
      <w:r w:rsidR="00BF1383" w:rsidRPr="00486D7E">
        <w:rPr>
          <w:rFonts w:ascii="Arial" w:hAnsi="Arial" w:cs="Arial"/>
          <w:bCs/>
        </w:rPr>
        <w:t>Barkhof</w:t>
      </w:r>
      <w:proofErr w:type="spellEnd"/>
      <w:r w:rsidR="00BF1383" w:rsidRPr="00486D7E">
        <w:rPr>
          <w:rFonts w:ascii="Arial" w:hAnsi="Arial" w:cs="Arial"/>
          <w:bCs/>
        </w:rPr>
        <w:t xml:space="preserve"> F, et al. Diagnosis of multiple sclerosis: 2017 revisions of the McDonald criteria. Lancet Neurol </w:t>
      </w:r>
      <w:proofErr w:type="gramStart"/>
      <w:r w:rsidR="00BF1383" w:rsidRPr="00486D7E">
        <w:rPr>
          <w:rFonts w:ascii="Arial" w:hAnsi="Arial" w:cs="Arial"/>
          <w:bCs/>
        </w:rPr>
        <w:t>2018;17:162</w:t>
      </w:r>
      <w:proofErr w:type="gramEnd"/>
      <w:r w:rsidR="00BF1383">
        <w:rPr>
          <w:rFonts w:ascii="Arial" w:hAnsi="Arial" w:cs="Arial"/>
          <w:bCs/>
        </w:rPr>
        <w:t>-</w:t>
      </w:r>
      <w:r w:rsidR="00BF1383" w:rsidRPr="00486D7E">
        <w:rPr>
          <w:rFonts w:ascii="Arial" w:hAnsi="Arial" w:cs="Arial"/>
          <w:bCs/>
        </w:rPr>
        <w:t>173</w:t>
      </w:r>
      <w:r w:rsidR="00BF1383">
        <w:rPr>
          <w:rFonts w:ascii="Arial" w:hAnsi="Arial" w:cs="Arial"/>
          <w:bCs/>
        </w:rPr>
        <w:t>.</w:t>
      </w:r>
    </w:p>
    <w:p w14:paraId="74562384" w14:textId="462CA125" w:rsidR="00BF1383" w:rsidRPr="00BC14D4" w:rsidRDefault="00E60E39" w:rsidP="00BF1383">
      <w:pPr>
        <w:spacing w:after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e4</w:t>
      </w:r>
      <w:r w:rsidR="00E17E0F">
        <w:rPr>
          <w:rFonts w:ascii="Arial" w:hAnsi="Arial" w:cs="Arial"/>
          <w:bCs/>
        </w:rPr>
        <w:t>9</w:t>
      </w:r>
      <w:r w:rsidR="00BF1383">
        <w:rPr>
          <w:rFonts w:ascii="Arial" w:hAnsi="Arial" w:cs="Arial"/>
          <w:bCs/>
        </w:rPr>
        <w:t>.</w:t>
      </w:r>
      <w:r w:rsidR="00BF1383">
        <w:rPr>
          <w:rFonts w:ascii="Arial" w:hAnsi="Arial" w:cs="Arial"/>
          <w:bCs/>
        </w:rPr>
        <w:tab/>
      </w:r>
      <w:r w:rsidR="00BF1383" w:rsidRPr="00486D7E">
        <w:rPr>
          <w:rFonts w:ascii="Arial" w:hAnsi="Arial" w:cs="Arial"/>
          <w:bCs/>
        </w:rPr>
        <w:t xml:space="preserve">Hunter SF, Bowen JD, </w:t>
      </w:r>
      <w:proofErr w:type="spellStart"/>
      <w:r w:rsidR="00BF1383" w:rsidRPr="00486D7E">
        <w:rPr>
          <w:rFonts w:ascii="Arial" w:hAnsi="Arial" w:cs="Arial"/>
          <w:bCs/>
        </w:rPr>
        <w:t>Reder</w:t>
      </w:r>
      <w:proofErr w:type="spellEnd"/>
      <w:r w:rsidR="00BF1383" w:rsidRPr="00486D7E">
        <w:rPr>
          <w:rFonts w:ascii="Arial" w:hAnsi="Arial" w:cs="Arial"/>
          <w:bCs/>
        </w:rPr>
        <w:t xml:space="preserve"> AT. The direct effects of fingolimod in the central nervous system: implications for relapsing multiple sclerosis. CNS Drugs </w:t>
      </w:r>
      <w:proofErr w:type="gramStart"/>
      <w:r w:rsidR="00BF1383" w:rsidRPr="00486D7E">
        <w:rPr>
          <w:rFonts w:ascii="Arial" w:hAnsi="Arial" w:cs="Arial"/>
          <w:bCs/>
        </w:rPr>
        <w:t>2016;30:135</w:t>
      </w:r>
      <w:proofErr w:type="gramEnd"/>
      <w:r w:rsidR="00BF1383">
        <w:rPr>
          <w:rFonts w:ascii="Arial" w:hAnsi="Arial" w:cs="Arial"/>
          <w:bCs/>
        </w:rPr>
        <w:t>-</w:t>
      </w:r>
      <w:r w:rsidR="00BF1383" w:rsidRPr="00486D7E">
        <w:rPr>
          <w:rFonts w:ascii="Arial" w:hAnsi="Arial" w:cs="Arial"/>
          <w:bCs/>
        </w:rPr>
        <w:t>147</w:t>
      </w:r>
      <w:r w:rsidR="00BF1383">
        <w:rPr>
          <w:rFonts w:ascii="Arial" w:hAnsi="Arial" w:cs="Arial"/>
          <w:bCs/>
        </w:rPr>
        <w:t>.</w:t>
      </w:r>
    </w:p>
    <w:p w14:paraId="0D0A5DF6" w14:textId="77777777" w:rsidR="00D22BCF" w:rsidRDefault="00D22BCF"/>
    <w:sectPr w:rsidR="00D2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00C8" w14:textId="77777777" w:rsidR="00B40F0B" w:rsidRDefault="00B40F0B" w:rsidP="00B40F0B">
      <w:pPr>
        <w:spacing w:after="0" w:line="240" w:lineRule="auto"/>
      </w:pPr>
      <w:r>
        <w:separator/>
      </w:r>
    </w:p>
  </w:endnote>
  <w:endnote w:type="continuationSeparator" w:id="0">
    <w:p w14:paraId="37CECC10" w14:textId="77777777" w:rsidR="00B40F0B" w:rsidRDefault="00B40F0B" w:rsidP="00B4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BE77" w14:textId="77777777" w:rsidR="00B40F0B" w:rsidRDefault="00B40F0B" w:rsidP="00B40F0B">
      <w:pPr>
        <w:spacing w:after="0" w:line="240" w:lineRule="auto"/>
      </w:pPr>
      <w:r>
        <w:separator/>
      </w:r>
    </w:p>
  </w:footnote>
  <w:footnote w:type="continuationSeparator" w:id="0">
    <w:p w14:paraId="0B2052BE" w14:textId="77777777" w:rsidR="00B40F0B" w:rsidRDefault="00B40F0B" w:rsidP="00B4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2F8"/>
    <w:multiLevelType w:val="hybridMultilevel"/>
    <w:tmpl w:val="6C04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594"/>
    <w:multiLevelType w:val="hybridMultilevel"/>
    <w:tmpl w:val="FAEE047A"/>
    <w:lvl w:ilvl="0" w:tplc="ECD8C7CE">
      <w:start w:val="1"/>
      <w:numFmt w:val="bullet"/>
      <w:lvlText w:val="–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0DB80100"/>
    <w:multiLevelType w:val="hybridMultilevel"/>
    <w:tmpl w:val="354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60A2"/>
    <w:multiLevelType w:val="hybridMultilevel"/>
    <w:tmpl w:val="F21EFA7A"/>
    <w:lvl w:ilvl="0" w:tplc="ECD8C7CE">
      <w:start w:val="1"/>
      <w:numFmt w:val="bullet"/>
      <w:lvlText w:val="–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35BD4EE9"/>
    <w:multiLevelType w:val="hybridMultilevel"/>
    <w:tmpl w:val="18780A46"/>
    <w:lvl w:ilvl="0" w:tplc="ECD8C7CE">
      <w:start w:val="1"/>
      <w:numFmt w:val="bullet"/>
      <w:lvlText w:val="–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419D6DFF"/>
    <w:multiLevelType w:val="hybridMultilevel"/>
    <w:tmpl w:val="4DA0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6338A"/>
    <w:multiLevelType w:val="hybridMultilevel"/>
    <w:tmpl w:val="FBA6BF74"/>
    <w:lvl w:ilvl="0" w:tplc="ECD8C7CE">
      <w:start w:val="1"/>
      <w:numFmt w:val="bullet"/>
      <w:lvlText w:val="–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83"/>
    <w:rsid w:val="0006213C"/>
    <w:rsid w:val="002E619D"/>
    <w:rsid w:val="008E237B"/>
    <w:rsid w:val="00B40F0B"/>
    <w:rsid w:val="00BF1383"/>
    <w:rsid w:val="00C34710"/>
    <w:rsid w:val="00D22BCF"/>
    <w:rsid w:val="00D87D10"/>
    <w:rsid w:val="00E17E0F"/>
    <w:rsid w:val="00E373FB"/>
    <w:rsid w:val="00E60E39"/>
    <w:rsid w:val="00E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2F1010"/>
  <w15:chartTrackingRefBased/>
  <w15:docId w15:val="{E9A840F9-963A-4C36-909F-DF785D6F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10"/>
    <w:rPr>
      <w:rFonts w:ascii="Segoe UI" w:hAnsi="Segoe UI" w:cs="Segoe UI"/>
      <w:sz w:val="18"/>
      <w:szCs w:val="18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E237B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0B"/>
    <w:rPr>
      <w:lang w:val="en-US"/>
    </w:rPr>
  </w:style>
  <w:style w:type="paragraph" w:styleId="ListParagraph">
    <w:name w:val="List Paragraph"/>
    <w:basedOn w:val="Normal"/>
    <w:uiPriority w:val="34"/>
    <w:qFormat/>
    <w:rsid w:val="002E619D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E17E0F"/>
    <w:pPr>
      <w:spacing w:after="0"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7E0F"/>
    <w:rPr>
      <w:rFonts w:ascii="Arial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17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E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documents/product-information/ocrevus-epar-product-information_en.pdf" TargetMode="External"/><Relationship Id="rId13" Type="http://schemas.openxmlformats.org/officeDocument/2006/relationships/hyperlink" Target="https://www.emdserono.com/us-en/pi/mavenclad-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s.tga.gov.au/ebs/picmi/picmirepository.nsf/pdf?OpenAgent&amp;id=CP-2017-PI-02089-1" TargetMode="External"/><Relationship Id="rId12" Type="http://schemas.openxmlformats.org/officeDocument/2006/relationships/hyperlink" Target="https://www.novartis.com/news/media-releases/novartis-receives-simultaneous-approval-five-new-products-from-japanese-ministry-health-labour-and-welfare-offering-japanese-patients-broad-range-no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arma.us.novartis.com/sites/www.pharma.us.novartis.com/files/mayzen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a.europa.eu/en/documents/product-information/mayzent-epar-product-information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.com/download/pdf/ocrevus_prescribin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Ian Williams</cp:lastModifiedBy>
  <cp:revision>5</cp:revision>
  <dcterms:created xsi:type="dcterms:W3CDTF">2020-09-09T16:46:00Z</dcterms:created>
  <dcterms:modified xsi:type="dcterms:W3CDTF">2020-10-05T12:29:00Z</dcterms:modified>
</cp:coreProperties>
</file>