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FD" w:rsidRPr="00FD0F47" w:rsidRDefault="00AD0DFD" w:rsidP="00AD0DFD">
      <w:pPr>
        <w:spacing w:line="360" w:lineRule="auto"/>
        <w:ind w:left="90"/>
        <w:rPr>
          <w:rFonts w:ascii="Arial" w:hAnsi="Arial" w:cs="Arial"/>
        </w:rPr>
      </w:pPr>
      <w:proofErr w:type="gramStart"/>
      <w:r w:rsidRPr="00FD0F47">
        <w:rPr>
          <w:rFonts w:ascii="Arial" w:hAnsi="Arial" w:cs="Arial"/>
          <w:b/>
          <w:bCs/>
        </w:rPr>
        <w:t>Table e-2.</w:t>
      </w:r>
      <w:proofErr w:type="gramEnd"/>
      <w:r w:rsidRPr="00FD0F47">
        <w:rPr>
          <w:rFonts w:ascii="Arial" w:hAnsi="Arial" w:cs="Arial"/>
          <w:b/>
          <w:bCs/>
        </w:rPr>
        <w:t xml:space="preserve"> Medication use in </w:t>
      </w:r>
      <w:proofErr w:type="spellStart"/>
      <w:r w:rsidRPr="00FD0F47">
        <w:rPr>
          <w:rFonts w:ascii="Arial" w:hAnsi="Arial" w:cs="Arial"/>
          <w:b/>
          <w:bCs/>
        </w:rPr>
        <w:t>CaMEO</w:t>
      </w:r>
      <w:proofErr w:type="spellEnd"/>
      <w:r w:rsidRPr="00FD0F47">
        <w:rPr>
          <w:rFonts w:ascii="Arial" w:hAnsi="Arial" w:cs="Arial"/>
          <w:b/>
          <w:bCs/>
        </w:rPr>
        <w:t xml:space="preserve"> within MHD groups</w:t>
      </w:r>
      <w:r w:rsidRPr="00FD0F47">
        <w:rPr>
          <w:rFonts w:ascii="Arial" w:hAnsi="Arial" w:cs="Arial"/>
        </w:rPr>
        <w:t xml:space="preserve"> </w:t>
      </w:r>
    </w:p>
    <w:p w:rsidR="00AD0DFD" w:rsidRPr="00FD0F47" w:rsidRDefault="00AD0DFD" w:rsidP="00AD0DFD">
      <w:pPr>
        <w:rPr>
          <w:rFonts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11"/>
        <w:gridCol w:w="1223"/>
        <w:gridCol w:w="1414"/>
        <w:gridCol w:w="997"/>
        <w:gridCol w:w="1087"/>
        <w:gridCol w:w="1087"/>
        <w:gridCol w:w="1025"/>
      </w:tblGrid>
      <w:tr w:rsidR="00AD0DFD" w:rsidRPr="00FD0F47" w:rsidTr="00F95361">
        <w:tc>
          <w:tcPr>
            <w:tcW w:w="3155" w:type="dxa"/>
            <w:vMerge w:val="restart"/>
            <w:shd w:val="clear" w:color="auto" w:fill="auto"/>
            <w:vAlign w:val="bottom"/>
          </w:tcPr>
          <w:p w:rsidR="00AD0DFD" w:rsidRPr="00FD0F47" w:rsidRDefault="00AD0DFD" w:rsidP="00F953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D0F47">
              <w:rPr>
                <w:rFonts w:ascii="Arial" w:hAnsi="Arial" w:cs="Arial"/>
                <w:b/>
                <w:bCs/>
              </w:rPr>
              <w:t>Medication</w:t>
            </w:r>
          </w:p>
        </w:tc>
        <w:tc>
          <w:tcPr>
            <w:tcW w:w="4822" w:type="dxa"/>
            <w:gridSpan w:val="3"/>
            <w:shd w:val="clear" w:color="auto" w:fill="auto"/>
            <w:vAlign w:val="bottom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D0F47">
              <w:rPr>
                <w:rFonts w:ascii="Arial" w:hAnsi="Arial" w:cs="Arial"/>
                <w:b/>
                <w:bCs/>
              </w:rPr>
              <w:t>&lt;15 MHDs</w:t>
            </w:r>
          </w:p>
        </w:tc>
        <w:tc>
          <w:tcPr>
            <w:tcW w:w="4775" w:type="dxa"/>
            <w:gridSpan w:val="3"/>
            <w:shd w:val="clear" w:color="auto" w:fill="auto"/>
            <w:vAlign w:val="bottom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D0F47">
              <w:rPr>
                <w:rFonts w:ascii="Arial" w:hAnsi="Arial" w:cs="Arial"/>
                <w:b/>
                <w:bCs/>
              </w:rPr>
              <w:t>≥15 MHDs</w:t>
            </w:r>
          </w:p>
        </w:tc>
      </w:tr>
      <w:tr w:rsidR="00AD0DFD" w:rsidRPr="00FD0F47" w:rsidTr="00F95361">
        <w:tc>
          <w:tcPr>
            <w:tcW w:w="3155" w:type="dxa"/>
            <w:vMerge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shd w:val="clear" w:color="auto" w:fill="auto"/>
            <w:vAlign w:val="bottom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AMO</w:t>
            </w:r>
            <w:r w:rsidRPr="00FD0F47">
              <w:rPr>
                <w:rFonts w:ascii="Arial" w:hAnsi="Arial" w:cs="Arial"/>
                <w:b/>
              </w:rPr>
              <w:br/>
              <w:t>(n=2021)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No AMO</w:t>
            </w:r>
            <w:r w:rsidRPr="00FD0F47">
              <w:rPr>
                <w:rFonts w:ascii="Arial" w:hAnsi="Arial" w:cs="Arial"/>
                <w:b/>
              </w:rPr>
              <w:br/>
              <w:t>(n=13,292)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  <w:bCs/>
                <w:i/>
                <w:iCs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34DCB">
              <w:rPr>
                <w:rFonts w:ascii="Arial" w:hAnsi="Arial" w:cs="Arial"/>
                <w:b/>
                <w:bCs/>
              </w:rPr>
              <w:t>V</w:t>
            </w:r>
            <w:r w:rsidRPr="00FD0F47">
              <w:rPr>
                <w:rFonts w:ascii="Arial" w:hAnsi="Arial" w:cs="Arial"/>
                <w:b/>
                <w:bCs/>
              </w:rPr>
              <w:t>alue</w:t>
            </w:r>
            <w:r w:rsidRPr="00D34DCB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376" w:type="dxa"/>
            <w:shd w:val="clear" w:color="auto" w:fill="auto"/>
            <w:vAlign w:val="bottom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AMO</w:t>
            </w:r>
            <w:r w:rsidRPr="00FD0F47">
              <w:rPr>
                <w:rFonts w:ascii="Arial" w:hAnsi="Arial" w:cs="Arial"/>
                <w:b/>
              </w:rPr>
              <w:br/>
              <w:t>(n=954)</w:t>
            </w:r>
          </w:p>
        </w:tc>
        <w:tc>
          <w:tcPr>
            <w:tcW w:w="1376" w:type="dxa"/>
            <w:shd w:val="clear" w:color="auto" w:fill="auto"/>
            <w:vAlign w:val="bottom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No AMO</w:t>
            </w:r>
            <w:r w:rsidRPr="00FD0F47">
              <w:rPr>
                <w:rFonts w:ascii="Arial" w:hAnsi="Arial" w:cs="Arial"/>
                <w:b/>
              </w:rPr>
              <w:br/>
              <w:t>(n=552)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  <w:bCs/>
                <w:i/>
                <w:iCs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34DCB">
              <w:rPr>
                <w:rFonts w:ascii="Arial" w:hAnsi="Arial" w:cs="Arial"/>
                <w:b/>
                <w:bCs/>
              </w:rPr>
              <w:t>V</w:t>
            </w:r>
            <w:r w:rsidRPr="00FD0F47">
              <w:rPr>
                <w:rFonts w:ascii="Arial" w:hAnsi="Arial" w:cs="Arial"/>
                <w:b/>
                <w:bCs/>
              </w:rPr>
              <w:t>alue</w:t>
            </w:r>
            <w:r w:rsidRPr="00D34DCB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D0DFD" w:rsidRPr="00FD0F47" w:rsidTr="00F95361">
        <w:trPr>
          <w:trHeight w:val="432"/>
        </w:trPr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Simple analgesic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1736 (85.9)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10298 (77.5)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809 (84.8)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366 (70.1)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</w:tr>
      <w:tr w:rsidR="00AD0DFD" w:rsidRPr="00FD0F47" w:rsidTr="00F95361">
        <w:trPr>
          <w:trHeight w:val="432"/>
        </w:trPr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ind w:left="252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Acetaminophen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841 (41.6)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5056 (38.0)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0.002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422 (44.2)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197 (37.7)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0.016</w:t>
            </w:r>
          </w:p>
        </w:tc>
      </w:tr>
      <w:tr w:rsidR="00AD0DFD" w:rsidRPr="00FD0F47" w:rsidTr="00F95361">
        <w:trPr>
          <w:trHeight w:val="432"/>
        </w:trPr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ind w:left="252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NSAID (R</w:t>
            </w:r>
            <w:r w:rsidRPr="00FD0F47">
              <w:rPr>
                <w:rFonts w:ascii="Arial" w:hAnsi="Arial" w:cs="Arial"/>
                <w:vertAlign w:val="subscript"/>
              </w:rPr>
              <w:t>x</w:t>
            </w:r>
            <w:r w:rsidRPr="00FD0F47">
              <w:rPr>
                <w:rFonts w:ascii="Arial" w:hAnsi="Arial" w:cs="Arial"/>
              </w:rPr>
              <w:t>/OTC)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1432 (70.9)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7855 (59.1)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655 (68.7)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273 (52.3)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</w:tr>
      <w:tr w:rsidR="00AD0DFD" w:rsidRPr="00FD0F47" w:rsidTr="00F95361">
        <w:trPr>
          <w:trHeight w:val="432"/>
        </w:trPr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ind w:left="252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Aspirin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538 (26.6)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2208 (16.6)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196 (20.5)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83 (15.9)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0.029</w:t>
            </w:r>
          </w:p>
        </w:tc>
      </w:tr>
      <w:tr w:rsidR="00AD0DFD" w:rsidRPr="00FD0F47" w:rsidTr="00F95361"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  <w:b/>
              </w:rPr>
              <w:t>Combination analgesic</w:t>
            </w:r>
            <w:r w:rsidRPr="00FD0F47">
              <w:rPr>
                <w:rFonts w:ascii="Arial" w:hAnsi="Arial" w:cs="Arial"/>
              </w:rPr>
              <w:t xml:space="preserve"> (includes Excedrin</w:t>
            </w:r>
            <w:r w:rsidRPr="00FD0F47">
              <w:rPr>
                <w:rFonts w:ascii="Arial" w:hAnsi="Arial" w:cs="Arial"/>
                <w:vertAlign w:val="superscript"/>
              </w:rPr>
              <w:t>®</w:t>
            </w:r>
            <w:r w:rsidRPr="00FD0F47">
              <w:rPr>
                <w:rFonts w:ascii="Arial" w:hAnsi="Arial" w:cs="Arial"/>
              </w:rPr>
              <w:t xml:space="preserve">, barbiturates, and </w:t>
            </w:r>
            <w:proofErr w:type="spellStart"/>
            <w:r w:rsidRPr="00FD0F47">
              <w:rPr>
                <w:rFonts w:ascii="Arial" w:hAnsi="Arial" w:cs="Arial"/>
              </w:rPr>
              <w:t>Midrin</w:t>
            </w:r>
            <w:proofErr w:type="spellEnd"/>
            <w:r w:rsidRPr="00FD0F47">
              <w:rPr>
                <w:rFonts w:ascii="Arial" w:hAnsi="Arial" w:cs="Arial"/>
                <w:vertAlign w:val="superscript"/>
              </w:rPr>
              <w:t>®</w:t>
            </w:r>
            <w:r w:rsidRPr="00FD0F47">
              <w:rPr>
                <w:rFonts w:ascii="Arial" w:hAnsi="Arial" w:cs="Arial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969 (47.9)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3544 (26.7)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460 (48.2)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140 (26.8)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</w:tr>
      <w:tr w:rsidR="00AD0DFD" w:rsidRPr="00FD0F47" w:rsidTr="00F95361"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Opioid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568 (28.1)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1055 (7.9)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266 (27.9)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58 (11.1)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</w:tr>
      <w:tr w:rsidR="00AD0DFD" w:rsidRPr="00FD0F47" w:rsidTr="00F95361"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spellStart"/>
            <w:r w:rsidRPr="00FD0F47">
              <w:rPr>
                <w:rFonts w:ascii="Arial" w:hAnsi="Arial" w:cs="Arial"/>
                <w:b/>
              </w:rPr>
              <w:t>Triptan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400 (19.8)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1182 (8.9)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205 (21.5)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75 (14.4)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0.001</w:t>
            </w:r>
          </w:p>
        </w:tc>
      </w:tr>
      <w:tr w:rsidR="00AD0DFD" w:rsidRPr="00FD0F47" w:rsidTr="00F95361">
        <w:tc>
          <w:tcPr>
            <w:tcW w:w="3155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FD0F47">
              <w:rPr>
                <w:rFonts w:ascii="Arial" w:hAnsi="Arial" w:cs="Arial"/>
                <w:b/>
              </w:rPr>
              <w:t>Ergotamine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29 (1.4)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52 (0.4)</w:t>
            </w:r>
          </w:p>
        </w:tc>
        <w:tc>
          <w:tcPr>
            <w:tcW w:w="164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&lt; 0.001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13 (1.4)</w:t>
            </w:r>
          </w:p>
        </w:tc>
        <w:tc>
          <w:tcPr>
            <w:tcW w:w="1376" w:type="dxa"/>
            <w:vAlign w:val="center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6 (1.1)</w:t>
            </w:r>
          </w:p>
        </w:tc>
        <w:tc>
          <w:tcPr>
            <w:tcW w:w="2023" w:type="dxa"/>
          </w:tcPr>
          <w:p w:rsidR="00AD0DFD" w:rsidRPr="00FD0F47" w:rsidRDefault="00AD0DFD" w:rsidP="00F95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0.728</w:t>
            </w:r>
          </w:p>
        </w:tc>
      </w:tr>
    </w:tbl>
    <w:p w:rsidR="00AD0DFD" w:rsidRPr="00FD0F47" w:rsidRDefault="00AD0DFD" w:rsidP="00AD0DFD">
      <w:pPr>
        <w:tabs>
          <w:tab w:val="left" w:pos="0"/>
        </w:tabs>
        <w:spacing w:before="60" w:line="360" w:lineRule="auto"/>
        <w:rPr>
          <w:rFonts w:ascii="Arial" w:hAnsi="Arial" w:cs="Arial"/>
        </w:rPr>
      </w:pPr>
      <w:r w:rsidRPr="00FD0F47">
        <w:rPr>
          <w:rFonts w:ascii="Arial" w:hAnsi="Arial" w:cs="Arial"/>
        </w:rPr>
        <w:t xml:space="preserve">All data are n (%). </w:t>
      </w:r>
    </w:p>
    <w:p w:rsidR="00AD0DFD" w:rsidRPr="00FD0F47" w:rsidRDefault="00AD0DFD" w:rsidP="00AD0DFD">
      <w:pPr>
        <w:tabs>
          <w:tab w:val="left" w:pos="0"/>
        </w:tabs>
        <w:spacing w:before="60" w:line="360" w:lineRule="auto"/>
        <w:rPr>
          <w:rFonts w:ascii="Arial" w:hAnsi="Arial" w:cs="Arial"/>
        </w:rPr>
      </w:pPr>
      <w:proofErr w:type="gramStart"/>
      <w:r w:rsidRPr="00FD0F47">
        <w:rPr>
          <w:rFonts w:ascii="Arial" w:hAnsi="Arial" w:cs="Arial"/>
          <w:b/>
          <w:bCs/>
          <w:vertAlign w:val="superscript"/>
        </w:rPr>
        <w:t>a</w:t>
      </w:r>
      <w:proofErr w:type="gramEnd"/>
      <w:r w:rsidRPr="00FD0F47">
        <w:rPr>
          <w:rFonts w:ascii="Arial" w:hAnsi="Arial" w:cs="Arial"/>
          <w:b/>
          <w:bCs/>
          <w:vertAlign w:val="superscript"/>
        </w:rPr>
        <w:t xml:space="preserve"> </w:t>
      </w:r>
      <w:r w:rsidRPr="00FD0F47">
        <w:rPr>
          <w:rFonts w:ascii="Arial" w:hAnsi="Arial" w:cs="Arial"/>
        </w:rPr>
        <w:t>Comparison between AMO and non-AMO groups in respective headache frequency category with chi-squared test.</w:t>
      </w:r>
    </w:p>
    <w:p w:rsidR="00AD0DFD" w:rsidRPr="00FD0F47" w:rsidRDefault="00AD0DFD" w:rsidP="00AD0DFD">
      <w:pPr>
        <w:spacing w:before="120" w:line="360" w:lineRule="auto"/>
        <w:ind w:left="90" w:right="720"/>
        <w:rPr>
          <w:rFonts w:ascii="Arial" w:hAnsi="Arial" w:cs="Arial"/>
        </w:rPr>
      </w:pPr>
    </w:p>
    <w:p w:rsidR="002210EF" w:rsidRDefault="00AD0DFD" w:rsidP="00AD0DFD">
      <w:proofErr w:type="gramStart"/>
      <w:r w:rsidRPr="00FD0F47">
        <w:rPr>
          <w:rFonts w:ascii="Arial" w:hAnsi="Arial" w:cs="Arial"/>
        </w:rPr>
        <w:t xml:space="preserve">AMO, acute medication overuse; </w:t>
      </w:r>
      <w:proofErr w:type="spellStart"/>
      <w:r w:rsidRPr="00FD0F47">
        <w:rPr>
          <w:rFonts w:ascii="Arial" w:hAnsi="Arial" w:cs="Arial"/>
        </w:rPr>
        <w:t>CaMEO</w:t>
      </w:r>
      <w:proofErr w:type="spellEnd"/>
      <w:r w:rsidRPr="00FD0F47">
        <w:rPr>
          <w:rFonts w:ascii="Arial" w:hAnsi="Arial" w:cs="Arial"/>
        </w:rPr>
        <w:t xml:space="preserve">, Chronic Migraine Epidemiology and Outcomes; MHDs, monthly headache days; NSAID, </w:t>
      </w:r>
      <w:proofErr w:type="spellStart"/>
      <w:r w:rsidRPr="00FD0F47">
        <w:rPr>
          <w:rFonts w:ascii="Arial" w:hAnsi="Arial" w:cs="Arial"/>
        </w:rPr>
        <w:t>nonsteroidal</w:t>
      </w:r>
      <w:proofErr w:type="spellEnd"/>
      <w:r w:rsidRPr="00FD0F47">
        <w:rPr>
          <w:rFonts w:ascii="Arial" w:hAnsi="Arial" w:cs="Arial"/>
        </w:rPr>
        <w:t xml:space="preserve"> anti-inflammatory drug; OTC, over-the-counter; R</w:t>
      </w:r>
      <w:r w:rsidRPr="00FD0F47">
        <w:rPr>
          <w:rFonts w:ascii="Arial" w:hAnsi="Arial" w:cs="Arial"/>
          <w:vertAlign w:val="subscript"/>
        </w:rPr>
        <w:t>x</w:t>
      </w:r>
      <w:r w:rsidRPr="00FD0F47">
        <w:rPr>
          <w:rFonts w:ascii="Arial" w:hAnsi="Arial" w:cs="Arial"/>
        </w:rPr>
        <w:t>, prescription.</w:t>
      </w:r>
      <w:bookmarkStart w:id="0" w:name="_GoBack"/>
      <w:bookmarkEnd w:id="0"/>
      <w:proofErr w:type="gramEnd"/>
    </w:p>
    <w:sectPr w:rsidR="0022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FD"/>
    <w:rsid w:val="002210EF"/>
    <w:rsid w:val="00A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bria-Normal"/>
    <w:qFormat/>
    <w:rsid w:val="00AD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AD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bria-Normal"/>
    <w:qFormat/>
    <w:rsid w:val="00AD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AD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2021-01-22T05:33:00Z</dcterms:created>
  <dcterms:modified xsi:type="dcterms:W3CDTF">2021-01-22T05:33:00Z</dcterms:modified>
</cp:coreProperties>
</file>