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ard"/>
        <w:spacing w:lineRule="auto" w:line="480" w:before="0" w:after="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Supplementary table 2: Clinical and biochemical characteristics present in patients with and without external ventricular catheter-associated infection - day 0.</w:t>
      </w:r>
    </w:p>
    <w:p>
      <w:pPr>
        <w:pStyle w:val="Standaard"/>
        <w:spacing w:lineRule="auto" w:line="48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tbl>
      <w:tblPr>
        <w:tblW w:w="140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40"/>
        <w:gridCol w:w="1678"/>
        <w:gridCol w:w="851"/>
        <w:gridCol w:w="1134"/>
        <w:gridCol w:w="897"/>
        <w:gridCol w:w="1202"/>
        <w:gridCol w:w="1161"/>
        <w:gridCol w:w="1418"/>
        <w:gridCol w:w="1386"/>
        <w:gridCol w:w="852"/>
      </w:tblGrid>
      <w:tr>
        <w:trPr/>
        <w:tc>
          <w:tcPr>
            <w:tcW w:w="1985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440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Median patients with infection (IQR) </w:t>
            </w:r>
          </w:p>
        </w:tc>
        <w:tc>
          <w:tcPr>
            <w:tcW w:w="1678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Median patients without 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 xml:space="preserve">infection* (IQR) </w:t>
            </w:r>
          </w:p>
        </w:tc>
        <w:tc>
          <w:tcPr>
            <w:tcW w:w="851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AUC (95% CI)</w:t>
            </w:r>
          </w:p>
        </w:tc>
        <w:tc>
          <w:tcPr>
            <w:tcW w:w="897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Cut off</w:t>
            </w:r>
          </w:p>
        </w:tc>
        <w:tc>
          <w:tcPr>
            <w:tcW w:w="1202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Patients with infection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n/N (%)</w:t>
            </w:r>
          </w:p>
        </w:tc>
        <w:tc>
          <w:tcPr>
            <w:tcW w:w="1161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 xml:space="preserve">Patients without infection* </w:t>
              <w:br/>
              <w:t>n/N (%)</w:t>
            </w:r>
          </w:p>
        </w:tc>
        <w:tc>
          <w:tcPr>
            <w:tcW w:w="1418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Sensitivity**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1386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 xml:space="preserve">Specificity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2" w:type="dxa"/>
            <w:tcBorders>
              <w:bottom w:val="single" w:sz="4" w:space="0" w:color="666666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Temperature (°C)</w:t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38.7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(37.8-39.3)</w:t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38.3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(37.6-39.1)</w:t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38.0 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11/15 (73)</w:t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31/50 (62)</w:t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0.544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CSF leukocyte count (x10</w:t>
            </w:r>
            <w:r>
              <w:rPr>
                <w:rStyle w:val="Standaardalinealettertype"/>
                <w:rFonts w:cs="Times New Roman" w:ascii="Times New Roman" w:hAnsi="Times New Roman"/>
                <w:b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/L)</w:t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129 (42-1174)</w:t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175 (48-565)</w:t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&gt; 5 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13/15 (87)</w:t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36/40 (90)</w:t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&gt; 100 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9/15 (60)</w:t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27/40 (68)</w:t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0.660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&gt;1000 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4/15 (27)</w:t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7/40 (18)</w:t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0.602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CSF lactate conc. (mmol/L)</w:t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3.1 (2.3-4.1)</w:t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 (2.1-3.8)</w:t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2/10 (20)</w:t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8/39 (21)</w:t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Lactate ratio</w:t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2.9 (1.8-3.8)</w:t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2.9 (2.2-4.1)</w:t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it-IT"/>
              </w:rPr>
              <w:t>CSF glucose conc. (mmol/L)</w:t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4.2 (3.6-5.2)</w:t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3.8 (3.2-4.8)</w:t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CSF to blood glucose ratio</w:t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 (0.5-0.6)</w:t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 (0.5-0.6)</w:t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&lt; 0.6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5/7 (71)</w:t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28/33 (85)</w:t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&lt; 0.4</w:t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1/7 (14)</w:t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3/33 (9)</w:t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0.584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CSF total protein conc. (g/L)</w:t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0.8 (0.4-1.1)</w:t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 (0.3-0.9)</w:t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0.6 </w:t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8/15 (53)</w:t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21/41 (51)</w:t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Percentage PMN</w:t>
            </w:r>
          </w:p>
        </w:tc>
        <w:tc>
          <w:tcPr>
            <w:tcW w:w="1440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74 (54-94)</w:t>
            </w:r>
          </w:p>
        </w:tc>
        <w:tc>
          <w:tcPr>
            <w:tcW w:w="167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67 (47-75)</w:t>
            </w:r>
          </w:p>
        </w:tc>
        <w:tc>
          <w:tcPr>
            <w:tcW w:w="85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6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Cell index</w:t>
            </w:r>
          </w:p>
        </w:tc>
        <w:tc>
          <w:tcPr>
            <w:tcW w:w="1440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1.0 (0.4-6.6)</w:t>
            </w:r>
          </w:p>
        </w:tc>
        <w:tc>
          <w:tcPr>
            <w:tcW w:w="167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1.3 (0.6-4.8)</w:t>
            </w:r>
          </w:p>
        </w:tc>
        <w:tc>
          <w:tcPr>
            <w:tcW w:w="85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1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9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0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16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1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86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4004" w:type="dxa"/>
            <w:gridSpan w:val="11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*Patients are only included if the drain is in situ on day 9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** Calculated in case a significant difference between patients with and without external ventricular catheter-associated infection was found</w:t>
            </w:r>
          </w:p>
        </w:tc>
      </w:tr>
    </w:tbl>
    <w:p>
      <w:pPr>
        <w:pStyle w:val="Standaard"/>
        <w:spacing w:lineRule="auto" w:line="480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Standaard"/>
        <w:spacing w:lineRule="auto" w:line="480"/>
        <w:rPr>
          <w:lang w:val="en-GB"/>
        </w:rPr>
      </w:pPr>
      <w:r>
        <w:rPr>
          <w:lang w:val="en-GB"/>
        </w:rPr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character" w:styleId="Standaardalinealettertype">
    <w:name w:val="Standaardalinea-lettertype"/>
    <w:qFormat/>
    <w:rPr/>
  </w:style>
  <w:style w:type="paragraph" w:styleId="Standaard">
    <w:name w:val="Standa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2</Pages>
  <Words>219</Words>
  <Characters>1207</Characters>
  <CharactersWithSpaces>1424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2021-07-05T19:59:00Z</dcterms:created>
  <dc:creator>Luuk van Rooij</dc:creator>
  <dc:description/>
  <dc:language>en-IN</dc:language>
  <cp:lastModifiedBy>Luuk van Rooij</cp:lastModifiedBy>
  <dcterms:modified xsi:type="dcterms:W3CDTF">2021-07-05T19:59:00Z</dcterms:modified>
  <cp:revision>1</cp:revision>
  <dc:subject/>
  <dc:title/>
</cp:coreProperties>
</file>