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ard"/>
        <w:spacing w:lineRule="auto" w:line="480" w:before="0" w:after="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Supplementary table 3: Clinical and biochemical characteristics present in patients with and without external ventricular catheter-associated infection - day 1.</w:t>
      </w:r>
    </w:p>
    <w:tbl>
      <w:tblPr>
        <w:tblW w:w="150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843"/>
        <w:gridCol w:w="904"/>
        <w:gridCol w:w="1648"/>
        <w:gridCol w:w="1275"/>
        <w:gridCol w:w="993"/>
        <w:gridCol w:w="1234"/>
        <w:gridCol w:w="1315"/>
        <w:gridCol w:w="1277"/>
        <w:gridCol w:w="852"/>
      </w:tblGrid>
      <w:tr>
        <w:trPr/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Median patients with infection (IQR)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Cs/>
                <w:color w:val="000000"/>
                <w:sz w:val="20"/>
                <w:szCs w:val="20"/>
                <w:lang w:val="en-US"/>
              </w:rPr>
              <w:t>Median patients without infection</w:t>
            </w:r>
            <w:r>
              <w:rPr>
                <w:rStyle w:val="Standaardalinealettertype"/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* (IQR) 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AUC (95% CI)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Cut off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Patients with infection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n/N (%)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Patients without infection* </w:t>
              <w:br/>
              <w:t>n/N (%)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Sensitivity**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Specificity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% (95% CI)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Temperature (°C)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38.8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(38.6-39.5)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38.4 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(37.7-38.9)</w:t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0.69 (0.54-0.83)</w:t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38.0 </w:t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13/14 (93)</w:t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28/42 (67)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0.082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leukocyte count (x10</w:t>
            </w: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position w:val="6"/>
                <w:sz w:val="13"/>
                <w:sz w:val="20"/>
                <w:szCs w:val="20"/>
                <w:lang w:val="en-US"/>
              </w:rPr>
              <w:t>6</w:t>
            </w: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529 (33-7430)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180 (36-520)</w:t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&gt; 5 </w:t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9/10 (90)</w:t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36/39 (92)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&gt; 100 </w:t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7/10 (70)</w:t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26/39 (67)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&gt;1000 </w:t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4/10 (40)</w:t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7/39 (18)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0.201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lactate conc. (mmol/L)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3.7 (2.2-5.2)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 (2.1-3.5)</w:t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≥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4/8 (50)</w:t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4/37 (11)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50 (16-84)</w:t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89 (75-97)</w:t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Lactate ratio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3.6 (2.2-7.5)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2.8 (2.3-3.9)</w:t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it-IT"/>
              </w:rPr>
              <w:t>CSF glucose conc. (mmol/L)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2.9 (2-4.9)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3.7 (3-4.5)</w:t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to blood glucose ratio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0.4 (0.1-0.7)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0.5 (0.5-0.6)</w:t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&lt; 0.6</w:t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5/8 (63)</w:t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17/25 (68)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&gt;0.99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&lt; 0.4</w:t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3/8 (38)</w:t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1/25 (4)</w:t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38 (9-76)</w:t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96 (80-100)</w:t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0.036</w:t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CSF total protein conc. (g/L)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1.2 (0.2-2.2)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0.6 (0.4-0.9)</w:t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≥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0.6 </w:t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8/11 (73)</w:t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19/39 (49)</w:t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0.158</w:t>
            </w:r>
          </w:p>
        </w:tc>
      </w:tr>
      <w:tr>
        <w:trPr/>
        <w:tc>
          <w:tcPr>
            <w:tcW w:w="198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Percentage PMN</w:t>
            </w:r>
          </w:p>
        </w:tc>
        <w:tc>
          <w:tcPr>
            <w:tcW w:w="1701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78 (69-94)</w:t>
            </w:r>
          </w:p>
        </w:tc>
        <w:tc>
          <w:tcPr>
            <w:tcW w:w="184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69 (33-81)</w:t>
            </w:r>
          </w:p>
        </w:tc>
        <w:tc>
          <w:tcPr>
            <w:tcW w:w="90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648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0.72 (0.55-0.88)</w:t>
            </w:r>
          </w:p>
        </w:tc>
        <w:tc>
          <w:tcPr>
            <w:tcW w:w="127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34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985" w:type="dxa"/>
            <w:tcBorders/>
          </w:tcPr>
          <w:p>
            <w:pPr>
              <w:pStyle w:val="Standaard"/>
              <w:spacing w:lineRule="auto" w:line="480" w:before="0" w:after="0"/>
              <w:rPr/>
            </w:pPr>
            <w:r>
              <w:rPr>
                <w:rStyle w:val="Standaardalinealettertype"/>
                <w:rFonts w:cs="Times New Roman" w:ascii="Times New Roman" w:hAnsi="Times New Roman"/>
                <w:b/>
                <w:color w:val="000000"/>
                <w:sz w:val="20"/>
                <w:szCs w:val="20"/>
                <w:lang w:val="en-US"/>
              </w:rPr>
              <w:t>Cell index</w:t>
            </w:r>
          </w:p>
        </w:tc>
        <w:tc>
          <w:tcPr>
            <w:tcW w:w="1701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7.2 (2.2-195.5)</w:t>
            </w:r>
          </w:p>
        </w:tc>
        <w:tc>
          <w:tcPr>
            <w:tcW w:w="184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1.9 (0.7-7.9)</w:t>
            </w:r>
          </w:p>
        </w:tc>
        <w:tc>
          <w:tcPr>
            <w:tcW w:w="90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648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0.73 (0.52-0.93)</w:t>
            </w:r>
          </w:p>
        </w:tc>
        <w:tc>
          <w:tcPr>
            <w:tcW w:w="127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993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34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315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277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5027" w:type="dxa"/>
            <w:gridSpan w:val="11"/>
            <w:tcBorders>
              <w:bottom w:val="single" w:sz="4" w:space="0" w:color="000000"/>
            </w:tcBorders>
            <w:shd w:fill="CCCCCC" w:val="clear"/>
          </w:tcPr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*Patients are only included if the drain is in situ on day 10</w:t>
            </w:r>
          </w:p>
          <w:p>
            <w:pPr>
              <w:pStyle w:val="Standaard"/>
              <w:spacing w:lineRule="auto" w:line="48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** Calculated in case a significant difference between patients with and without external ventricular catheter-associated infection was found</w:t>
            </w:r>
          </w:p>
        </w:tc>
      </w:tr>
    </w:tbl>
    <w:p>
      <w:pPr>
        <w:pStyle w:val="Standaard"/>
        <w:rPr>
          <w:lang w:val="en-GB"/>
        </w:rPr>
      </w:pPr>
      <w:r>
        <w:rPr>
          <w:lang w:val="en-GB"/>
        </w:rPr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l-N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character" w:styleId="Standaardalinealettertype">
    <w:name w:val="Standaardalinea-lettertype"/>
    <w:qFormat/>
    <w:rPr/>
  </w:style>
  <w:style w:type="paragraph" w:styleId="Standaard">
    <w:name w:val="Standa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nl-NL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2</Pages>
  <Words>233</Words>
  <Characters>1287</Characters>
  <CharactersWithSpaces>1517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2021-07-05T19:59:00Z</dcterms:created>
  <dc:creator>Luuk van Rooij</dc:creator>
  <dc:description/>
  <dc:language>en-IN</dc:language>
  <cp:lastModifiedBy>Luuk van Rooij</cp:lastModifiedBy>
  <dcterms:modified xsi:type="dcterms:W3CDTF">2021-07-05T20:00:00Z</dcterms:modified>
  <cp:revision>1</cp:revision>
  <dc:subject/>
  <dc:title/>
</cp:coreProperties>
</file>