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ard"/>
        <w:spacing w:lineRule="auto" w:line="480"/>
        <w:rPr/>
      </w:pPr>
      <w:r>
        <w:rPr>
          <w:rStyle w:val="Standaardalinealettertype"/>
          <w:rFonts w:cs="Times New Roman" w:ascii="Times New Roman" w:hAnsi="Times New Roman"/>
          <w:b/>
          <w:sz w:val="20"/>
          <w:szCs w:val="20"/>
          <w:lang w:val="en-US"/>
        </w:rPr>
        <w:t>Supplementary table 4: Clinical and biochemical characteristics present in patients with and without external ventricular catheter-associated infection - day 3.</w:t>
      </w:r>
    </w:p>
    <w:tbl>
      <w:tblPr>
        <w:tblW w:w="140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60"/>
        <w:gridCol w:w="1701"/>
        <w:gridCol w:w="903"/>
        <w:gridCol w:w="1081"/>
        <w:gridCol w:w="1039"/>
        <w:gridCol w:w="1202"/>
        <w:gridCol w:w="1545"/>
        <w:gridCol w:w="1315"/>
        <w:gridCol w:w="1105"/>
        <w:gridCol w:w="852"/>
      </w:tblGrid>
      <w:tr>
        <w:trPr/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Median patients with infection (IQR)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Median patients without infection* (IQR) </w:t>
            </w: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Cs/>
                <w:color w:val="000000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AUC (95% CI)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Cut off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Patients with infection</w:t>
            </w:r>
          </w:p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n/N (%)</w:t>
            </w: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Patients without infection* </w:t>
              <w:br/>
              <w:t>n/N (%)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Sensitivity**</w:t>
            </w:r>
          </w:p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% (95% CI)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Specificity </w:t>
            </w:r>
          </w:p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% (95% CI)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p-value</w:t>
            </w:r>
          </w:p>
        </w:tc>
      </w:tr>
      <w:tr>
        <w:trPr/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Temperature </w:t>
            </w:r>
          </w:p>
        </w:tc>
        <w:tc>
          <w:tcPr>
            <w:tcW w:w="1560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 xml:space="preserve">38.8 </w:t>
            </w:r>
          </w:p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(37.6-38.8)</w:t>
            </w:r>
          </w:p>
        </w:tc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 xml:space="preserve">38.2 </w:t>
            </w:r>
          </w:p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(37.6-38.7)</w:t>
            </w:r>
          </w:p>
        </w:tc>
        <w:tc>
          <w:tcPr>
            <w:tcW w:w="90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108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039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≥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38.0 °C</w:t>
            </w:r>
          </w:p>
        </w:tc>
        <w:tc>
          <w:tcPr>
            <w:tcW w:w="1202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7/11 (64)</w:t>
            </w:r>
          </w:p>
        </w:tc>
        <w:tc>
          <w:tcPr>
            <w:tcW w:w="154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22/35 (63)</w:t>
            </w:r>
          </w:p>
        </w:tc>
        <w:tc>
          <w:tcPr>
            <w:tcW w:w="131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10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852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&gt;0.99</w:t>
            </w:r>
          </w:p>
        </w:tc>
      </w:tr>
      <w:tr>
        <w:trPr/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/>
                <w:color w:val="000000"/>
                <w:sz w:val="20"/>
                <w:szCs w:val="20"/>
                <w:lang w:val="en-US"/>
              </w:rPr>
              <w:t>CSF leukocyte count</w:t>
            </w:r>
          </w:p>
        </w:tc>
        <w:tc>
          <w:tcPr>
            <w:tcW w:w="1560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609 (307-1484)</w:t>
            </w:r>
          </w:p>
        </w:tc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37 (22-126)</w:t>
            </w:r>
          </w:p>
        </w:tc>
        <w:tc>
          <w:tcPr>
            <w:tcW w:w="90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108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0.85 (0.68-&gt;1.00)</w:t>
            </w:r>
          </w:p>
        </w:tc>
        <w:tc>
          <w:tcPr>
            <w:tcW w:w="1039" w:type="dxa"/>
            <w:tcBorders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&gt; 5 x10</w:t>
            </w:r>
            <w:r>
              <w:rPr>
                <w:rStyle w:val="Standaardalinealettertype"/>
                <w:rFonts w:cs="Times New Roman" w:ascii="Times New Roman" w:hAnsi="Times New Roman"/>
                <w:b/>
                <w:bCs/>
                <w:color w:val="000000"/>
                <w:position w:val="6"/>
                <w:sz w:val="13"/>
                <w:sz w:val="20"/>
                <w:szCs w:val="20"/>
                <w:lang w:val="en-US"/>
              </w:rPr>
              <w:t>6</w:t>
            </w:r>
            <w:r>
              <w:rPr>
                <w:rStyle w:val="Standaardalinealettertype"/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/L</w:t>
            </w:r>
          </w:p>
        </w:tc>
        <w:tc>
          <w:tcPr>
            <w:tcW w:w="1202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8/8 (100)</w:t>
            </w:r>
          </w:p>
        </w:tc>
        <w:tc>
          <w:tcPr>
            <w:tcW w:w="154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29/32 (91)</w:t>
            </w:r>
          </w:p>
        </w:tc>
        <w:tc>
          <w:tcPr>
            <w:tcW w:w="131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10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852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&gt;0.99</w:t>
            </w:r>
          </w:p>
        </w:tc>
      </w:tr>
      <w:tr>
        <w:trPr/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560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90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08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039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&gt; 100 x10</w:t>
            </w:r>
            <w:r>
              <w:rPr>
                <w:rStyle w:val="Standaardalinealettertype"/>
                <w:rFonts w:cs="Times New Roman" w:ascii="Times New Roman" w:hAnsi="Times New Roman"/>
                <w:b/>
                <w:bCs/>
                <w:color w:val="000000"/>
                <w:position w:val="6"/>
                <w:sz w:val="13"/>
                <w:sz w:val="20"/>
                <w:szCs w:val="20"/>
                <w:lang w:val="en-US"/>
              </w:rPr>
              <w:t>6</w:t>
            </w:r>
            <w:r>
              <w:rPr>
                <w:rStyle w:val="Standaardalinealettertype"/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/L</w:t>
            </w:r>
          </w:p>
        </w:tc>
        <w:tc>
          <w:tcPr>
            <w:tcW w:w="1202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7/8 (88)</w:t>
            </w:r>
          </w:p>
        </w:tc>
        <w:tc>
          <w:tcPr>
            <w:tcW w:w="154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10/32 (31)</w:t>
            </w:r>
          </w:p>
        </w:tc>
        <w:tc>
          <w:tcPr>
            <w:tcW w:w="131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88 (47-100)</w:t>
            </w:r>
          </w:p>
        </w:tc>
        <w:tc>
          <w:tcPr>
            <w:tcW w:w="110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69 (50-84)</w:t>
            </w:r>
          </w:p>
        </w:tc>
        <w:tc>
          <w:tcPr>
            <w:tcW w:w="852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0.006</w:t>
            </w:r>
          </w:p>
        </w:tc>
      </w:tr>
      <w:tr>
        <w:trPr/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560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90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08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039" w:type="dxa"/>
            <w:tcBorders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&gt;1000 x10</w:t>
            </w:r>
            <w:r>
              <w:rPr>
                <w:rStyle w:val="Standaardalinealettertype"/>
                <w:rFonts w:cs="Times New Roman" w:ascii="Times New Roman" w:hAnsi="Times New Roman"/>
                <w:b/>
                <w:bCs/>
                <w:color w:val="000000"/>
                <w:position w:val="6"/>
                <w:sz w:val="13"/>
                <w:sz w:val="20"/>
                <w:szCs w:val="20"/>
                <w:lang w:val="en-US"/>
              </w:rPr>
              <w:t>6</w:t>
            </w:r>
            <w:r>
              <w:rPr>
                <w:rStyle w:val="Standaardalinealettertype"/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/L</w:t>
            </w:r>
          </w:p>
        </w:tc>
        <w:tc>
          <w:tcPr>
            <w:tcW w:w="1202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3/8 (38)</w:t>
            </w:r>
          </w:p>
        </w:tc>
        <w:tc>
          <w:tcPr>
            <w:tcW w:w="154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2/32 (6)</w:t>
            </w:r>
          </w:p>
        </w:tc>
        <w:tc>
          <w:tcPr>
            <w:tcW w:w="131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38 (9-76)</w:t>
            </w:r>
          </w:p>
        </w:tc>
        <w:tc>
          <w:tcPr>
            <w:tcW w:w="110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94 (79-99)</w:t>
            </w:r>
          </w:p>
        </w:tc>
        <w:tc>
          <w:tcPr>
            <w:tcW w:w="852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0.046</w:t>
            </w:r>
          </w:p>
        </w:tc>
      </w:tr>
      <w:tr>
        <w:trPr/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/>
                <w:color w:val="000000"/>
                <w:sz w:val="20"/>
                <w:szCs w:val="20"/>
                <w:lang w:val="en-US"/>
              </w:rPr>
              <w:t>CSF lactate conc. (mmol/L)</w:t>
            </w:r>
          </w:p>
        </w:tc>
        <w:tc>
          <w:tcPr>
            <w:tcW w:w="1560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2.9 (2.6-5)</w:t>
            </w:r>
          </w:p>
        </w:tc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2.7 (2.1-3.6)</w:t>
            </w:r>
          </w:p>
        </w:tc>
        <w:tc>
          <w:tcPr>
            <w:tcW w:w="90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0.67</w:t>
            </w:r>
          </w:p>
        </w:tc>
        <w:tc>
          <w:tcPr>
            <w:tcW w:w="108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039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≥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1202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3/7 (43)</w:t>
            </w:r>
          </w:p>
        </w:tc>
        <w:tc>
          <w:tcPr>
            <w:tcW w:w="154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5/29 (17)</w:t>
            </w:r>
          </w:p>
        </w:tc>
        <w:tc>
          <w:tcPr>
            <w:tcW w:w="131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10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852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0.167</w:t>
            </w:r>
          </w:p>
        </w:tc>
      </w:tr>
      <w:tr>
        <w:trPr/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/>
                <w:color w:val="000000"/>
                <w:sz w:val="20"/>
                <w:szCs w:val="20"/>
                <w:lang w:val="en-US"/>
              </w:rPr>
              <w:t>Lactate ratio</w:t>
            </w:r>
          </w:p>
        </w:tc>
        <w:tc>
          <w:tcPr>
            <w:tcW w:w="1560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3.5 (2-5.8)</w:t>
            </w:r>
          </w:p>
        </w:tc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2.5 (1.8-3.6)</w:t>
            </w:r>
          </w:p>
        </w:tc>
        <w:tc>
          <w:tcPr>
            <w:tcW w:w="90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0.44</w:t>
            </w:r>
          </w:p>
        </w:tc>
        <w:tc>
          <w:tcPr>
            <w:tcW w:w="108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039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202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54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31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10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852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/>
                <w:color w:val="000000"/>
                <w:sz w:val="20"/>
                <w:szCs w:val="20"/>
                <w:lang w:val="it-IT"/>
              </w:rPr>
              <w:t>CSF glucose conc. (mmol/L)</w:t>
            </w:r>
          </w:p>
        </w:tc>
        <w:tc>
          <w:tcPr>
            <w:tcW w:w="1560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2.5 (1.8-4.3)</w:t>
            </w:r>
          </w:p>
        </w:tc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3.8 (3.4-5.0)</w:t>
            </w:r>
          </w:p>
        </w:tc>
        <w:tc>
          <w:tcPr>
            <w:tcW w:w="90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08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 xml:space="preserve">0.76 </w:t>
            </w:r>
            <w:r>
              <w:rPr>
                <w:rStyle w:val="Standaardalinealettertype"/>
                <w:rFonts w:cs="Times New Roman" w:ascii="Times New Roman" w:hAnsi="Times New Roman"/>
                <w:color w:val="000000"/>
                <w:sz w:val="20"/>
                <w:szCs w:val="20"/>
              </w:rPr>
              <w:t>(0.57-0.96)</w:t>
            </w:r>
          </w:p>
        </w:tc>
        <w:tc>
          <w:tcPr>
            <w:tcW w:w="1039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202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54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31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10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852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/>
                <w:color w:val="000000"/>
                <w:sz w:val="20"/>
                <w:szCs w:val="20"/>
                <w:lang w:val="en-US"/>
              </w:rPr>
              <w:t>CSF to blood glucose ratio</w:t>
            </w:r>
          </w:p>
        </w:tc>
        <w:tc>
          <w:tcPr>
            <w:tcW w:w="1560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0.3 (0.1-0.6)</w:t>
            </w:r>
          </w:p>
        </w:tc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0.6 (0.5-0.6)</w:t>
            </w:r>
          </w:p>
        </w:tc>
        <w:tc>
          <w:tcPr>
            <w:tcW w:w="90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08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0.81 (0.54- 1.00)</w:t>
            </w:r>
          </w:p>
        </w:tc>
        <w:tc>
          <w:tcPr>
            <w:tcW w:w="1039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&lt; 0.6</w:t>
            </w:r>
          </w:p>
        </w:tc>
        <w:tc>
          <w:tcPr>
            <w:tcW w:w="1202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4/5 (80)</w:t>
            </w:r>
          </w:p>
        </w:tc>
        <w:tc>
          <w:tcPr>
            <w:tcW w:w="154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14/22 (64)</w:t>
            </w:r>
          </w:p>
        </w:tc>
        <w:tc>
          <w:tcPr>
            <w:tcW w:w="131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10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852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0.636</w:t>
            </w:r>
          </w:p>
        </w:tc>
      </w:tr>
      <w:tr>
        <w:trPr/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560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90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08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039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&lt; 0.4</w:t>
            </w:r>
          </w:p>
        </w:tc>
        <w:tc>
          <w:tcPr>
            <w:tcW w:w="1202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3/5 (60)</w:t>
            </w:r>
          </w:p>
        </w:tc>
        <w:tc>
          <w:tcPr>
            <w:tcW w:w="154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2/22 (9)</w:t>
            </w:r>
          </w:p>
        </w:tc>
        <w:tc>
          <w:tcPr>
            <w:tcW w:w="131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60 (15-95)</w:t>
            </w:r>
          </w:p>
        </w:tc>
        <w:tc>
          <w:tcPr>
            <w:tcW w:w="110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91 (71-100)</w:t>
            </w:r>
          </w:p>
        </w:tc>
        <w:tc>
          <w:tcPr>
            <w:tcW w:w="852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0.030</w:t>
            </w:r>
          </w:p>
        </w:tc>
      </w:tr>
      <w:tr>
        <w:trPr/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/>
                <w:color w:val="000000"/>
                <w:sz w:val="20"/>
                <w:szCs w:val="20"/>
                <w:lang w:val="en-US"/>
              </w:rPr>
              <w:t>CSF total protein conc. (g/L)</w:t>
            </w:r>
          </w:p>
        </w:tc>
        <w:tc>
          <w:tcPr>
            <w:tcW w:w="1560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0.95 (0.63-1.76)</w:t>
            </w:r>
          </w:p>
        </w:tc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0.41 (0.27-0.79)</w:t>
            </w:r>
          </w:p>
        </w:tc>
        <w:tc>
          <w:tcPr>
            <w:tcW w:w="90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08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0.76 (0.58-0.94)</w:t>
            </w:r>
          </w:p>
        </w:tc>
        <w:tc>
          <w:tcPr>
            <w:tcW w:w="1039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≥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0.6 g/L</w:t>
            </w:r>
          </w:p>
        </w:tc>
        <w:tc>
          <w:tcPr>
            <w:tcW w:w="1202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7/9 (78)</w:t>
            </w:r>
          </w:p>
        </w:tc>
        <w:tc>
          <w:tcPr>
            <w:tcW w:w="154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9/32 (28)</w:t>
            </w:r>
          </w:p>
        </w:tc>
        <w:tc>
          <w:tcPr>
            <w:tcW w:w="131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78 (40-97)</w:t>
            </w:r>
          </w:p>
        </w:tc>
        <w:tc>
          <w:tcPr>
            <w:tcW w:w="110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72 (53-86)</w:t>
            </w:r>
          </w:p>
        </w:tc>
        <w:tc>
          <w:tcPr>
            <w:tcW w:w="852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0.017</w:t>
            </w:r>
          </w:p>
        </w:tc>
      </w:tr>
      <w:tr>
        <w:trPr/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/>
                <w:color w:val="000000"/>
                <w:sz w:val="20"/>
                <w:szCs w:val="20"/>
                <w:lang w:val="en-US"/>
              </w:rPr>
              <w:t>Percentage PMN</w:t>
            </w:r>
          </w:p>
        </w:tc>
        <w:tc>
          <w:tcPr>
            <w:tcW w:w="1560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64 (32-90)</w:t>
            </w:r>
          </w:p>
        </w:tc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61 (45-74)</w:t>
            </w:r>
          </w:p>
        </w:tc>
        <w:tc>
          <w:tcPr>
            <w:tcW w:w="90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0.73</w:t>
            </w:r>
          </w:p>
        </w:tc>
        <w:tc>
          <w:tcPr>
            <w:tcW w:w="108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039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202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54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31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10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852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/>
                <w:color w:val="000000"/>
                <w:sz w:val="20"/>
                <w:szCs w:val="20"/>
                <w:lang w:val="en-US"/>
              </w:rPr>
              <w:t>Cell index</w:t>
            </w:r>
          </w:p>
        </w:tc>
        <w:tc>
          <w:tcPr>
            <w:tcW w:w="1560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11.1 (9.3-67.5)</w:t>
            </w:r>
          </w:p>
        </w:tc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1.5 (0.4-5.8)</w:t>
            </w:r>
          </w:p>
        </w:tc>
        <w:tc>
          <w:tcPr>
            <w:tcW w:w="90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08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0.82 (0.67-0.98)</w:t>
            </w:r>
          </w:p>
        </w:tc>
        <w:tc>
          <w:tcPr>
            <w:tcW w:w="1039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202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54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31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10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852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14004" w:type="dxa"/>
            <w:gridSpan w:val="11"/>
            <w:tcBorders>
              <w:bottom w:val="single" w:sz="4" w:space="0" w:color="000000"/>
            </w:tcBorders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*Patients are only included if the drain is in situ on day 12</w:t>
            </w:r>
          </w:p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** Calculated in case a significant difference between patients with and without external ventricular catheter-associated infection was found</w:t>
            </w:r>
          </w:p>
        </w:tc>
      </w:tr>
    </w:tbl>
    <w:p>
      <w:pPr>
        <w:pStyle w:val="Standaard"/>
        <w:rPr>
          <w:lang w:val="en-GB"/>
        </w:rPr>
      </w:pPr>
      <w:r>
        <w:rPr>
          <w:lang w:val="en-GB"/>
        </w:rPr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nl-NL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nl-NL" w:eastAsia="en-US" w:bidi="ar-SA"/>
    </w:rPr>
  </w:style>
  <w:style w:type="character" w:styleId="Standaardalinealettertype">
    <w:name w:val="Standaardalinea-lettertype"/>
    <w:qFormat/>
    <w:rPr/>
  </w:style>
  <w:style w:type="paragraph" w:styleId="Standaard">
    <w:name w:val="Standaard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nl-NL" w:eastAsia="en-US" w:bidi="ar-SA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LibreOffice/7.2.0.4$Windows_X86_64 LibreOffice_project/9a9c6381e3f7a62afc1329bd359cc48accb6435b</Application>
  <AppVersion>15.0000</AppVersion>
  <Pages>2</Pages>
  <Words>247</Words>
  <Characters>1360</Characters>
  <CharactersWithSpaces>1604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2021-07-05T20:00:00Z</dcterms:created>
  <dc:creator>Luuk van Rooij</dc:creator>
  <dc:description/>
  <dc:language>en-IN</dc:language>
  <cp:lastModifiedBy>Luuk van Rooij</cp:lastModifiedBy>
  <dcterms:modified xsi:type="dcterms:W3CDTF">2021-07-05T20:00:00Z</dcterms:modified>
  <cp:revision>1</cp:revision>
  <dc:subject/>
  <dc:title/>
</cp:coreProperties>
</file>