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B6" w:rsidRPr="00D428C0" w:rsidRDefault="00360EB6" w:rsidP="00360EB6">
      <w:pPr>
        <w:spacing w:after="0" w:line="240" w:lineRule="auto"/>
        <w:rPr>
          <w:b/>
        </w:rPr>
      </w:pPr>
      <w:r>
        <w:rPr>
          <w:b/>
        </w:rPr>
        <w:t xml:space="preserve">Supplemental </w:t>
      </w:r>
      <w:r w:rsidRPr="00D428C0">
        <w:rPr>
          <w:b/>
        </w:rPr>
        <w:t>Table 1:  Characteristics of the development cohort</w:t>
      </w:r>
    </w:p>
    <w:p w:rsidR="00360EB6" w:rsidRDefault="00360EB6" w:rsidP="00360EB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60EB6" w:rsidTr="004826F6">
        <w:tc>
          <w:tcPr>
            <w:tcW w:w="4675" w:type="dxa"/>
            <w:tcBorders>
              <w:top w:val="single" w:sz="18" w:space="0" w:color="auto"/>
              <w:bottom w:val="single" w:sz="4" w:space="0" w:color="auto"/>
            </w:tcBorders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</w:p>
        </w:tc>
        <w:tc>
          <w:tcPr>
            <w:tcW w:w="4675" w:type="dxa"/>
            <w:tcBorders>
              <w:top w:val="single" w:sz="18" w:space="0" w:color="auto"/>
              <w:bottom w:val="single" w:sz="4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 w:rsidRPr="00DE145F">
              <w:t xml:space="preserve">EoE cases </w:t>
            </w:r>
          </w:p>
          <w:p w:rsidR="00360EB6" w:rsidRPr="00DE145F" w:rsidRDefault="00360EB6" w:rsidP="004826F6">
            <w:pPr>
              <w:spacing w:after="0" w:line="240" w:lineRule="auto"/>
              <w:jc w:val="center"/>
            </w:pPr>
            <w:r w:rsidRPr="00DE145F">
              <w:t xml:space="preserve">(n = </w:t>
            </w:r>
            <w:r>
              <w:t>24</w:t>
            </w:r>
            <w:r w:rsidRPr="00DE145F">
              <w:t>)</w:t>
            </w:r>
          </w:p>
        </w:tc>
      </w:tr>
      <w:tr w:rsidR="00360EB6" w:rsidTr="004826F6">
        <w:tc>
          <w:tcPr>
            <w:tcW w:w="4675" w:type="dxa"/>
            <w:tcBorders>
              <w:top w:val="single" w:sz="4" w:space="0" w:color="auto"/>
            </w:tcBorders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>Mean age (years ± SD)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38.2 ± 10.6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>% Male (n, %)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6 (25)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>% White (n, %)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23 (96)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>Symptoms (n, %)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  <w:t xml:space="preserve">Dysphagia 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22 (92)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  <w:t>Heartburn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12 (50)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  <w:t>Chest pain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4 (17)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  <w:t>Abdominal pain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5 (21)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  <w:t>Nausea/vomiting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4 (17)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>Any atopy (n, %)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18 (75)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  <w:t>Asthma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5 (21)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  <w:t>Seasonal allergies/allergic rhinitis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14 (58)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  <w:t>Food allergies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13 (54)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>Dietary responders (n, %)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15 (63)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  <w:t>Previously identified food triggers (n, %)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</w:r>
            <w:r>
              <w:tab/>
              <w:t>Dairy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11 (73)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</w:r>
            <w:r>
              <w:tab/>
              <w:t>Wheat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5 (33)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</w:r>
            <w:r>
              <w:tab/>
              <w:t>Egg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8 (53)</w:t>
            </w:r>
          </w:p>
        </w:tc>
      </w:tr>
      <w:tr w:rsidR="00360EB6" w:rsidTr="004826F6">
        <w:tc>
          <w:tcPr>
            <w:tcW w:w="4675" w:type="dxa"/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</w:r>
            <w:r>
              <w:tab/>
              <w:t>Soy</w:t>
            </w:r>
          </w:p>
        </w:tc>
        <w:tc>
          <w:tcPr>
            <w:tcW w:w="467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4 (27)</w:t>
            </w:r>
          </w:p>
        </w:tc>
      </w:tr>
      <w:tr w:rsidR="00360EB6" w:rsidTr="004826F6">
        <w:tc>
          <w:tcPr>
            <w:tcW w:w="4675" w:type="dxa"/>
            <w:tcBorders>
              <w:bottom w:val="single" w:sz="18" w:space="0" w:color="auto"/>
            </w:tcBorders>
          </w:tcPr>
          <w:p w:rsidR="00360EB6" w:rsidRDefault="00360EB6" w:rsidP="004826F6">
            <w:pPr>
              <w:tabs>
                <w:tab w:val="left" w:pos="345"/>
              </w:tabs>
              <w:spacing w:after="0" w:line="240" w:lineRule="auto"/>
            </w:pPr>
            <w:r>
              <w:tab/>
            </w:r>
            <w:r>
              <w:tab/>
              <w:t>Peanut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3 (20)</w:t>
            </w:r>
          </w:p>
        </w:tc>
      </w:tr>
    </w:tbl>
    <w:p w:rsidR="00360EB6" w:rsidRDefault="00360EB6" w:rsidP="00360EB6">
      <w:pPr>
        <w:spacing w:after="0" w:line="240" w:lineRule="auto"/>
      </w:pPr>
    </w:p>
    <w:p w:rsidR="00360EB6" w:rsidRDefault="00360EB6" w:rsidP="00360EB6">
      <w:pPr>
        <w:spacing w:after="0" w:line="240" w:lineRule="auto"/>
      </w:pPr>
    </w:p>
    <w:p w:rsidR="00360EB6" w:rsidRDefault="00360EB6" w:rsidP="00360EB6">
      <w:pPr>
        <w:spacing w:after="0" w:line="240" w:lineRule="auto"/>
      </w:pPr>
    </w:p>
    <w:p w:rsidR="00360EB6" w:rsidRDefault="00360EB6" w:rsidP="00360EB6">
      <w:pPr>
        <w:spacing w:after="0" w:line="240" w:lineRule="auto"/>
      </w:pPr>
    </w:p>
    <w:p w:rsidR="00360EB6" w:rsidRDefault="00360EB6" w:rsidP="00360EB6">
      <w:pPr>
        <w:spacing w:after="160" w:line="259" w:lineRule="auto"/>
      </w:pPr>
      <w:r>
        <w:br w:type="page"/>
      </w:r>
    </w:p>
    <w:p w:rsidR="00360EB6" w:rsidRPr="00DC7DA1" w:rsidRDefault="00360EB6" w:rsidP="00360EB6">
      <w:pPr>
        <w:spacing w:after="0" w:line="240" w:lineRule="auto"/>
        <w:rPr>
          <w:b/>
        </w:rPr>
      </w:pPr>
      <w:r w:rsidRPr="00DC7DA1">
        <w:rPr>
          <w:b/>
        </w:rPr>
        <w:lastRenderedPageBreak/>
        <w:t>Supplemental Table 2</w:t>
      </w:r>
      <w:r>
        <w:rPr>
          <w:b/>
        </w:rPr>
        <w:t>:  Change in assays between baseline and post-dietary treatment</w:t>
      </w:r>
    </w:p>
    <w:p w:rsidR="00360EB6" w:rsidRDefault="00360EB6" w:rsidP="00360EB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085"/>
        <w:gridCol w:w="1980"/>
        <w:gridCol w:w="2070"/>
        <w:gridCol w:w="1345"/>
      </w:tblGrid>
      <w:tr w:rsidR="00360EB6" w:rsidTr="004826F6">
        <w:tc>
          <w:tcPr>
            <w:tcW w:w="1870" w:type="dxa"/>
            <w:tcBorders>
              <w:top w:val="single" w:sz="18" w:space="0" w:color="auto"/>
            </w:tcBorders>
          </w:tcPr>
          <w:p w:rsidR="00360EB6" w:rsidRDefault="00360EB6" w:rsidP="004826F6">
            <w:pPr>
              <w:spacing w:after="0" w:line="240" w:lineRule="auto"/>
            </w:pPr>
          </w:p>
        </w:tc>
        <w:tc>
          <w:tcPr>
            <w:tcW w:w="2085" w:type="dxa"/>
            <w:tcBorders>
              <w:top w:val="single" w:sz="18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 xml:space="preserve">Overall median % change in all compliant subjects </w:t>
            </w:r>
          </w:p>
          <w:p w:rsidR="00360EB6" w:rsidRDefault="00360EB6" w:rsidP="004826F6">
            <w:pPr>
              <w:spacing w:after="0" w:line="240" w:lineRule="auto"/>
              <w:jc w:val="center"/>
            </w:pPr>
            <w:r>
              <w:t>(n=19)</w:t>
            </w:r>
          </w:p>
        </w:tc>
        <w:tc>
          <w:tcPr>
            <w:tcW w:w="539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Median % change in compliant subjects</w:t>
            </w:r>
          </w:p>
        </w:tc>
      </w:tr>
      <w:tr w:rsidR="00360EB6" w:rsidTr="004826F6">
        <w:tc>
          <w:tcPr>
            <w:tcW w:w="1870" w:type="dxa"/>
          </w:tcPr>
          <w:p w:rsidR="00360EB6" w:rsidRDefault="00360EB6" w:rsidP="004826F6">
            <w:pPr>
              <w:spacing w:after="0" w:line="240" w:lineRule="auto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Histologic</w:t>
            </w:r>
          </w:p>
          <w:p w:rsidR="00360EB6" w:rsidRDefault="00360EB6" w:rsidP="004826F6">
            <w:pPr>
              <w:spacing w:after="0" w:line="240" w:lineRule="auto"/>
              <w:jc w:val="center"/>
            </w:pPr>
            <w:r>
              <w:t>non-responders</w:t>
            </w:r>
            <w:r w:rsidRPr="00A252FC">
              <w:rPr>
                <w:rFonts w:cstheme="minorHAnsi"/>
                <w:vertAlign w:val="superscript"/>
              </w:rPr>
              <w:t>‡</w:t>
            </w:r>
          </w:p>
          <w:p w:rsidR="00360EB6" w:rsidRDefault="00360EB6" w:rsidP="004826F6">
            <w:pPr>
              <w:spacing w:after="0" w:line="240" w:lineRule="auto"/>
              <w:jc w:val="center"/>
            </w:pPr>
            <w:r>
              <w:t>(n=13)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Histologic responders</w:t>
            </w:r>
            <w:r w:rsidRPr="00A252FC">
              <w:rPr>
                <w:rFonts w:cstheme="minorHAnsi"/>
                <w:vertAlign w:val="superscript"/>
              </w:rPr>
              <w:t>‡</w:t>
            </w:r>
          </w:p>
          <w:p w:rsidR="00360EB6" w:rsidRDefault="00360EB6" w:rsidP="004826F6">
            <w:pPr>
              <w:spacing w:after="0" w:line="240" w:lineRule="auto"/>
              <w:jc w:val="center"/>
            </w:pPr>
            <w:r>
              <w:t>(n=6)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p value</w:t>
            </w:r>
            <w:r w:rsidRPr="00A252FC">
              <w:rPr>
                <w:vertAlign w:val="superscript"/>
              </w:rPr>
              <w:t>#</w:t>
            </w:r>
          </w:p>
        </w:tc>
      </w:tr>
      <w:tr w:rsidR="00360EB6" w:rsidTr="004826F6">
        <w:tc>
          <w:tcPr>
            <w:tcW w:w="3955" w:type="dxa"/>
            <w:gridSpan w:val="2"/>
          </w:tcPr>
          <w:p w:rsidR="00360EB6" w:rsidRDefault="00360EB6" w:rsidP="004826F6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CD4</w:t>
            </w:r>
            <w:r>
              <w:rPr>
                <w:b/>
                <w:bCs/>
                <w:i/>
                <w:iCs/>
                <w:vertAlign w:val="superscript"/>
              </w:rPr>
              <w:t>+</w:t>
            </w:r>
            <w:r>
              <w:rPr>
                <w:b/>
                <w:bCs/>
                <w:i/>
                <w:iCs/>
              </w:rPr>
              <w:t xml:space="preserve"> T cell</w:t>
            </w:r>
            <w:r w:rsidRPr="00401BCA">
              <w:rPr>
                <w:b/>
                <w:bCs/>
                <w:i/>
                <w:iCs/>
              </w:rPr>
              <w:t xml:space="preserve"> proliferation</w:t>
            </w:r>
            <w:r w:rsidRPr="00A252FC">
              <w:rPr>
                <w:bCs/>
                <w:i/>
                <w:iCs/>
              </w:rPr>
              <w:t>*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</w:tr>
      <w:tr w:rsidR="00360EB6" w:rsidTr="004826F6">
        <w:tc>
          <w:tcPr>
            <w:tcW w:w="1870" w:type="dxa"/>
          </w:tcPr>
          <w:p w:rsidR="00360EB6" w:rsidRDefault="00360EB6" w:rsidP="004826F6">
            <w:pPr>
              <w:spacing w:after="0" w:line="240" w:lineRule="auto"/>
            </w:pPr>
            <w:r>
              <w:t>Dairy</w:t>
            </w:r>
          </w:p>
        </w:tc>
        <w:tc>
          <w:tcPr>
            <w:tcW w:w="208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-15.6 (-49.6-88.0)</w:t>
            </w: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-14.4 (-50.7-89.6)</w:t>
            </w: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-44.9 (-46.3-86.4)</w:t>
            </w: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0.93</w:t>
            </w:r>
          </w:p>
        </w:tc>
      </w:tr>
      <w:tr w:rsidR="00360EB6" w:rsidTr="004826F6">
        <w:tc>
          <w:tcPr>
            <w:tcW w:w="1870" w:type="dxa"/>
          </w:tcPr>
          <w:p w:rsidR="00360EB6" w:rsidRDefault="00360EB6" w:rsidP="004826F6">
            <w:pPr>
              <w:spacing w:after="0" w:line="240" w:lineRule="auto"/>
            </w:pPr>
            <w:r>
              <w:t>Wheat</w:t>
            </w:r>
          </w:p>
        </w:tc>
        <w:tc>
          <w:tcPr>
            <w:tcW w:w="208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-38.4 (-78.8-133.7)</w:t>
            </w: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-6.6 (-45.1-158.6)</w:t>
            </w: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-90.6 (-90.7- -83.9)</w:t>
            </w: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0.10</w:t>
            </w:r>
          </w:p>
        </w:tc>
      </w:tr>
      <w:tr w:rsidR="00360EB6" w:rsidTr="004826F6">
        <w:tc>
          <w:tcPr>
            <w:tcW w:w="1870" w:type="dxa"/>
          </w:tcPr>
          <w:p w:rsidR="00360EB6" w:rsidRDefault="00360EB6" w:rsidP="004826F6">
            <w:pPr>
              <w:spacing w:after="0" w:line="240" w:lineRule="auto"/>
            </w:pPr>
            <w:r>
              <w:t>Egg</w:t>
            </w:r>
          </w:p>
        </w:tc>
        <w:tc>
          <w:tcPr>
            <w:tcW w:w="208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22.3 (-64.3-257.2)</w:t>
            </w: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53.3 (-64.2-269.1)</w:t>
            </w: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-45.6 (-76.3-115.7)</w:t>
            </w: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0.60</w:t>
            </w:r>
          </w:p>
        </w:tc>
      </w:tr>
      <w:tr w:rsidR="00360EB6" w:rsidTr="004826F6">
        <w:tc>
          <w:tcPr>
            <w:tcW w:w="1870" w:type="dxa"/>
          </w:tcPr>
          <w:p w:rsidR="00360EB6" w:rsidRDefault="00360EB6" w:rsidP="004826F6">
            <w:pPr>
              <w:spacing w:after="0" w:line="240" w:lineRule="auto"/>
            </w:pPr>
            <w:r>
              <w:t>Soy</w:t>
            </w:r>
          </w:p>
        </w:tc>
        <w:tc>
          <w:tcPr>
            <w:tcW w:w="208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-16.3 (-72.5-329.6)</w:t>
            </w: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-6.4 (-72.5-332.0)</w:t>
            </w: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-28.3 (-72.6-105.1)</w:t>
            </w: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0.85</w:t>
            </w:r>
          </w:p>
        </w:tc>
      </w:tr>
      <w:tr w:rsidR="00360EB6" w:rsidTr="004826F6">
        <w:tc>
          <w:tcPr>
            <w:tcW w:w="1870" w:type="dxa"/>
          </w:tcPr>
          <w:p w:rsidR="00360EB6" w:rsidRDefault="00360EB6" w:rsidP="004826F6">
            <w:pPr>
              <w:spacing w:after="0" w:line="240" w:lineRule="auto"/>
            </w:pPr>
            <w:r>
              <w:t>Peanut</w:t>
            </w:r>
          </w:p>
        </w:tc>
        <w:tc>
          <w:tcPr>
            <w:tcW w:w="208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4.48 (-59.1-131.1)</w:t>
            </w: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36.4 (-56.7-202.5)</w:t>
            </w: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-44.5 (-72.0-85.4)</w:t>
            </w: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0.42</w:t>
            </w:r>
          </w:p>
        </w:tc>
      </w:tr>
      <w:tr w:rsidR="00360EB6" w:rsidTr="004826F6">
        <w:tc>
          <w:tcPr>
            <w:tcW w:w="1870" w:type="dxa"/>
          </w:tcPr>
          <w:p w:rsidR="00360EB6" w:rsidRDefault="00360EB6" w:rsidP="004826F6">
            <w:pPr>
              <w:spacing w:after="0" w:line="240" w:lineRule="auto"/>
            </w:pPr>
          </w:p>
        </w:tc>
        <w:tc>
          <w:tcPr>
            <w:tcW w:w="2085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</w:tr>
      <w:tr w:rsidR="00360EB6" w:rsidTr="004826F6">
        <w:tc>
          <w:tcPr>
            <w:tcW w:w="1870" w:type="dxa"/>
          </w:tcPr>
          <w:p w:rsidR="00360EB6" w:rsidRPr="00DC7DA1" w:rsidRDefault="00360EB6" w:rsidP="004826F6">
            <w:pPr>
              <w:spacing w:after="0" w:line="240" w:lineRule="auto"/>
              <w:rPr>
                <w:b/>
                <w:i/>
              </w:rPr>
            </w:pPr>
            <w:r w:rsidRPr="00DC7DA1">
              <w:rPr>
                <w:b/>
                <w:i/>
              </w:rPr>
              <w:t>Tissue IgG4</w:t>
            </w:r>
            <w:r w:rsidRPr="00A252FC">
              <w:rPr>
                <w:rFonts w:cstheme="minorHAnsi"/>
                <w:i/>
              </w:rPr>
              <w:t>†</w:t>
            </w:r>
            <w:r w:rsidRPr="00DC7DA1">
              <w:rPr>
                <w:b/>
                <w:i/>
              </w:rPr>
              <w:t xml:space="preserve"> </w:t>
            </w:r>
          </w:p>
        </w:tc>
        <w:tc>
          <w:tcPr>
            <w:tcW w:w="2085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</w:p>
        </w:tc>
      </w:tr>
      <w:tr w:rsidR="00360EB6" w:rsidTr="004826F6">
        <w:tc>
          <w:tcPr>
            <w:tcW w:w="1870" w:type="dxa"/>
          </w:tcPr>
          <w:p w:rsidR="00360EB6" w:rsidRDefault="00360EB6" w:rsidP="004826F6">
            <w:pPr>
              <w:spacing w:after="0" w:line="240" w:lineRule="auto"/>
            </w:pPr>
            <w:r>
              <w:t>Dairy</w:t>
            </w:r>
          </w:p>
        </w:tc>
        <w:tc>
          <w:tcPr>
            <w:tcW w:w="208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-28.9 (-88.9-0)</w:t>
            </w: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-36.7 (-83.8-0)</w:t>
            </w: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-26.6 (-97.7-0)</w:t>
            </w: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0.94</w:t>
            </w:r>
          </w:p>
        </w:tc>
      </w:tr>
      <w:tr w:rsidR="00360EB6" w:rsidTr="004826F6">
        <w:tc>
          <w:tcPr>
            <w:tcW w:w="1870" w:type="dxa"/>
          </w:tcPr>
          <w:p w:rsidR="00360EB6" w:rsidRDefault="00360EB6" w:rsidP="004826F6">
            <w:pPr>
              <w:spacing w:after="0" w:line="240" w:lineRule="auto"/>
            </w:pPr>
            <w:r>
              <w:t>Wheat</w:t>
            </w:r>
          </w:p>
        </w:tc>
        <w:tc>
          <w:tcPr>
            <w:tcW w:w="208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-20.5 (-100-20.0)</w:t>
            </w: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-69.6 (-100-1.4)</w:t>
            </w: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 (-47.7-20.0)</w:t>
            </w: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0.58</w:t>
            </w:r>
          </w:p>
        </w:tc>
      </w:tr>
      <w:tr w:rsidR="00360EB6" w:rsidTr="004826F6">
        <w:tc>
          <w:tcPr>
            <w:tcW w:w="1870" w:type="dxa"/>
          </w:tcPr>
          <w:p w:rsidR="00360EB6" w:rsidRDefault="00360EB6" w:rsidP="004826F6">
            <w:pPr>
              <w:spacing w:after="0" w:line="240" w:lineRule="auto"/>
            </w:pPr>
            <w:r>
              <w:t>Egg</w:t>
            </w:r>
          </w:p>
        </w:tc>
        <w:tc>
          <w:tcPr>
            <w:tcW w:w="208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-21.3 (-81.7-0)</w:t>
            </w: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-21.3 (-81.7-0)</w:t>
            </w: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-19.0 (-70.9-0)</w:t>
            </w: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0.65</w:t>
            </w:r>
          </w:p>
        </w:tc>
      </w:tr>
      <w:tr w:rsidR="00360EB6" w:rsidTr="004826F6">
        <w:tc>
          <w:tcPr>
            <w:tcW w:w="1870" w:type="dxa"/>
          </w:tcPr>
          <w:p w:rsidR="00360EB6" w:rsidRDefault="00360EB6" w:rsidP="004826F6">
            <w:pPr>
              <w:spacing w:after="0" w:line="240" w:lineRule="auto"/>
            </w:pPr>
            <w:r>
              <w:t>Soy</w:t>
            </w:r>
          </w:p>
        </w:tc>
        <w:tc>
          <w:tcPr>
            <w:tcW w:w="208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 (-84.8-48.4)</w:t>
            </w:r>
          </w:p>
        </w:tc>
        <w:tc>
          <w:tcPr>
            <w:tcW w:w="198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 (-84.8-65.3)</w:t>
            </w:r>
          </w:p>
        </w:tc>
        <w:tc>
          <w:tcPr>
            <w:tcW w:w="2070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 (-100-40.7)</w:t>
            </w:r>
          </w:p>
        </w:tc>
        <w:tc>
          <w:tcPr>
            <w:tcW w:w="1345" w:type="dxa"/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0.83</w:t>
            </w:r>
          </w:p>
        </w:tc>
      </w:tr>
      <w:tr w:rsidR="00360EB6" w:rsidTr="004826F6">
        <w:tc>
          <w:tcPr>
            <w:tcW w:w="1870" w:type="dxa"/>
            <w:tcBorders>
              <w:bottom w:val="single" w:sz="18" w:space="0" w:color="auto"/>
            </w:tcBorders>
          </w:tcPr>
          <w:p w:rsidR="00360EB6" w:rsidRDefault="00360EB6" w:rsidP="004826F6">
            <w:pPr>
              <w:spacing w:after="0" w:line="240" w:lineRule="auto"/>
            </w:pPr>
            <w:r>
              <w:t>Peanut</w:t>
            </w:r>
          </w:p>
        </w:tc>
        <w:tc>
          <w:tcPr>
            <w:tcW w:w="2085" w:type="dxa"/>
            <w:tcBorders>
              <w:bottom w:val="single" w:sz="18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 (-79.8-100)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 (-61.6-305.9)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-42.5 (-96.9-100)</w:t>
            </w:r>
          </w:p>
        </w:tc>
        <w:tc>
          <w:tcPr>
            <w:tcW w:w="1345" w:type="dxa"/>
            <w:tcBorders>
              <w:bottom w:val="single" w:sz="18" w:space="0" w:color="auto"/>
            </w:tcBorders>
          </w:tcPr>
          <w:p w:rsidR="00360EB6" w:rsidRDefault="00360EB6" w:rsidP="004826F6">
            <w:pPr>
              <w:spacing w:after="0" w:line="240" w:lineRule="auto"/>
              <w:jc w:val="center"/>
            </w:pPr>
            <w:r>
              <w:t>0.27</w:t>
            </w:r>
          </w:p>
        </w:tc>
      </w:tr>
    </w:tbl>
    <w:p w:rsidR="00360EB6" w:rsidRDefault="00360EB6" w:rsidP="00360EB6">
      <w:pPr>
        <w:spacing w:after="0" w:line="240" w:lineRule="auto"/>
      </w:pPr>
      <w:r>
        <w:t>* Measured as the percent of stimulated CD4+</w:t>
      </w:r>
      <w:r w:rsidRPr="00A252FC">
        <w:t xml:space="preserve"> CSFE-low</w:t>
      </w:r>
      <w:r>
        <w:t xml:space="preserve"> cells</w:t>
      </w:r>
    </w:p>
    <w:p w:rsidR="00360EB6" w:rsidRDefault="00360EB6" w:rsidP="00360EB6">
      <w:pPr>
        <w:spacing w:after="0" w:line="240" w:lineRule="auto"/>
      </w:pPr>
      <w:r>
        <w:rPr>
          <w:rFonts w:cstheme="minorHAnsi"/>
        </w:rPr>
        <w:t>†</w:t>
      </w:r>
      <w:r>
        <w:t xml:space="preserve"> Measured as the food-specific IgG4 percent of the total IgG4</w:t>
      </w:r>
    </w:p>
    <w:p w:rsidR="00360EB6" w:rsidRDefault="00360EB6" w:rsidP="00360EB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‡ Histologic response defined as a post-treatment peak eosinophil count of &lt; 15 </w:t>
      </w:r>
      <w:proofErr w:type="spellStart"/>
      <w:r>
        <w:rPr>
          <w:rFonts w:cstheme="minorHAnsi"/>
        </w:rPr>
        <w:t>eos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hpf</w:t>
      </w:r>
      <w:proofErr w:type="spellEnd"/>
    </w:p>
    <w:p w:rsidR="00360EB6" w:rsidRPr="00A252FC" w:rsidRDefault="00360EB6" w:rsidP="00360EB6">
      <w:pPr>
        <w:spacing w:after="0" w:line="240" w:lineRule="auto"/>
      </w:pPr>
      <w:r>
        <w:rPr>
          <w:rFonts w:cstheme="minorHAnsi"/>
        </w:rPr>
        <w:t># Medians compared with the Wilcoxon Rank-sum test</w:t>
      </w:r>
    </w:p>
    <w:p w:rsidR="00360EB6" w:rsidRDefault="00360EB6" w:rsidP="00360EB6">
      <w:pPr>
        <w:spacing w:after="0" w:line="240" w:lineRule="auto"/>
      </w:pPr>
    </w:p>
    <w:p w:rsidR="00101507" w:rsidRDefault="00101507"/>
    <w:p w:rsidR="00360EB6" w:rsidRDefault="00360EB6"/>
    <w:p w:rsidR="00360EB6" w:rsidRDefault="00360EB6">
      <w:pPr>
        <w:spacing w:after="160" w:line="259" w:lineRule="auto"/>
      </w:pPr>
      <w:r>
        <w:br w:type="page"/>
      </w:r>
    </w:p>
    <w:p w:rsidR="00360EB6" w:rsidRDefault="00360EB6" w:rsidP="00360E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58D7">
        <w:rPr>
          <w:rFonts w:ascii="Times New Roman" w:hAnsi="Times New Roman" w:cs="Times New Roman"/>
          <w:b/>
          <w:sz w:val="24"/>
          <w:szCs w:val="24"/>
        </w:rPr>
        <w:lastRenderedPageBreak/>
        <w:t>Supplemental Figure 1.</w:t>
      </w:r>
      <w:r>
        <w:rPr>
          <w:rFonts w:ascii="Times New Roman" w:hAnsi="Times New Roman" w:cs="Times New Roman"/>
          <w:sz w:val="24"/>
          <w:szCs w:val="24"/>
        </w:rPr>
        <w:t xml:space="preserve">  Distribution of individualized diets.  </w:t>
      </w:r>
      <w:proofErr w:type="gramStart"/>
      <w:r>
        <w:rPr>
          <w:rFonts w:ascii="Times New Roman" w:hAnsi="Times New Roman" w:cs="Times New Roman"/>
          <w:sz w:val="24"/>
          <w:szCs w:val="24"/>
        </w:rPr>
        <w:t>A total of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diets were prescribed to the 22 patients who started treatment in the second phase of the study.</w:t>
      </w:r>
    </w:p>
    <w:p w:rsidR="00360EB6" w:rsidRDefault="00360EB6" w:rsidP="00360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EB6" w:rsidRDefault="00360EB6" w:rsidP="00360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6666C6" wp14:editId="6F8196C3">
            <wp:extent cx="6076950" cy="4557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8894" cy="455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EB6" w:rsidRDefault="00360EB6" w:rsidP="00360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EB6" w:rsidRDefault="00360EB6" w:rsidP="00360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EB6" w:rsidRDefault="00360EB6">
      <w:bookmarkStart w:id="0" w:name="_GoBack"/>
      <w:bookmarkEnd w:id="0"/>
    </w:p>
    <w:sectPr w:rsidR="0036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6"/>
    <w:rsid w:val="00101507"/>
    <w:rsid w:val="003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1003"/>
  <w15:chartTrackingRefBased/>
  <w15:docId w15:val="{7EAC0BE2-84C1-41C7-BA3E-7629A5DE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Dellon, Evan</dc:creator>
  <cp:keywords/>
  <dc:description/>
  <cp:lastModifiedBy>Dellon, Evan</cp:lastModifiedBy>
  <cp:revision>1</cp:revision>
  <dcterms:created xsi:type="dcterms:W3CDTF">2019-04-16T13:33:00Z</dcterms:created>
  <dcterms:modified xsi:type="dcterms:W3CDTF">2019-04-16T13:34:00Z</dcterms:modified>
</cp:coreProperties>
</file>