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36E" w:rsidRPr="00F30F91" w:rsidRDefault="004F336E" w:rsidP="004F336E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/>
          <w:bCs/>
          <w:color w:val="000000"/>
          <w:kern w:val="24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kern w:val="24"/>
          <w:lang w:val="en-US"/>
        </w:rPr>
        <w:t>Supplementary table</w:t>
      </w:r>
      <w:r w:rsidRPr="00FB04AC">
        <w:rPr>
          <w:rFonts w:asciiTheme="minorHAnsi" w:eastAsia="MS PGothic" w:hAnsiTheme="minorHAnsi"/>
          <w:b/>
          <w:bCs/>
          <w:color w:val="000000"/>
          <w:kern w:val="24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color w:val="000000"/>
          <w:kern w:val="24"/>
          <w:lang w:val="en-US"/>
        </w:rPr>
        <w:t>3</w:t>
      </w:r>
      <w:r w:rsidRPr="00FB04AC">
        <w:rPr>
          <w:rFonts w:asciiTheme="minorHAnsi" w:eastAsia="MS PGothic" w:hAnsiTheme="minorHAnsi"/>
          <w:b/>
          <w:bCs/>
          <w:color w:val="000000"/>
          <w:kern w:val="24"/>
          <w:lang w:val="en-US"/>
        </w:rPr>
        <w:t xml:space="preserve">: </w:t>
      </w:r>
      <w:r w:rsidRPr="00F30F91">
        <w:rPr>
          <w:rFonts w:asciiTheme="minorHAnsi" w:eastAsia="MS PGothic" w:hAnsiTheme="minorHAnsi"/>
          <w:bCs/>
          <w:color w:val="000000"/>
          <w:kern w:val="24"/>
          <w:lang w:val="en-US"/>
        </w:rPr>
        <w:t>binary logistic regression analyses of factors associated with NASH</w:t>
      </w:r>
      <w:r>
        <w:rPr>
          <w:rFonts w:asciiTheme="minorHAnsi" w:eastAsia="MS PGothic" w:hAnsiTheme="minorHAnsi"/>
          <w:bCs/>
          <w:color w:val="000000"/>
          <w:kern w:val="24"/>
          <w:lang w:val="en-US"/>
        </w:rPr>
        <w:t>-related cirrhosis c</w:t>
      </w:r>
      <w:r w:rsidRPr="00F30F91"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ompared to </w:t>
      </w:r>
      <w:r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non-cirrhotic </w:t>
      </w:r>
      <w:r w:rsidRPr="00F30F91">
        <w:rPr>
          <w:rFonts w:asciiTheme="minorHAnsi" w:eastAsia="MS PGothic" w:hAnsiTheme="minorHAnsi"/>
          <w:bCs/>
          <w:color w:val="000000"/>
          <w:kern w:val="24"/>
          <w:lang w:val="en-US"/>
        </w:rPr>
        <w:t>NAFLD</w:t>
      </w:r>
      <w:r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 (Model A)</w:t>
      </w:r>
      <w:r w:rsidRPr="00F30F91"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, </w:t>
      </w:r>
      <w:r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with alcoholic cirrhosis </w:t>
      </w:r>
      <w:r w:rsidRPr="00F30F91"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compared to </w:t>
      </w:r>
      <w:r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non-cirrhotic alcoholic liver disease </w:t>
      </w:r>
      <w:r w:rsidRPr="00F30F91"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(Model B), with </w:t>
      </w:r>
      <w:r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non-cirrhotic </w:t>
      </w:r>
      <w:r w:rsidRPr="00F30F91">
        <w:rPr>
          <w:rFonts w:asciiTheme="minorHAnsi" w:eastAsia="MS PGothic" w:hAnsiTheme="minorHAnsi"/>
          <w:bCs/>
          <w:color w:val="000000"/>
          <w:kern w:val="24"/>
          <w:lang w:val="en-US"/>
        </w:rPr>
        <w:t>NAFLD</w:t>
      </w:r>
      <w:r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 </w:t>
      </w:r>
      <w:r w:rsidRPr="00F30F91"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compared to </w:t>
      </w:r>
      <w:r>
        <w:rPr>
          <w:rFonts w:asciiTheme="minorHAnsi" w:eastAsia="MS PGothic" w:hAnsiTheme="minorHAnsi"/>
          <w:bCs/>
          <w:color w:val="000000"/>
          <w:kern w:val="24"/>
          <w:lang w:val="en-US"/>
        </w:rPr>
        <w:t>non-cirrhotic alcoholic liver disease</w:t>
      </w:r>
      <w:r w:rsidRPr="00F30F91"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 (Model C), with NASH</w:t>
      </w:r>
      <w:r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-related cirrhosis </w:t>
      </w:r>
      <w:r w:rsidRPr="00F30F91"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compared to </w:t>
      </w:r>
      <w:r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alcoholic cirrhosis </w:t>
      </w:r>
      <w:r w:rsidRPr="00F30F91"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(Model D). </w:t>
      </w:r>
    </w:p>
    <w:p w:rsidR="004F336E" w:rsidRPr="00FB04AC" w:rsidRDefault="004F336E" w:rsidP="004F336E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057"/>
        <w:gridCol w:w="962"/>
        <w:gridCol w:w="2246"/>
        <w:gridCol w:w="962"/>
        <w:gridCol w:w="2086"/>
        <w:gridCol w:w="962"/>
        <w:gridCol w:w="1767"/>
        <w:gridCol w:w="962"/>
      </w:tblGrid>
      <w:tr w:rsidR="004F336E" w:rsidRPr="00FB04AC" w:rsidTr="003C2998">
        <w:trPr>
          <w:trHeight w:val="396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10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Model A</w:t>
            </w:r>
          </w:p>
        </w:tc>
        <w:tc>
          <w:tcPr>
            <w:tcW w:w="11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Model B</w:t>
            </w:r>
          </w:p>
        </w:tc>
        <w:tc>
          <w:tcPr>
            <w:tcW w:w="10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Model C</w:t>
            </w:r>
          </w:p>
        </w:tc>
        <w:tc>
          <w:tcPr>
            <w:tcW w:w="9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Model D</w:t>
            </w:r>
          </w:p>
        </w:tc>
      </w:tr>
      <w:tr w:rsidR="004F336E" w:rsidRPr="00FB04AC" w:rsidTr="004F336E">
        <w:trPr>
          <w:trHeight w:val="1191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</w:pPr>
            <w:r w:rsidRPr="005F0508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CIR-NASH vs</w:t>
            </w:r>
          </w:p>
          <w:p w:rsidR="004F336E" w:rsidRPr="005F0508" w:rsidRDefault="00430E8F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 xml:space="preserve">non-cirrhotic </w:t>
            </w:r>
            <w:r w:rsidR="004F336E" w:rsidRPr="005F0508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NAFLD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5F0508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OR [95% of CI]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p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</w:pPr>
            <w:r w:rsidRPr="005F0508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CIR-ALD vs</w:t>
            </w:r>
          </w:p>
          <w:p w:rsidR="004F336E" w:rsidRPr="005F0508" w:rsidRDefault="00430E8F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 xml:space="preserve">non-cirrhotic </w:t>
            </w:r>
            <w:r w:rsidR="004F336E" w:rsidRPr="005F0508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ALD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5F0508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OR [95% of CI]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p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Default="00430E8F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 xml:space="preserve">non-cirrhotic </w:t>
            </w:r>
            <w:r w:rsidR="004F336E"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NAFLD vs</w:t>
            </w:r>
          </w:p>
          <w:p w:rsidR="004F336E" w:rsidRPr="00FB04AC" w:rsidRDefault="00430E8F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 xml:space="preserve">non-cirrhotic </w:t>
            </w:r>
            <w:r w:rsidR="004F336E"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ALD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OR [95% of CI]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p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</w:pPr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CIR-NASH vs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</w:pPr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CIR-ALD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</w:pPr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OR [95% of CI]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</w:pPr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p</w:t>
            </w:r>
          </w:p>
        </w:tc>
      </w:tr>
      <w:tr w:rsidR="004F336E" w:rsidRPr="00FB04AC" w:rsidTr="003C2998">
        <w:trPr>
          <w:trHeight w:val="792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 xml:space="preserve">Blood total </w:t>
            </w:r>
            <w:proofErr w:type="spellStart"/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Total</w:t>
            </w:r>
            <w:proofErr w:type="spellEnd"/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 xml:space="preserve"> LAL (nanomoles/spot/h)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5F0508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0.059</w:t>
            </w:r>
          </w:p>
          <w:p w:rsidR="004F336E" w:rsidRPr="00805F42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[0.008–0.404]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805F42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</w:pPr>
            <w:r w:rsidRPr="005F0508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0.004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5F0508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0.080</w:t>
            </w:r>
          </w:p>
          <w:p w:rsidR="004F336E" w:rsidRPr="00805F42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[0.010–0.666]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805F42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5F0508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0.020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0.089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[0.017–0.452]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0.004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0.174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[0.033–0.923]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0.013</w:t>
            </w:r>
          </w:p>
        </w:tc>
      </w:tr>
      <w:tr w:rsidR="004F336E" w:rsidRPr="00FB04AC" w:rsidTr="003C2998">
        <w:trPr>
          <w:trHeight w:val="396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Male sex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0.004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[0.000–0.088]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0.111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[0.024–0.523]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0.005</w:t>
            </w:r>
          </w:p>
        </w:tc>
      </w:tr>
      <w:tr w:rsidR="004F336E" w:rsidRPr="00FB04AC" w:rsidTr="003C2998">
        <w:trPr>
          <w:trHeight w:val="740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Age (</w:t>
            </w:r>
            <w:proofErr w:type="spellStart"/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years</w:t>
            </w:r>
            <w:proofErr w:type="spellEnd"/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5F0508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1.137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[1.073–1.205]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5F0508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1.153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[1.047–1.270]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0.004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1.078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[1.020–1.140]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0.008</w:t>
            </w:r>
          </w:p>
        </w:tc>
      </w:tr>
      <w:tr w:rsidR="004F336E" w:rsidRPr="00FB04AC" w:rsidTr="003C2998">
        <w:trPr>
          <w:trHeight w:val="396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BMI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5F0508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1.133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[0.831–1.544]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0.429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1.549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[1.178–2.038]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0.002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1.157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[0.996–1.345]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0.057</w:t>
            </w:r>
          </w:p>
        </w:tc>
      </w:tr>
      <w:tr w:rsidR="004F336E" w:rsidRPr="00FB04AC" w:rsidTr="003C2998">
        <w:trPr>
          <w:trHeight w:val="396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Diabetes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5F0508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3.171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[1.035–9.710]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0.043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1.056</w:t>
            </w: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vertAlign w:val="superscript"/>
                <w:lang w:eastAsia="it-IT"/>
              </w:rPr>
              <w:t>+10</w:t>
            </w: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 xml:space="preserve"> [0.000-]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0.998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647176366.5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[0.000</w:t>
            </w:r>
            <w:proofErr w:type="gramStart"/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– ]</w:t>
            </w:r>
            <w:proofErr w:type="gramEnd"/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0.998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3.008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[1.143–7.919]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0.026</w:t>
            </w:r>
          </w:p>
        </w:tc>
      </w:tr>
      <w:tr w:rsidR="004F336E" w:rsidRPr="00FB04AC" w:rsidTr="003C2998">
        <w:trPr>
          <w:trHeight w:val="396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Arterial Hypertension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1.110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[0.242-5.098]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0.893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1.474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[0.545–3.989]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0.445</w:t>
            </w:r>
          </w:p>
        </w:tc>
      </w:tr>
      <w:tr w:rsidR="004F336E" w:rsidRPr="00FB04AC" w:rsidTr="003C2998">
        <w:trPr>
          <w:trHeight w:val="396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Dylipidemia</w:t>
            </w:r>
            <w:proofErr w:type="spellEnd"/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5F0508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0.889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[0.288–2.747]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5F0508">
              <w:rPr>
                <w:rFonts w:eastAsia="Times New Roman" w:cs="Times New Roman"/>
                <w:sz w:val="24"/>
                <w:szCs w:val="24"/>
                <w:lang w:eastAsia="it-IT"/>
              </w:rPr>
              <w:t>0.838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5F0508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0.013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[0.001-0.119]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1.755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[0.647–4.760]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0.269</w:t>
            </w:r>
          </w:p>
        </w:tc>
      </w:tr>
      <w:tr w:rsidR="004F336E" w:rsidRPr="00FB04AC" w:rsidTr="003C2998">
        <w:trPr>
          <w:trHeight w:val="396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Statin use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5F0508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0.109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[0.015–0.781]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0.027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2.380</w:t>
            </w:r>
          </w:p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[0.333–16.997]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B04AC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0.387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</w:pPr>
          </w:p>
        </w:tc>
      </w:tr>
      <w:tr w:rsidR="004F336E" w:rsidRPr="00805F42" w:rsidTr="003C2998">
        <w:trPr>
          <w:trHeight w:val="396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FB04AC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</w:pPr>
            <w:r w:rsidRPr="005F0508">
              <w:rPr>
                <w:rFonts w:cs="Times New Roman"/>
                <w:b/>
                <w:sz w:val="24"/>
                <w:szCs w:val="24"/>
                <w:lang w:val="en-GB"/>
              </w:rPr>
              <w:t>Years of at risk alcohol intake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805F42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805F42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5F0508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1.138</w:t>
            </w:r>
          </w:p>
          <w:p w:rsidR="004F336E" w:rsidRPr="00805F42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5F0508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[1.053–1.229]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805F42" w:rsidRDefault="004F336E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5F0508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0.001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805F42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val="en-US" w:eastAsia="it-IT"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336E" w:rsidRPr="00805F42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val="en-US" w:eastAsia="it-IT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Pr="00805F42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336E" w:rsidRPr="00805F42" w:rsidRDefault="004F336E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</w:pPr>
          </w:p>
        </w:tc>
      </w:tr>
    </w:tbl>
    <w:p w:rsidR="00DE22A2" w:rsidRPr="004F336E" w:rsidRDefault="004F336E" w:rsidP="004F336E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CIR-ALD, patients with alcoholic cirrhosis; CIR-NASH, patients with NASH-related cirrhosis; </w:t>
      </w:r>
      <w:r w:rsidR="00430E8F" w:rsidRPr="00430E8F">
        <w:rPr>
          <w:rFonts w:cs="Times New Roman"/>
          <w:sz w:val="24"/>
          <w:szCs w:val="24"/>
          <w:lang w:val="en-US"/>
        </w:rPr>
        <w:t>non-cirrhotic</w:t>
      </w:r>
      <w:r w:rsidR="00430E8F" w:rsidRPr="00430E8F">
        <w:rPr>
          <w:rFonts w:cs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ALD, non-</w:t>
      </w:r>
      <w:proofErr w:type="spellStart"/>
      <w:r>
        <w:rPr>
          <w:rFonts w:cs="Times New Roman"/>
          <w:sz w:val="24"/>
          <w:szCs w:val="24"/>
          <w:lang w:val="en-US"/>
        </w:rPr>
        <w:t>cirrhotics</w:t>
      </w:r>
      <w:proofErr w:type="spellEnd"/>
      <w:r>
        <w:rPr>
          <w:rFonts w:cs="Times New Roman"/>
          <w:sz w:val="24"/>
          <w:szCs w:val="24"/>
          <w:lang w:val="en-US"/>
        </w:rPr>
        <w:t xml:space="preserve"> with alcoholic liver disease; </w:t>
      </w:r>
      <w:r w:rsidR="00430E8F" w:rsidRPr="00430E8F">
        <w:rPr>
          <w:rFonts w:eastAsia="Calibri" w:cs="Times New Roman"/>
          <w:color w:val="000000"/>
          <w:kern w:val="24"/>
          <w:sz w:val="24"/>
          <w:szCs w:val="24"/>
          <w:lang w:val="en-US" w:eastAsia="it-IT"/>
        </w:rPr>
        <w:t>non-cirrhotic</w:t>
      </w:r>
      <w:r w:rsidR="00430E8F">
        <w:rPr>
          <w:rFonts w:eastAsia="Calibri" w:cs="Times New Roman"/>
          <w:b/>
          <w:bCs/>
          <w:color w:val="000000"/>
          <w:kern w:val="24"/>
          <w:sz w:val="24"/>
          <w:szCs w:val="24"/>
          <w:lang w:val="en-US" w:eastAsia="it-IT"/>
        </w:rPr>
        <w:t xml:space="preserve"> </w:t>
      </w:r>
      <w:r>
        <w:rPr>
          <w:rFonts w:cs="Times New Roman"/>
          <w:sz w:val="24"/>
          <w:szCs w:val="24"/>
          <w:lang w:val="en-US"/>
        </w:rPr>
        <w:t>NAFLD, non-</w:t>
      </w:r>
      <w:proofErr w:type="spellStart"/>
      <w:r>
        <w:rPr>
          <w:rFonts w:cs="Times New Roman"/>
          <w:sz w:val="24"/>
          <w:szCs w:val="24"/>
          <w:lang w:val="en-US"/>
        </w:rPr>
        <w:t>cirrhotics</w:t>
      </w:r>
      <w:proofErr w:type="spellEnd"/>
      <w:r>
        <w:rPr>
          <w:rFonts w:cs="Times New Roman"/>
          <w:sz w:val="24"/>
          <w:szCs w:val="24"/>
          <w:lang w:val="en-US"/>
        </w:rPr>
        <w:t xml:space="preserve"> with NAFLD</w:t>
      </w:r>
      <w:r w:rsidR="005B3E1A">
        <w:rPr>
          <w:rFonts w:cs="Times New Roman"/>
          <w:sz w:val="24"/>
          <w:szCs w:val="24"/>
          <w:lang w:val="en-US"/>
        </w:rPr>
        <w:t xml:space="preserve">; LAL, </w:t>
      </w:r>
      <w:r w:rsidR="005B3E1A" w:rsidRPr="00002226">
        <w:rPr>
          <w:rFonts w:cs="Times New Roman"/>
          <w:sz w:val="24"/>
          <w:szCs w:val="24"/>
          <w:lang w:val="en-US"/>
        </w:rPr>
        <w:t>Lysosomal acid lipase</w:t>
      </w:r>
      <w:r w:rsidR="005B3E1A">
        <w:rPr>
          <w:rFonts w:cs="Times New Roman"/>
          <w:sz w:val="24"/>
          <w:szCs w:val="24"/>
          <w:lang w:val="en-US"/>
        </w:rPr>
        <w:t>; BMI, body mass index.</w:t>
      </w:r>
      <w:bookmarkStart w:id="0" w:name="_GoBack"/>
      <w:bookmarkEnd w:id="0"/>
    </w:p>
    <w:sectPr w:rsidR="00DE22A2" w:rsidRPr="004F336E" w:rsidSect="004F336E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6E"/>
    <w:rsid w:val="00026ECD"/>
    <w:rsid w:val="000D2696"/>
    <w:rsid w:val="0016024C"/>
    <w:rsid w:val="001900D2"/>
    <w:rsid w:val="00430E8F"/>
    <w:rsid w:val="004F336E"/>
    <w:rsid w:val="005B3E1A"/>
    <w:rsid w:val="006A04F4"/>
    <w:rsid w:val="006A3178"/>
    <w:rsid w:val="007A7DCA"/>
    <w:rsid w:val="00875E98"/>
    <w:rsid w:val="008F2C2B"/>
    <w:rsid w:val="00AB6E4E"/>
    <w:rsid w:val="00AE54DF"/>
    <w:rsid w:val="00AE588F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4BB4"/>
  <w15:chartTrackingRefBased/>
  <w15:docId w15:val="{048797BA-D7DA-0C4C-8D87-1156DEBC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F336E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F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flaminia.ferri@gmail.com</cp:lastModifiedBy>
  <cp:revision>3</cp:revision>
  <dcterms:created xsi:type="dcterms:W3CDTF">2019-08-01T06:57:00Z</dcterms:created>
  <dcterms:modified xsi:type="dcterms:W3CDTF">2019-10-10T10:42:00Z</dcterms:modified>
</cp:coreProperties>
</file>