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E5E36" w:rsidR="009C5644" w:rsidP="009C5644" w:rsidRDefault="009C5644" w14:paraId="0077DA16" w14:textId="77777777">
      <w:pPr>
        <w:spacing w:after="160" w:line="259" w:lineRule="auto"/>
        <w:rPr>
          <w:b/>
          <w:lang w:val="en-GB"/>
        </w:rPr>
      </w:pPr>
      <w:r w:rsidRPr="00DE5E36">
        <w:rPr>
          <w:b/>
          <w:lang w:val="en-GB"/>
        </w:rPr>
        <w:t>SUPPLEMENTARY RESULTS</w:t>
      </w:r>
    </w:p>
    <w:p w:rsidR="0034188A" w:rsidP="0034188A" w:rsidRDefault="0034188A" w14:paraId="10F64088" w14:textId="77777777">
      <w:pPr>
        <w:rPr>
          <w:b/>
        </w:rPr>
      </w:pPr>
    </w:p>
    <w:p w:rsidR="0034188A" w:rsidP="0034188A" w:rsidRDefault="0034188A" w14:paraId="52166045" w14:textId="77777777">
      <w:pPr>
        <w:rPr>
          <w:b/>
        </w:rPr>
      </w:pPr>
    </w:p>
    <w:tbl>
      <w:tblPr>
        <w:tblW w:w="14850" w:type="dxa"/>
        <w:tblLook w:val="04A0" w:firstRow="1" w:lastRow="0" w:firstColumn="1" w:lastColumn="0" w:noHBand="0" w:noVBand="1"/>
      </w:tblPr>
      <w:tblGrid>
        <w:gridCol w:w="4714"/>
        <w:gridCol w:w="4714"/>
        <w:gridCol w:w="5422"/>
      </w:tblGrid>
      <w:tr w:rsidR="0034188A" w:rsidTr="0034188A" w14:paraId="002E27D1" w14:textId="77777777">
        <w:tc>
          <w:tcPr>
            <w:tcW w:w="14850" w:type="dxa"/>
            <w:gridSpan w:val="3"/>
            <w:tcBorders>
              <w:top w:val="nil"/>
              <w:left w:val="nil"/>
              <w:bottom w:val="single" w:color="auto" w:sz="4" w:space="0"/>
              <w:right w:val="nil"/>
            </w:tcBorders>
            <w:hideMark/>
          </w:tcPr>
          <w:p w:rsidR="0034188A" w:rsidRDefault="0034188A" w14:paraId="3F782B9E" w14:textId="77777777">
            <w:pPr>
              <w:rPr>
                <w:b/>
              </w:rPr>
            </w:pPr>
            <w:r>
              <w:rPr>
                <w:b/>
              </w:rPr>
              <w:t>Table S1</w:t>
            </w:r>
            <w:r>
              <w:t>. Search strategy used for</w:t>
            </w:r>
            <w:r>
              <w:rPr>
                <w:b/>
              </w:rPr>
              <w:t xml:space="preserve"> </w:t>
            </w:r>
            <w:proofErr w:type="spellStart"/>
            <w:r>
              <w:rPr>
                <w:b/>
              </w:rPr>
              <w:t>Scielo</w:t>
            </w:r>
            <w:proofErr w:type="spellEnd"/>
            <w:r>
              <w:t>, and number of articles found.</w:t>
            </w:r>
          </w:p>
        </w:tc>
      </w:tr>
      <w:tr w:rsidR="0034188A" w:rsidTr="0034188A" w14:paraId="32A7BDAC" w14:textId="77777777">
        <w:tc>
          <w:tcPr>
            <w:tcW w:w="4714" w:type="dxa"/>
            <w:tcBorders>
              <w:top w:val="single" w:color="auto" w:sz="4" w:space="0"/>
              <w:left w:val="nil"/>
              <w:bottom w:val="single" w:color="auto" w:sz="4" w:space="0"/>
              <w:right w:val="nil"/>
            </w:tcBorders>
            <w:vAlign w:val="center"/>
            <w:hideMark/>
          </w:tcPr>
          <w:p w:rsidR="0034188A" w:rsidRDefault="0034188A" w14:paraId="05BA211F" w14:textId="77777777">
            <w:pPr>
              <w:rPr>
                <w:b/>
              </w:rPr>
            </w:pPr>
            <w:r>
              <w:rPr>
                <w:b/>
              </w:rPr>
              <w:t>Search criterion 1</w:t>
            </w:r>
          </w:p>
        </w:tc>
        <w:tc>
          <w:tcPr>
            <w:tcW w:w="4714" w:type="dxa"/>
            <w:tcBorders>
              <w:top w:val="single" w:color="auto" w:sz="4" w:space="0"/>
              <w:left w:val="nil"/>
              <w:bottom w:val="single" w:color="auto" w:sz="4" w:space="0"/>
              <w:right w:val="nil"/>
            </w:tcBorders>
            <w:vAlign w:val="center"/>
            <w:hideMark/>
          </w:tcPr>
          <w:p w:rsidR="0034188A" w:rsidRDefault="0034188A" w14:paraId="50954B79" w14:textId="77777777">
            <w:pPr>
              <w:rPr>
                <w:b/>
              </w:rPr>
            </w:pPr>
            <w:r>
              <w:rPr>
                <w:b/>
              </w:rPr>
              <w:t>Search criterion 2</w:t>
            </w:r>
          </w:p>
        </w:tc>
        <w:tc>
          <w:tcPr>
            <w:tcW w:w="5422" w:type="dxa"/>
            <w:tcBorders>
              <w:top w:val="single" w:color="auto" w:sz="4" w:space="0"/>
              <w:left w:val="nil"/>
              <w:bottom w:val="single" w:color="auto" w:sz="4" w:space="0"/>
              <w:right w:val="nil"/>
            </w:tcBorders>
            <w:hideMark/>
          </w:tcPr>
          <w:p w:rsidR="0034188A" w:rsidRDefault="0034188A" w14:paraId="0A7D456D" w14:textId="77777777">
            <w:pPr>
              <w:jc w:val="center"/>
              <w:rPr>
                <w:rFonts w:cstheme="minorBidi"/>
                <w:b/>
              </w:rPr>
            </w:pPr>
            <w:r>
              <w:rPr>
                <w:b/>
              </w:rPr>
              <w:t>Items found</w:t>
            </w:r>
          </w:p>
          <w:p w:rsidR="0034188A" w:rsidRDefault="0034188A" w14:paraId="02DD197A" w14:textId="77777777">
            <w:pPr>
              <w:jc w:val="center"/>
              <w:rPr>
                <w:b/>
              </w:rPr>
            </w:pPr>
            <w:r>
              <w:rPr>
                <w:b/>
              </w:rPr>
              <w:t>(Combining criteria</w:t>
            </w:r>
          </w:p>
          <w:p w:rsidR="0034188A" w:rsidRDefault="0034188A" w14:paraId="77271D9B" w14:textId="77777777">
            <w:pPr>
              <w:jc w:val="center"/>
              <w:rPr>
                <w:b/>
              </w:rPr>
            </w:pPr>
            <w:r>
              <w:rPr>
                <w:b/>
              </w:rPr>
              <w:t>1 “AND” 2)</w:t>
            </w:r>
          </w:p>
        </w:tc>
      </w:tr>
      <w:tr w:rsidR="0034188A" w:rsidTr="0034188A" w14:paraId="6457311D" w14:textId="77777777">
        <w:tc>
          <w:tcPr>
            <w:tcW w:w="4714" w:type="dxa"/>
            <w:tcBorders>
              <w:top w:val="single" w:color="auto" w:sz="4" w:space="0"/>
              <w:left w:val="nil"/>
              <w:bottom w:val="single" w:color="auto" w:sz="4" w:space="0"/>
              <w:right w:val="nil"/>
            </w:tcBorders>
            <w:hideMark/>
          </w:tcPr>
          <w:p w:rsidR="0034188A" w:rsidRDefault="0034188A" w14:paraId="68242B5A" w14:textId="77777777">
            <w:pPr>
              <w:rPr>
                <w:b/>
              </w:rPr>
            </w:pPr>
            <w:r>
              <w:t>Gut</w:t>
            </w:r>
          </w:p>
        </w:tc>
        <w:tc>
          <w:tcPr>
            <w:tcW w:w="4714" w:type="dxa"/>
            <w:tcBorders>
              <w:top w:val="single" w:color="auto" w:sz="4" w:space="0"/>
              <w:left w:val="nil"/>
              <w:bottom w:val="single" w:color="auto" w:sz="4" w:space="0"/>
              <w:right w:val="nil"/>
            </w:tcBorders>
            <w:hideMark/>
          </w:tcPr>
          <w:p w:rsidR="0034188A" w:rsidRDefault="0034188A" w14:paraId="4E9FFA8E" w14:textId="77777777">
            <w:pPr>
              <w:rPr>
                <w:b/>
              </w:rPr>
            </w:pPr>
            <w:r>
              <w:t>Microbiota</w:t>
            </w:r>
          </w:p>
        </w:tc>
        <w:tc>
          <w:tcPr>
            <w:tcW w:w="5422" w:type="dxa"/>
            <w:tcBorders>
              <w:top w:val="single" w:color="auto" w:sz="4" w:space="0"/>
              <w:left w:val="nil"/>
              <w:bottom w:val="single" w:color="auto" w:sz="4" w:space="0"/>
              <w:right w:val="nil"/>
            </w:tcBorders>
            <w:hideMark/>
          </w:tcPr>
          <w:p w:rsidR="0034188A" w:rsidRDefault="0034188A" w14:paraId="6A5BF1C6" w14:textId="77777777">
            <w:r>
              <w:t>105</w:t>
            </w:r>
          </w:p>
        </w:tc>
      </w:tr>
      <w:tr w:rsidR="0034188A" w:rsidTr="0034188A" w14:paraId="438CAAD6" w14:textId="77777777">
        <w:tc>
          <w:tcPr>
            <w:tcW w:w="4714" w:type="dxa"/>
            <w:tcBorders>
              <w:top w:val="single" w:color="auto" w:sz="4" w:space="0"/>
              <w:left w:val="nil"/>
              <w:bottom w:val="single" w:color="auto" w:sz="4" w:space="0"/>
              <w:right w:val="nil"/>
            </w:tcBorders>
            <w:hideMark/>
          </w:tcPr>
          <w:p w:rsidR="0034188A" w:rsidRDefault="0034188A" w14:paraId="00040CDE" w14:textId="77777777">
            <w:pPr>
              <w:rPr>
                <w:b/>
              </w:rPr>
            </w:pPr>
            <w:r>
              <w:rPr>
                <w:b/>
              </w:rPr>
              <w:t>Total items found</w:t>
            </w:r>
          </w:p>
        </w:tc>
        <w:tc>
          <w:tcPr>
            <w:tcW w:w="4714" w:type="dxa"/>
            <w:tcBorders>
              <w:top w:val="single" w:color="auto" w:sz="4" w:space="0"/>
              <w:left w:val="nil"/>
              <w:bottom w:val="single" w:color="auto" w:sz="4" w:space="0"/>
              <w:right w:val="nil"/>
            </w:tcBorders>
            <w:hideMark/>
          </w:tcPr>
          <w:p w:rsidR="0034188A" w:rsidRDefault="0034188A" w14:paraId="366E4045" w14:textId="77777777">
            <w:pPr>
              <w:rPr>
                <w:b/>
              </w:rPr>
            </w:pPr>
            <w:r>
              <w:t>All the searches were combined using the operator “OR” so that duplicated articles were excluded from the final number of articles found. The final search term was: (gut AND microbiota). A refinement was made to exclude reviews: (REVIEW)</w:t>
            </w:r>
          </w:p>
        </w:tc>
        <w:tc>
          <w:tcPr>
            <w:tcW w:w="5422" w:type="dxa"/>
            <w:tcBorders>
              <w:top w:val="single" w:color="auto" w:sz="4" w:space="0"/>
              <w:left w:val="nil"/>
              <w:bottom w:val="single" w:color="auto" w:sz="4" w:space="0"/>
              <w:right w:val="nil"/>
            </w:tcBorders>
            <w:hideMark/>
          </w:tcPr>
          <w:p w:rsidR="0034188A" w:rsidRDefault="0034188A" w14:paraId="3EA46392" w14:textId="77777777">
            <w:r>
              <w:t>105</w:t>
            </w:r>
          </w:p>
        </w:tc>
      </w:tr>
    </w:tbl>
    <w:p w:rsidR="0034188A" w:rsidP="0034188A" w:rsidRDefault="0034188A" w14:paraId="0682A292" w14:textId="77777777">
      <w:r>
        <w:t>The search recruited articles published until Julye 5</w:t>
      </w:r>
      <w:r>
        <w:rPr>
          <w:vertAlign w:val="superscript"/>
        </w:rPr>
        <w:t>th</w:t>
      </w:r>
      <w:r>
        <w:t xml:space="preserve"> 2019; no lower date limit was set.</w:t>
      </w:r>
    </w:p>
    <w:p w:rsidR="0034188A" w:rsidP="0034188A" w:rsidRDefault="0034188A" w14:paraId="5CA371CF" w14:textId="77777777"/>
    <w:p w:rsidR="0034188A" w:rsidP="0034188A" w:rsidRDefault="0034188A" w14:paraId="055209F0" w14:textId="77777777">
      <w:pPr>
        <w:rPr>
          <w:rFonts w:cstheme="minorBidi"/>
          <w:b/>
        </w:rPr>
      </w:pPr>
    </w:p>
    <w:p w:rsidR="0034188A" w:rsidP="0034188A" w:rsidRDefault="0034188A" w14:paraId="3753F9B4" w14:textId="77777777">
      <w:pPr>
        <w:rPr>
          <w:b/>
        </w:rPr>
      </w:pPr>
    </w:p>
    <w:p w:rsidR="0034188A" w:rsidP="0034188A" w:rsidRDefault="0034188A" w14:paraId="2B9F4D1A" w14:textId="77777777">
      <w:pPr>
        <w:rPr>
          <w:b/>
        </w:rPr>
      </w:pPr>
    </w:p>
    <w:p w:rsidR="0034188A" w:rsidP="0034188A" w:rsidRDefault="0034188A" w14:paraId="195DA8B4" w14:textId="77777777">
      <w:pPr>
        <w:rPr>
          <w:b/>
        </w:rPr>
      </w:pPr>
    </w:p>
    <w:p w:rsidR="0034188A" w:rsidP="0034188A" w:rsidRDefault="0034188A" w14:paraId="391DB518" w14:textId="77777777">
      <w:pPr>
        <w:rPr>
          <w:b/>
        </w:rPr>
      </w:pPr>
    </w:p>
    <w:p w:rsidR="0034188A" w:rsidP="0034188A" w:rsidRDefault="0034188A" w14:paraId="43B919EF" w14:textId="77777777">
      <w:pPr>
        <w:rPr>
          <w:b/>
        </w:rPr>
      </w:pPr>
    </w:p>
    <w:p w:rsidR="0034188A" w:rsidP="0034188A" w:rsidRDefault="0034188A" w14:paraId="2F24B2DA" w14:textId="77777777">
      <w:pPr>
        <w:rPr>
          <w:b/>
        </w:rPr>
      </w:pPr>
    </w:p>
    <w:p w:rsidR="00351BBB" w:rsidP="0034188A" w:rsidRDefault="00351BBB" w14:paraId="2DEE248C" w14:textId="77777777">
      <w:pPr>
        <w:rPr>
          <w:b/>
        </w:rPr>
      </w:pPr>
    </w:p>
    <w:p w:rsidR="00351BBB" w:rsidP="0034188A" w:rsidRDefault="00351BBB" w14:paraId="23FCD00D" w14:textId="77777777">
      <w:pPr>
        <w:rPr>
          <w:b/>
        </w:rPr>
      </w:pPr>
    </w:p>
    <w:p w:rsidR="00351BBB" w:rsidP="0034188A" w:rsidRDefault="00351BBB" w14:paraId="34C63740" w14:textId="77777777">
      <w:pPr>
        <w:rPr>
          <w:b/>
        </w:rPr>
      </w:pPr>
    </w:p>
    <w:p w:rsidR="0034188A" w:rsidP="0034188A" w:rsidRDefault="0034188A" w14:paraId="33425264" w14:textId="77777777">
      <w:pPr>
        <w:rPr>
          <w:b/>
        </w:rPr>
      </w:pPr>
    </w:p>
    <w:p w:rsidR="0034188A" w:rsidP="0034188A" w:rsidRDefault="0034188A" w14:paraId="125F8C64" w14:textId="77777777">
      <w:pPr>
        <w:rPr>
          <w:b/>
        </w:rPr>
      </w:pPr>
    </w:p>
    <w:tbl>
      <w:tblPr>
        <w:tblW w:w="14850" w:type="dxa"/>
        <w:tblLayout w:type="fixed"/>
        <w:tblLook w:val="00A0" w:firstRow="1" w:lastRow="0" w:firstColumn="1" w:lastColumn="0" w:noHBand="0" w:noVBand="0"/>
      </w:tblPr>
      <w:tblGrid>
        <w:gridCol w:w="3227"/>
        <w:gridCol w:w="2693"/>
        <w:gridCol w:w="2268"/>
        <w:gridCol w:w="3544"/>
        <w:gridCol w:w="3118"/>
      </w:tblGrid>
      <w:tr w:rsidR="0034188A" w:rsidTr="0034188A" w14:paraId="7AA0DA7F" w14:textId="77777777">
        <w:trPr>
          <w:trHeight w:val="20"/>
        </w:trPr>
        <w:tc>
          <w:tcPr>
            <w:tcW w:w="14850" w:type="dxa"/>
            <w:gridSpan w:val="5"/>
            <w:tcBorders>
              <w:top w:val="nil"/>
              <w:left w:val="nil"/>
              <w:bottom w:val="single" w:color="auto" w:sz="4" w:space="0"/>
              <w:right w:val="nil"/>
            </w:tcBorders>
            <w:shd w:val="clear" w:color="auto" w:fill="FFFFFF"/>
            <w:hideMark/>
          </w:tcPr>
          <w:p w:rsidR="0034188A" w:rsidRDefault="0034188A" w14:paraId="7699856F" w14:textId="77777777">
            <w:pPr>
              <w:spacing w:before="120" w:after="120" w:line="480" w:lineRule="auto"/>
              <w:rPr>
                <w:b/>
                <w:sz w:val="22"/>
                <w:szCs w:val="22"/>
              </w:rPr>
            </w:pPr>
            <w:r>
              <w:rPr>
                <w:b/>
              </w:rPr>
              <w:lastRenderedPageBreak/>
              <w:t>Table S2</w:t>
            </w:r>
            <w:r>
              <w:t xml:space="preserve">. Search strategy used for </w:t>
            </w:r>
            <w:r>
              <w:rPr>
                <w:b/>
              </w:rPr>
              <w:t>Scopus,</w:t>
            </w:r>
            <w:r>
              <w:t xml:space="preserve"> and number of articles found.</w:t>
            </w:r>
          </w:p>
        </w:tc>
      </w:tr>
      <w:tr w:rsidR="0034188A" w:rsidTr="0034188A" w14:paraId="5AA050CC" w14:textId="77777777">
        <w:trPr>
          <w:trHeight w:val="20"/>
        </w:trPr>
        <w:tc>
          <w:tcPr>
            <w:tcW w:w="3227" w:type="dxa"/>
            <w:tcBorders>
              <w:top w:val="single" w:color="auto" w:sz="4" w:space="0"/>
              <w:left w:val="nil"/>
              <w:bottom w:val="single" w:color="auto" w:sz="4" w:space="0"/>
              <w:right w:val="nil"/>
            </w:tcBorders>
            <w:shd w:val="clear" w:color="auto" w:fill="FFFFFF"/>
            <w:vAlign w:val="center"/>
            <w:hideMark/>
          </w:tcPr>
          <w:p w:rsidR="0034188A" w:rsidRDefault="0034188A" w14:paraId="07EB3EFD" w14:textId="77777777">
            <w:pPr>
              <w:contextualSpacing/>
              <w:rPr>
                <w:b/>
                <w:sz w:val="22"/>
                <w:szCs w:val="22"/>
              </w:rPr>
            </w:pPr>
            <w:r>
              <w:rPr>
                <w:b/>
              </w:rPr>
              <w:t>Search criterion 1</w:t>
            </w:r>
          </w:p>
        </w:tc>
        <w:tc>
          <w:tcPr>
            <w:tcW w:w="2693" w:type="dxa"/>
            <w:tcBorders>
              <w:top w:val="single" w:color="auto" w:sz="4" w:space="0"/>
              <w:left w:val="nil"/>
              <w:bottom w:val="single" w:color="auto" w:sz="4" w:space="0"/>
              <w:right w:val="nil"/>
            </w:tcBorders>
            <w:shd w:val="clear" w:color="auto" w:fill="FFFFFF"/>
            <w:vAlign w:val="center"/>
            <w:hideMark/>
          </w:tcPr>
          <w:p w:rsidR="0034188A" w:rsidRDefault="0034188A" w14:paraId="66DC2555" w14:textId="77777777">
            <w:pPr>
              <w:contextualSpacing/>
              <w:rPr>
                <w:b/>
                <w:sz w:val="22"/>
                <w:szCs w:val="22"/>
              </w:rPr>
            </w:pPr>
            <w:r>
              <w:rPr>
                <w:b/>
              </w:rPr>
              <w:t>Search criterion 2</w:t>
            </w:r>
          </w:p>
        </w:tc>
        <w:tc>
          <w:tcPr>
            <w:tcW w:w="2268" w:type="dxa"/>
            <w:tcBorders>
              <w:top w:val="single" w:color="auto" w:sz="4" w:space="0"/>
              <w:left w:val="nil"/>
              <w:bottom w:val="single" w:color="auto" w:sz="4" w:space="0"/>
              <w:right w:val="nil"/>
            </w:tcBorders>
            <w:shd w:val="clear" w:color="auto" w:fill="FFFFFF"/>
            <w:vAlign w:val="center"/>
            <w:hideMark/>
          </w:tcPr>
          <w:p w:rsidR="0034188A" w:rsidRDefault="0034188A" w14:paraId="26911B47" w14:textId="77777777">
            <w:pPr>
              <w:jc w:val="center"/>
              <w:rPr>
                <w:b/>
                <w:sz w:val="22"/>
                <w:szCs w:val="22"/>
              </w:rPr>
            </w:pPr>
            <w:r>
              <w:rPr>
                <w:b/>
              </w:rPr>
              <w:t>Search criterion 3</w:t>
            </w:r>
          </w:p>
        </w:tc>
        <w:tc>
          <w:tcPr>
            <w:tcW w:w="3544" w:type="dxa"/>
            <w:tcBorders>
              <w:top w:val="single" w:color="auto" w:sz="4" w:space="0"/>
              <w:left w:val="nil"/>
              <w:bottom w:val="single" w:color="auto" w:sz="4" w:space="0"/>
              <w:right w:val="nil"/>
            </w:tcBorders>
            <w:shd w:val="clear" w:color="auto" w:fill="FFFFFF"/>
            <w:vAlign w:val="center"/>
            <w:hideMark/>
          </w:tcPr>
          <w:p w:rsidR="0034188A" w:rsidRDefault="0034188A" w14:paraId="27D02DC3" w14:textId="77777777">
            <w:pPr>
              <w:rPr>
                <w:b/>
                <w:sz w:val="22"/>
                <w:szCs w:val="22"/>
              </w:rPr>
            </w:pPr>
            <w:r>
              <w:rPr>
                <w:b/>
              </w:rPr>
              <w:t>Search criterion 4</w:t>
            </w:r>
          </w:p>
        </w:tc>
        <w:tc>
          <w:tcPr>
            <w:tcW w:w="3118" w:type="dxa"/>
            <w:tcBorders>
              <w:top w:val="single" w:color="auto" w:sz="4" w:space="0"/>
              <w:left w:val="nil"/>
              <w:bottom w:val="single" w:color="auto" w:sz="4" w:space="0"/>
              <w:right w:val="nil"/>
            </w:tcBorders>
            <w:shd w:val="clear" w:color="auto" w:fill="FFFFFF"/>
            <w:hideMark/>
          </w:tcPr>
          <w:p w:rsidR="0034188A" w:rsidRDefault="0034188A" w14:paraId="787869CD" w14:textId="77777777">
            <w:pPr>
              <w:jc w:val="center"/>
              <w:rPr>
                <w:rFonts w:cstheme="minorBidi"/>
                <w:b/>
              </w:rPr>
            </w:pPr>
            <w:r>
              <w:rPr>
                <w:b/>
              </w:rPr>
              <w:t>Items found</w:t>
            </w:r>
          </w:p>
          <w:p w:rsidR="0034188A" w:rsidRDefault="0034188A" w14:paraId="3E7FE71E" w14:textId="77777777">
            <w:pPr>
              <w:jc w:val="center"/>
              <w:rPr>
                <w:b/>
              </w:rPr>
            </w:pPr>
            <w:r>
              <w:rPr>
                <w:b/>
              </w:rPr>
              <w:t xml:space="preserve">(Combining criteria </w:t>
            </w:r>
          </w:p>
          <w:p w:rsidR="0034188A" w:rsidRDefault="0034188A" w14:paraId="4BD2374D" w14:textId="77777777">
            <w:pPr>
              <w:jc w:val="center"/>
              <w:rPr>
                <w:b/>
                <w:sz w:val="22"/>
                <w:szCs w:val="22"/>
              </w:rPr>
            </w:pPr>
            <w:r>
              <w:rPr>
                <w:b/>
              </w:rPr>
              <w:t>1 “AND” 2 “AND” 3 “AND” 4)</w:t>
            </w:r>
          </w:p>
        </w:tc>
      </w:tr>
      <w:tr w:rsidR="0034188A" w:rsidTr="0034188A" w14:paraId="6C6CEDAC" w14:textId="77777777">
        <w:trPr>
          <w:trHeight w:val="1656"/>
        </w:trPr>
        <w:tc>
          <w:tcPr>
            <w:tcW w:w="3227" w:type="dxa"/>
            <w:tcBorders>
              <w:top w:val="single" w:color="auto" w:sz="4" w:space="0"/>
              <w:left w:val="nil"/>
              <w:bottom w:val="single" w:color="auto" w:sz="4" w:space="0"/>
              <w:right w:val="nil"/>
            </w:tcBorders>
            <w:hideMark/>
          </w:tcPr>
          <w:p w:rsidR="0034188A" w:rsidRDefault="0034188A" w14:paraId="53489B6B" w14:textId="77777777">
            <w:pPr>
              <w:contextualSpacing/>
              <w:rPr>
                <w:sz w:val="22"/>
                <w:szCs w:val="22"/>
              </w:rPr>
            </w:pPr>
            <w:r>
              <w:t>Gut</w:t>
            </w:r>
          </w:p>
        </w:tc>
        <w:tc>
          <w:tcPr>
            <w:tcW w:w="2693" w:type="dxa"/>
            <w:tcBorders>
              <w:top w:val="single" w:color="auto" w:sz="4" w:space="0"/>
              <w:left w:val="nil"/>
              <w:bottom w:val="nil"/>
              <w:right w:val="nil"/>
            </w:tcBorders>
            <w:hideMark/>
          </w:tcPr>
          <w:p w:rsidR="0034188A" w:rsidRDefault="0034188A" w14:paraId="237F34A2" w14:textId="77777777">
            <w:pPr>
              <w:contextualSpacing/>
              <w:rPr>
                <w:sz w:val="22"/>
                <w:szCs w:val="22"/>
              </w:rPr>
            </w:pPr>
            <w:r>
              <w:t>Microbiota</w:t>
            </w:r>
          </w:p>
        </w:tc>
        <w:tc>
          <w:tcPr>
            <w:tcW w:w="2268" w:type="dxa"/>
            <w:tcBorders>
              <w:top w:val="single" w:color="auto" w:sz="4" w:space="0"/>
              <w:left w:val="nil"/>
              <w:bottom w:val="nil"/>
              <w:right w:val="nil"/>
            </w:tcBorders>
            <w:hideMark/>
          </w:tcPr>
          <w:p w:rsidR="0034188A" w:rsidRDefault="0034188A" w14:paraId="6212FFBE" w14:textId="77777777">
            <w:pPr>
              <w:shd w:val="clear" w:color="auto" w:fill="FFFFFF"/>
              <w:contextualSpacing/>
              <w:jc w:val="center"/>
              <w:rPr>
                <w:color w:val="000000"/>
                <w:sz w:val="22"/>
                <w:szCs w:val="22"/>
                <w:lang w:eastAsia="es-ES"/>
              </w:rPr>
            </w:pPr>
            <w:r>
              <w:t>Exercises OR Training</w:t>
            </w:r>
          </w:p>
        </w:tc>
        <w:tc>
          <w:tcPr>
            <w:tcW w:w="3544" w:type="dxa"/>
            <w:tcBorders>
              <w:top w:val="single" w:color="auto" w:sz="4" w:space="0"/>
              <w:left w:val="nil"/>
              <w:bottom w:val="nil"/>
              <w:right w:val="nil"/>
            </w:tcBorders>
            <w:hideMark/>
          </w:tcPr>
          <w:p w:rsidR="0034188A" w:rsidRDefault="0034188A" w14:paraId="0DEA1483" w14:textId="77777777">
            <w:pPr>
              <w:rPr>
                <w:sz w:val="22"/>
                <w:szCs w:val="22"/>
              </w:rPr>
            </w:pPr>
            <w:r>
              <w:t>Human OR Humans</w:t>
            </w:r>
          </w:p>
        </w:tc>
        <w:tc>
          <w:tcPr>
            <w:tcW w:w="3118" w:type="dxa"/>
            <w:tcBorders>
              <w:top w:val="single" w:color="auto" w:sz="4" w:space="0"/>
              <w:left w:val="nil"/>
              <w:bottom w:val="nil"/>
              <w:right w:val="nil"/>
            </w:tcBorders>
            <w:hideMark/>
          </w:tcPr>
          <w:p w:rsidR="0034188A" w:rsidRDefault="0034188A" w14:paraId="68219C10" w14:textId="77777777">
            <w:pPr>
              <w:jc w:val="center"/>
              <w:rPr>
                <w:sz w:val="22"/>
                <w:szCs w:val="22"/>
                <w:highlight w:val="yellow"/>
              </w:rPr>
            </w:pPr>
            <w:r>
              <w:t>131</w:t>
            </w:r>
          </w:p>
        </w:tc>
      </w:tr>
      <w:tr w:rsidR="0034188A" w:rsidTr="0034188A" w14:paraId="09AE03E5" w14:textId="77777777">
        <w:trPr>
          <w:trHeight w:val="20"/>
        </w:trPr>
        <w:tc>
          <w:tcPr>
            <w:tcW w:w="3227" w:type="dxa"/>
            <w:tcBorders>
              <w:top w:val="single" w:color="auto" w:sz="4" w:space="0"/>
              <w:left w:val="nil"/>
              <w:bottom w:val="single" w:color="auto" w:sz="4" w:space="0"/>
              <w:right w:val="nil"/>
            </w:tcBorders>
            <w:hideMark/>
          </w:tcPr>
          <w:p w:rsidR="0034188A" w:rsidRDefault="0034188A" w14:paraId="29E6D3DA" w14:textId="77777777">
            <w:pPr>
              <w:rPr>
                <w:sz w:val="22"/>
                <w:szCs w:val="22"/>
              </w:rPr>
            </w:pPr>
            <w:r>
              <w:rPr>
                <w:b/>
              </w:rPr>
              <w:t>Total items found</w:t>
            </w:r>
          </w:p>
        </w:tc>
        <w:tc>
          <w:tcPr>
            <w:tcW w:w="8505" w:type="dxa"/>
            <w:gridSpan w:val="3"/>
            <w:tcBorders>
              <w:top w:val="single" w:color="auto" w:sz="4" w:space="0"/>
              <w:left w:val="nil"/>
              <w:bottom w:val="single" w:color="auto" w:sz="4" w:space="0"/>
              <w:right w:val="nil"/>
            </w:tcBorders>
            <w:hideMark/>
          </w:tcPr>
          <w:p w:rsidR="0034188A" w:rsidRDefault="0034188A" w14:paraId="175A091F" w14:textId="77777777">
            <w:pPr>
              <w:spacing w:after="200" w:line="276" w:lineRule="auto"/>
              <w:rPr>
                <w:sz w:val="22"/>
                <w:szCs w:val="22"/>
              </w:rPr>
            </w:pPr>
            <w:r>
              <w:t xml:space="preserve">All the searches were combined using the operator “OR” so that duplicated articles were excluded from the final number of articles found. The final search term was: (gut AND microbiota AND (exercises </w:t>
            </w:r>
            <w:proofErr w:type="gramStart"/>
            <w:r>
              <w:t>OR  training</w:t>
            </w:r>
            <w:proofErr w:type="gramEnd"/>
            <w:r>
              <w:t xml:space="preserve"> ) AND human AND humans).  A refinement was made to exclude reviews: (REVIEW)</w:t>
            </w:r>
          </w:p>
        </w:tc>
        <w:tc>
          <w:tcPr>
            <w:tcW w:w="3118" w:type="dxa"/>
            <w:tcBorders>
              <w:top w:val="single" w:color="auto" w:sz="4" w:space="0"/>
              <w:left w:val="nil"/>
              <w:bottom w:val="single" w:color="auto" w:sz="4" w:space="0"/>
              <w:right w:val="nil"/>
            </w:tcBorders>
            <w:hideMark/>
          </w:tcPr>
          <w:p w:rsidR="0034188A" w:rsidRDefault="0034188A" w14:paraId="741CA334" w14:textId="77777777">
            <w:pPr>
              <w:jc w:val="center"/>
              <w:rPr>
                <w:sz w:val="22"/>
                <w:szCs w:val="22"/>
              </w:rPr>
            </w:pPr>
            <w:r>
              <w:t>131</w:t>
            </w:r>
          </w:p>
        </w:tc>
      </w:tr>
    </w:tbl>
    <w:p w:rsidR="0034188A" w:rsidP="0034188A" w:rsidRDefault="0034188A" w14:paraId="73D8215C" w14:textId="77777777">
      <w:r>
        <w:t>The search recruited articles published until July 5</w:t>
      </w:r>
      <w:r>
        <w:rPr>
          <w:vertAlign w:val="superscript"/>
        </w:rPr>
        <w:t>th</w:t>
      </w:r>
      <w:r>
        <w:t xml:space="preserve"> 2019; no lower date limit was set.</w:t>
      </w:r>
    </w:p>
    <w:p w:rsidR="0034188A" w:rsidP="0034188A" w:rsidRDefault="0034188A" w14:paraId="4584B6F7" w14:textId="77777777"/>
    <w:p w:rsidR="0034188A" w:rsidP="0034188A" w:rsidRDefault="0034188A" w14:paraId="0F6BF4FB" w14:textId="77777777">
      <w:pPr>
        <w:rPr>
          <w:rFonts w:cstheme="minorBidi"/>
          <w:b/>
        </w:rPr>
      </w:pPr>
    </w:p>
    <w:p w:rsidR="0034188A" w:rsidP="0034188A" w:rsidRDefault="0034188A" w14:paraId="3BA1ED18" w14:textId="77777777">
      <w:pPr>
        <w:rPr>
          <w:b/>
        </w:rPr>
      </w:pPr>
    </w:p>
    <w:p w:rsidR="00351BBB" w:rsidP="0034188A" w:rsidRDefault="00351BBB" w14:paraId="4E117621" w14:textId="77777777">
      <w:pPr>
        <w:rPr>
          <w:b/>
        </w:rPr>
      </w:pPr>
    </w:p>
    <w:p w:rsidR="00351BBB" w:rsidP="0034188A" w:rsidRDefault="00351BBB" w14:paraId="0EEDA39D" w14:textId="77777777">
      <w:pPr>
        <w:rPr>
          <w:b/>
        </w:rPr>
      </w:pPr>
    </w:p>
    <w:p w:rsidR="0034188A" w:rsidP="0034188A" w:rsidRDefault="0034188A" w14:paraId="4DAA666C" w14:textId="77777777">
      <w:pPr>
        <w:rPr>
          <w:b/>
        </w:rPr>
      </w:pPr>
    </w:p>
    <w:p w:rsidR="0034188A" w:rsidP="0034188A" w:rsidRDefault="0034188A" w14:paraId="1D281368" w14:textId="77777777">
      <w:pPr>
        <w:rPr>
          <w:b/>
        </w:rPr>
      </w:pPr>
    </w:p>
    <w:p w:rsidR="0034188A" w:rsidP="0034188A" w:rsidRDefault="0034188A" w14:paraId="257D2BEA" w14:textId="77777777">
      <w:pPr>
        <w:rPr>
          <w:b/>
        </w:rPr>
      </w:pPr>
    </w:p>
    <w:p w:rsidR="0034188A" w:rsidP="0034188A" w:rsidRDefault="0034188A" w14:paraId="4E0A6D26" w14:textId="77777777">
      <w:pPr>
        <w:rPr>
          <w:b/>
        </w:rPr>
      </w:pPr>
    </w:p>
    <w:tbl>
      <w:tblPr>
        <w:tblW w:w="15165" w:type="dxa"/>
        <w:tblInd w:w="-318" w:type="dxa"/>
        <w:tblLayout w:type="fixed"/>
        <w:tblLook w:val="00A0" w:firstRow="1" w:lastRow="0" w:firstColumn="1" w:lastColumn="0" w:noHBand="0" w:noVBand="0"/>
      </w:tblPr>
      <w:tblGrid>
        <w:gridCol w:w="1843"/>
        <w:gridCol w:w="1843"/>
        <w:gridCol w:w="1842"/>
        <w:gridCol w:w="1843"/>
        <w:gridCol w:w="2834"/>
        <w:gridCol w:w="1843"/>
        <w:gridCol w:w="3117"/>
      </w:tblGrid>
      <w:tr w:rsidR="0034188A" w:rsidTr="0034188A" w14:paraId="7E6E9120" w14:textId="77777777">
        <w:trPr>
          <w:trHeight w:val="20"/>
        </w:trPr>
        <w:tc>
          <w:tcPr>
            <w:tcW w:w="15168" w:type="dxa"/>
            <w:gridSpan w:val="7"/>
            <w:tcBorders>
              <w:top w:val="nil"/>
              <w:left w:val="nil"/>
              <w:bottom w:val="single" w:color="auto" w:sz="4" w:space="0"/>
              <w:right w:val="nil"/>
            </w:tcBorders>
            <w:shd w:val="clear" w:color="auto" w:fill="FFFFFF" w:themeFill="background1"/>
            <w:vAlign w:val="center"/>
            <w:hideMark/>
          </w:tcPr>
          <w:p w:rsidR="0034188A" w:rsidRDefault="0034188A" w14:paraId="010A2D0A" w14:textId="77777777">
            <w:pPr>
              <w:spacing w:before="120" w:after="120" w:line="480" w:lineRule="auto"/>
              <w:jc w:val="both"/>
              <w:rPr>
                <w:b/>
                <w:sz w:val="22"/>
                <w:szCs w:val="22"/>
              </w:rPr>
            </w:pPr>
            <w:r>
              <w:rPr>
                <w:b/>
              </w:rPr>
              <w:lastRenderedPageBreak/>
              <w:t xml:space="preserve">Table S3. </w:t>
            </w:r>
            <w:r>
              <w:t xml:space="preserve">Search strategy used and number of articles found in </w:t>
            </w:r>
            <w:r>
              <w:rPr>
                <w:b/>
              </w:rPr>
              <w:t>PubMed</w:t>
            </w:r>
            <w:r>
              <w:t>.</w:t>
            </w:r>
          </w:p>
        </w:tc>
      </w:tr>
      <w:tr w:rsidR="0034188A" w:rsidTr="0034188A" w14:paraId="2B976355" w14:textId="77777777">
        <w:trPr>
          <w:trHeight w:val="20"/>
        </w:trPr>
        <w:tc>
          <w:tcPr>
            <w:tcW w:w="1844"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72C2772D" w14:textId="77777777">
            <w:pPr>
              <w:spacing w:after="200"/>
              <w:jc w:val="both"/>
              <w:rPr>
                <w:b/>
                <w:sz w:val="22"/>
                <w:szCs w:val="22"/>
              </w:rPr>
            </w:pPr>
            <w:r>
              <w:rPr>
                <w:b/>
              </w:rPr>
              <w:t>Search criterion 1</w:t>
            </w:r>
          </w:p>
        </w:tc>
        <w:tc>
          <w:tcPr>
            <w:tcW w:w="1843"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2962FD26" w14:textId="77777777">
            <w:pPr>
              <w:spacing w:after="200"/>
              <w:jc w:val="both"/>
              <w:rPr>
                <w:b/>
                <w:sz w:val="22"/>
                <w:szCs w:val="22"/>
              </w:rPr>
            </w:pPr>
            <w:r>
              <w:rPr>
                <w:b/>
              </w:rPr>
              <w:t>Search criterion 2</w:t>
            </w:r>
          </w:p>
        </w:tc>
        <w:tc>
          <w:tcPr>
            <w:tcW w:w="1842"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559661C3" w14:textId="77777777">
            <w:pPr>
              <w:spacing w:after="200"/>
              <w:jc w:val="both"/>
              <w:rPr>
                <w:b/>
                <w:sz w:val="22"/>
                <w:szCs w:val="22"/>
              </w:rPr>
            </w:pPr>
            <w:r>
              <w:rPr>
                <w:b/>
              </w:rPr>
              <w:t>Search criterion 3</w:t>
            </w:r>
          </w:p>
        </w:tc>
        <w:tc>
          <w:tcPr>
            <w:tcW w:w="1843"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05315035" w14:textId="77777777">
            <w:pPr>
              <w:spacing w:after="200"/>
              <w:jc w:val="both"/>
              <w:rPr>
                <w:b/>
                <w:sz w:val="22"/>
                <w:szCs w:val="22"/>
              </w:rPr>
            </w:pPr>
            <w:r>
              <w:rPr>
                <w:b/>
              </w:rPr>
              <w:t>Search criterion 4</w:t>
            </w:r>
          </w:p>
        </w:tc>
        <w:tc>
          <w:tcPr>
            <w:tcW w:w="2835"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4FDEB6FA" w14:textId="77777777">
            <w:pPr>
              <w:rPr>
                <w:b/>
              </w:rPr>
            </w:pPr>
            <w:proofErr w:type="spellStart"/>
            <w:r>
              <w:rPr>
                <w:b/>
              </w:rPr>
              <w:t>MeSH</w:t>
            </w:r>
            <w:proofErr w:type="spellEnd"/>
            <w:r>
              <w:rPr>
                <w:b/>
              </w:rPr>
              <w:t xml:space="preserve"> Entry Terms for</w:t>
            </w:r>
          </w:p>
          <w:p w:rsidR="0034188A" w:rsidRDefault="0034188A" w14:paraId="2E1E77BA" w14:textId="77777777">
            <w:pPr>
              <w:spacing w:after="200"/>
              <w:jc w:val="center"/>
              <w:rPr>
                <w:b/>
                <w:sz w:val="22"/>
                <w:szCs w:val="22"/>
              </w:rPr>
            </w:pPr>
            <w:r>
              <w:rPr>
                <w:b/>
              </w:rPr>
              <w:t>Criteria 4</w:t>
            </w:r>
          </w:p>
        </w:tc>
        <w:tc>
          <w:tcPr>
            <w:tcW w:w="1843" w:type="dxa"/>
            <w:tcBorders>
              <w:top w:val="single" w:color="auto" w:sz="4" w:space="0"/>
              <w:left w:val="nil"/>
              <w:bottom w:val="single" w:color="auto" w:sz="4" w:space="0"/>
              <w:right w:val="nil"/>
            </w:tcBorders>
            <w:shd w:val="clear" w:color="auto" w:fill="FFFFFF" w:themeFill="background1"/>
          </w:tcPr>
          <w:p w:rsidR="0034188A" w:rsidRDefault="0034188A" w14:paraId="61E3EB6B" w14:textId="77777777">
            <w:pPr>
              <w:rPr>
                <w:b/>
              </w:rPr>
            </w:pPr>
          </w:p>
          <w:p w:rsidR="0034188A" w:rsidRDefault="0034188A" w14:paraId="7FCB4155" w14:textId="77777777">
            <w:pPr>
              <w:spacing w:after="200"/>
              <w:rPr>
                <w:b/>
                <w:sz w:val="22"/>
                <w:szCs w:val="22"/>
              </w:rPr>
            </w:pPr>
            <w:r>
              <w:rPr>
                <w:b/>
              </w:rPr>
              <w:t>Search criterion 5</w:t>
            </w:r>
          </w:p>
        </w:tc>
        <w:tc>
          <w:tcPr>
            <w:tcW w:w="3118" w:type="dxa"/>
            <w:tcBorders>
              <w:top w:val="single" w:color="auto" w:sz="4" w:space="0"/>
              <w:left w:val="nil"/>
              <w:bottom w:val="single" w:color="auto" w:sz="4" w:space="0"/>
              <w:right w:val="nil"/>
            </w:tcBorders>
            <w:shd w:val="clear" w:color="auto" w:fill="FFFFFF" w:themeFill="background1"/>
            <w:vAlign w:val="center"/>
            <w:hideMark/>
          </w:tcPr>
          <w:p w:rsidR="0034188A" w:rsidRDefault="0034188A" w14:paraId="33965570" w14:textId="77777777">
            <w:pPr>
              <w:jc w:val="both"/>
              <w:rPr>
                <w:b/>
              </w:rPr>
            </w:pPr>
            <w:r>
              <w:rPr>
                <w:b/>
              </w:rPr>
              <w:t>Items found</w:t>
            </w:r>
          </w:p>
          <w:p w:rsidR="0034188A" w:rsidRDefault="0034188A" w14:paraId="29587165" w14:textId="77777777">
            <w:pPr>
              <w:jc w:val="both"/>
              <w:rPr>
                <w:b/>
              </w:rPr>
            </w:pPr>
            <w:r>
              <w:rPr>
                <w:b/>
              </w:rPr>
              <w:t>(Combining criteria</w:t>
            </w:r>
          </w:p>
          <w:p w:rsidR="0034188A" w:rsidRDefault="0034188A" w14:paraId="41030303" w14:textId="77777777">
            <w:pPr>
              <w:spacing w:after="200"/>
              <w:jc w:val="both"/>
              <w:rPr>
                <w:b/>
                <w:sz w:val="22"/>
                <w:szCs w:val="22"/>
              </w:rPr>
            </w:pPr>
            <w:r>
              <w:rPr>
                <w:b/>
              </w:rPr>
              <w:t>1 “AND” 2 “AND” 3 “NOT” 4 “NOT” 5)</w:t>
            </w:r>
          </w:p>
        </w:tc>
      </w:tr>
      <w:tr w:rsidR="0034188A" w:rsidTr="0034188A" w14:paraId="0FCC6DD7" w14:textId="77777777">
        <w:trPr>
          <w:trHeight w:val="704"/>
        </w:trPr>
        <w:tc>
          <w:tcPr>
            <w:tcW w:w="1844" w:type="dxa"/>
            <w:vMerge w:val="restart"/>
            <w:tcBorders>
              <w:top w:val="single" w:color="auto" w:sz="4" w:space="0"/>
              <w:left w:val="nil"/>
              <w:bottom w:val="nil"/>
              <w:right w:val="nil"/>
            </w:tcBorders>
          </w:tcPr>
          <w:p w:rsidR="0034188A" w:rsidRDefault="0034188A" w14:paraId="69CA742A" w14:textId="77777777">
            <w:pPr>
              <w:contextualSpacing/>
            </w:pPr>
            <w:r>
              <w:t>“Gastrointestinal Microbiome” OR "Fecal Microbiota" OR "</w:t>
            </w:r>
            <w:proofErr w:type="spellStart"/>
            <w:r>
              <w:t>Cecal</w:t>
            </w:r>
            <w:proofErr w:type="spellEnd"/>
            <w:r>
              <w:t xml:space="preserve"> Microbiota" OR "Fecal Microbiota"</w:t>
            </w:r>
          </w:p>
          <w:p w:rsidR="0034188A" w:rsidRDefault="0034188A" w14:paraId="16D7699E" w14:textId="77777777">
            <w:pPr>
              <w:contextualSpacing/>
              <w:rPr>
                <w:sz w:val="22"/>
              </w:rPr>
            </w:pPr>
          </w:p>
        </w:tc>
        <w:tc>
          <w:tcPr>
            <w:tcW w:w="1843" w:type="dxa"/>
            <w:vMerge w:val="restart"/>
            <w:tcBorders>
              <w:top w:val="single" w:color="auto" w:sz="4" w:space="0"/>
              <w:left w:val="nil"/>
              <w:bottom w:val="nil"/>
              <w:right w:val="nil"/>
            </w:tcBorders>
          </w:tcPr>
          <w:p w:rsidR="0034188A" w:rsidRDefault="0034188A" w14:paraId="60FB9DA0" w14:textId="77777777">
            <w:pPr>
              <w:contextualSpacing/>
            </w:pPr>
            <w:r>
              <w:t xml:space="preserve">Exercises OR Training </w:t>
            </w:r>
          </w:p>
          <w:p w:rsidR="0034188A" w:rsidRDefault="0034188A" w14:paraId="2FDAEB0D" w14:textId="77777777">
            <w:pPr>
              <w:pStyle w:val="meshyearintroduced"/>
              <w:shd w:val="clear" w:color="auto" w:fill="FFFFFF"/>
              <w:spacing w:before="0" w:beforeAutospacing="0" w:after="0" w:afterAutospacing="0" w:line="276" w:lineRule="auto"/>
              <w:contextualSpacing/>
              <w:rPr>
                <w:sz w:val="22"/>
                <w:lang w:eastAsia="en-US"/>
              </w:rPr>
            </w:pPr>
          </w:p>
        </w:tc>
        <w:tc>
          <w:tcPr>
            <w:tcW w:w="1842" w:type="dxa"/>
            <w:vMerge w:val="restart"/>
            <w:tcBorders>
              <w:top w:val="single" w:color="auto" w:sz="4" w:space="0"/>
              <w:left w:val="nil"/>
              <w:bottom w:val="nil"/>
              <w:right w:val="nil"/>
            </w:tcBorders>
            <w:hideMark/>
          </w:tcPr>
          <w:p w:rsidR="0034188A" w:rsidRDefault="0034188A" w14:paraId="7C782916" w14:textId="77777777">
            <w:pPr>
              <w:rPr>
                <w:sz w:val="22"/>
              </w:rPr>
            </w:pPr>
            <w:r>
              <w:t>Human</w:t>
            </w:r>
          </w:p>
        </w:tc>
        <w:tc>
          <w:tcPr>
            <w:tcW w:w="1843" w:type="dxa"/>
            <w:tcBorders>
              <w:top w:val="single" w:color="auto" w:sz="4" w:space="0"/>
              <w:left w:val="nil"/>
              <w:bottom w:val="single" w:color="auto" w:sz="4" w:space="0"/>
              <w:right w:val="nil"/>
            </w:tcBorders>
            <w:hideMark/>
          </w:tcPr>
          <w:p w:rsidR="0034188A" w:rsidRDefault="0034188A" w14:paraId="28CD2941" w14:textId="77777777">
            <w:pPr>
              <w:rPr>
                <w:sz w:val="22"/>
              </w:rPr>
            </w:pPr>
            <w:r>
              <w:t>"Mice"[</w:t>
            </w:r>
            <w:proofErr w:type="spellStart"/>
            <w:r>
              <w:t>MeSH</w:t>
            </w:r>
            <w:proofErr w:type="spellEnd"/>
            <w:r>
              <w:t xml:space="preserve">] </w:t>
            </w:r>
          </w:p>
        </w:tc>
        <w:tc>
          <w:tcPr>
            <w:tcW w:w="2835" w:type="dxa"/>
            <w:tcBorders>
              <w:top w:val="single" w:color="auto" w:sz="4" w:space="0"/>
              <w:left w:val="nil"/>
              <w:bottom w:val="single" w:color="auto" w:sz="4" w:space="0"/>
              <w:right w:val="nil"/>
            </w:tcBorders>
            <w:hideMark/>
          </w:tcPr>
          <w:p w:rsidR="0034188A" w:rsidRDefault="0034188A" w14:paraId="61B46A9E" w14:textId="77777777">
            <w:pPr>
              <w:shd w:val="clear" w:color="auto" w:fill="FFFFFF"/>
            </w:pPr>
            <w:r>
              <w:t>Mus</w:t>
            </w:r>
          </w:p>
          <w:p w:rsidR="0034188A" w:rsidRDefault="0034188A" w14:paraId="616B1E97" w14:textId="77777777">
            <w:pPr>
              <w:shd w:val="clear" w:color="auto" w:fill="FFFFFF"/>
            </w:pPr>
            <w:r>
              <w:t>Mouse</w:t>
            </w:r>
          </w:p>
          <w:p w:rsidR="0034188A" w:rsidRDefault="0034188A" w14:paraId="658175F9" w14:textId="77777777">
            <w:pPr>
              <w:shd w:val="clear" w:color="auto" w:fill="FFFFFF"/>
            </w:pPr>
            <w:r>
              <w:t xml:space="preserve">Mus </w:t>
            </w:r>
            <w:proofErr w:type="spellStart"/>
            <w:r>
              <w:t>musculus</w:t>
            </w:r>
            <w:proofErr w:type="spellEnd"/>
          </w:p>
          <w:p w:rsidR="0034188A" w:rsidRDefault="0034188A" w14:paraId="3297B99C" w14:textId="77777777">
            <w:pPr>
              <w:shd w:val="clear" w:color="auto" w:fill="FFFFFF"/>
            </w:pPr>
            <w:r>
              <w:t>Mice, House</w:t>
            </w:r>
          </w:p>
          <w:p w:rsidR="0034188A" w:rsidRDefault="0034188A" w14:paraId="01B85B96" w14:textId="77777777">
            <w:pPr>
              <w:shd w:val="clear" w:color="auto" w:fill="FFFFFF"/>
            </w:pPr>
            <w:r>
              <w:t>House Mice</w:t>
            </w:r>
          </w:p>
          <w:p w:rsidR="0034188A" w:rsidRDefault="0034188A" w14:paraId="189E28AA" w14:textId="77777777">
            <w:pPr>
              <w:shd w:val="clear" w:color="auto" w:fill="FFFFFF"/>
            </w:pPr>
            <w:r>
              <w:t>Mouse, House</w:t>
            </w:r>
          </w:p>
          <w:p w:rsidR="0034188A" w:rsidRDefault="0034188A" w14:paraId="068ACAD2" w14:textId="77777777">
            <w:pPr>
              <w:shd w:val="clear" w:color="auto" w:fill="FFFFFF"/>
            </w:pPr>
            <w:r>
              <w:t>House Mouse</w:t>
            </w:r>
          </w:p>
          <w:p w:rsidR="0034188A" w:rsidRDefault="0034188A" w14:paraId="1593823B" w14:textId="77777777">
            <w:pPr>
              <w:shd w:val="clear" w:color="auto" w:fill="FFFFFF"/>
            </w:pPr>
            <w:r>
              <w:t xml:space="preserve">Mus </w:t>
            </w:r>
            <w:proofErr w:type="spellStart"/>
            <w:r>
              <w:t>domesticus</w:t>
            </w:r>
            <w:proofErr w:type="spellEnd"/>
          </w:p>
          <w:p w:rsidR="0034188A" w:rsidRDefault="0034188A" w14:paraId="56F7BDCA" w14:textId="77777777">
            <w:pPr>
              <w:shd w:val="clear" w:color="auto" w:fill="FFFFFF"/>
            </w:pPr>
            <w:r>
              <w:t xml:space="preserve">Mus </w:t>
            </w:r>
            <w:proofErr w:type="spellStart"/>
            <w:r>
              <w:t>musculus</w:t>
            </w:r>
            <w:proofErr w:type="spellEnd"/>
            <w:r>
              <w:t xml:space="preserve"> </w:t>
            </w:r>
            <w:proofErr w:type="spellStart"/>
            <w:r>
              <w:t>domesticus</w:t>
            </w:r>
            <w:proofErr w:type="spellEnd"/>
          </w:p>
          <w:p w:rsidR="0034188A" w:rsidRDefault="0034188A" w14:paraId="7938DC99" w14:textId="77777777">
            <w:pPr>
              <w:shd w:val="clear" w:color="auto" w:fill="FFFFFF"/>
            </w:pPr>
            <w:proofErr w:type="spellStart"/>
            <w:r>
              <w:t>domesticus</w:t>
            </w:r>
            <w:proofErr w:type="spellEnd"/>
            <w:r>
              <w:t xml:space="preserve">, Mus </w:t>
            </w:r>
            <w:proofErr w:type="spellStart"/>
            <w:r>
              <w:t>musculus</w:t>
            </w:r>
            <w:proofErr w:type="spellEnd"/>
          </w:p>
          <w:p w:rsidR="0034188A" w:rsidRDefault="0034188A" w14:paraId="1573E135" w14:textId="77777777">
            <w:pPr>
              <w:shd w:val="clear" w:color="auto" w:fill="FFFFFF"/>
            </w:pPr>
            <w:r>
              <w:t>Mice, Laboratory</w:t>
            </w:r>
          </w:p>
          <w:p w:rsidR="0034188A" w:rsidRDefault="0034188A" w14:paraId="1993590A" w14:textId="77777777">
            <w:pPr>
              <w:shd w:val="clear" w:color="auto" w:fill="FFFFFF"/>
            </w:pPr>
            <w:r>
              <w:t>Laboratory Mice</w:t>
            </w:r>
          </w:p>
          <w:p w:rsidR="0034188A" w:rsidRDefault="0034188A" w14:paraId="44CBA39B" w14:textId="77777777">
            <w:pPr>
              <w:shd w:val="clear" w:color="auto" w:fill="FFFFFF"/>
            </w:pPr>
            <w:r>
              <w:t>Mouse, Laboratory</w:t>
            </w:r>
          </w:p>
          <w:p w:rsidR="0034188A" w:rsidRDefault="0034188A" w14:paraId="53505C61" w14:textId="77777777">
            <w:pPr>
              <w:shd w:val="clear" w:color="auto" w:fill="FFFFFF"/>
            </w:pPr>
            <w:r>
              <w:t>Laboratory Mouse</w:t>
            </w:r>
          </w:p>
          <w:p w:rsidR="0034188A" w:rsidRDefault="0034188A" w14:paraId="4CF4E4BB" w14:textId="77777777">
            <w:pPr>
              <w:shd w:val="clear" w:color="auto" w:fill="FFFFFF"/>
            </w:pPr>
            <w:r>
              <w:t>Mouse, Swiss</w:t>
            </w:r>
          </w:p>
          <w:p w:rsidR="0034188A" w:rsidRDefault="0034188A" w14:paraId="69F7BE8F" w14:textId="77777777">
            <w:pPr>
              <w:shd w:val="clear" w:color="auto" w:fill="FFFFFF"/>
            </w:pPr>
            <w:r>
              <w:t>Swiss Mouse</w:t>
            </w:r>
          </w:p>
          <w:p w:rsidR="0034188A" w:rsidRDefault="0034188A" w14:paraId="605671FA" w14:textId="77777777">
            <w:pPr>
              <w:shd w:val="clear" w:color="auto" w:fill="FFFFFF"/>
            </w:pPr>
            <w:r>
              <w:t>Swiss Mice</w:t>
            </w:r>
          </w:p>
          <w:p w:rsidR="0034188A" w:rsidRDefault="0034188A" w14:paraId="6F5F7196" w14:textId="77777777">
            <w:pPr>
              <w:rPr>
                <w:sz w:val="22"/>
              </w:rPr>
            </w:pPr>
            <w:r>
              <w:t>Mice, Swiss</w:t>
            </w:r>
          </w:p>
        </w:tc>
        <w:tc>
          <w:tcPr>
            <w:tcW w:w="1843" w:type="dxa"/>
            <w:vMerge w:val="restart"/>
            <w:tcBorders>
              <w:top w:val="single" w:color="auto" w:sz="4" w:space="0"/>
              <w:left w:val="nil"/>
              <w:bottom w:val="nil"/>
              <w:right w:val="nil"/>
            </w:tcBorders>
            <w:hideMark/>
          </w:tcPr>
          <w:p w:rsidR="0034188A" w:rsidRDefault="0034188A" w14:paraId="3B958BAB" w14:textId="77777777">
            <w:pPr>
              <w:jc w:val="center"/>
              <w:rPr>
                <w:sz w:val="22"/>
              </w:rPr>
            </w:pPr>
            <w:r>
              <w:t>Review</w:t>
            </w:r>
          </w:p>
        </w:tc>
        <w:tc>
          <w:tcPr>
            <w:tcW w:w="3118" w:type="dxa"/>
            <w:vMerge w:val="restart"/>
            <w:tcBorders>
              <w:top w:val="single" w:color="auto" w:sz="4" w:space="0"/>
              <w:left w:val="nil"/>
              <w:bottom w:val="nil"/>
              <w:right w:val="nil"/>
            </w:tcBorders>
            <w:hideMark/>
          </w:tcPr>
          <w:p w:rsidR="0034188A" w:rsidRDefault="0034188A" w14:paraId="731BE27B" w14:textId="77777777">
            <w:pPr>
              <w:jc w:val="center"/>
              <w:rPr>
                <w:sz w:val="22"/>
                <w:szCs w:val="22"/>
              </w:rPr>
            </w:pPr>
            <w:r>
              <w:t>232</w:t>
            </w:r>
          </w:p>
        </w:tc>
      </w:tr>
      <w:tr w:rsidR="0034188A" w:rsidTr="0034188A" w14:paraId="791DB337" w14:textId="77777777">
        <w:trPr>
          <w:trHeight w:val="2259"/>
        </w:trPr>
        <w:tc>
          <w:tcPr>
            <w:tcW w:w="300" w:type="dxa"/>
            <w:vMerge/>
            <w:tcBorders>
              <w:top w:val="single" w:color="auto" w:sz="4" w:space="0"/>
              <w:left w:val="nil"/>
              <w:bottom w:val="nil"/>
              <w:right w:val="nil"/>
            </w:tcBorders>
            <w:vAlign w:val="center"/>
            <w:hideMark/>
          </w:tcPr>
          <w:p w:rsidR="0034188A" w:rsidRDefault="0034188A" w14:paraId="309E8CF9"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4D930B51"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1D25FA9E" w14:textId="77777777">
            <w:pPr>
              <w:rPr>
                <w:sz w:val="22"/>
              </w:rPr>
            </w:pPr>
          </w:p>
        </w:tc>
        <w:tc>
          <w:tcPr>
            <w:tcW w:w="1843" w:type="dxa"/>
            <w:tcBorders>
              <w:top w:val="single" w:color="auto" w:sz="4" w:space="0"/>
              <w:left w:val="nil"/>
              <w:bottom w:val="single" w:color="auto" w:sz="4" w:space="0"/>
              <w:right w:val="nil"/>
            </w:tcBorders>
            <w:hideMark/>
          </w:tcPr>
          <w:p w:rsidR="0034188A" w:rsidRDefault="0034188A" w14:paraId="550C5138" w14:textId="77777777">
            <w:pPr>
              <w:rPr>
                <w:sz w:val="22"/>
              </w:rPr>
            </w:pPr>
            <w:r>
              <w:t>"Rats"[</w:t>
            </w:r>
            <w:proofErr w:type="spellStart"/>
            <w:r>
              <w:t>MeSH</w:t>
            </w:r>
            <w:proofErr w:type="spellEnd"/>
            <w:r>
              <w:t xml:space="preserve">] </w:t>
            </w:r>
          </w:p>
        </w:tc>
        <w:tc>
          <w:tcPr>
            <w:tcW w:w="2835" w:type="dxa"/>
            <w:tcBorders>
              <w:top w:val="single" w:color="auto" w:sz="4" w:space="0"/>
              <w:left w:val="nil"/>
              <w:bottom w:val="single" w:color="auto" w:sz="4" w:space="0"/>
              <w:right w:val="nil"/>
            </w:tcBorders>
            <w:hideMark/>
          </w:tcPr>
          <w:p w:rsidR="0034188A" w:rsidRDefault="0034188A" w14:paraId="5494B8AB" w14:textId="77777777">
            <w:r>
              <w:t>Rat</w:t>
            </w:r>
          </w:p>
          <w:p w:rsidR="0034188A" w:rsidRDefault="0034188A" w14:paraId="687D6477" w14:textId="77777777">
            <w:proofErr w:type="spellStart"/>
            <w:r>
              <w:t>Rattus</w:t>
            </w:r>
            <w:proofErr w:type="spellEnd"/>
          </w:p>
          <w:p w:rsidR="0034188A" w:rsidRDefault="0034188A" w14:paraId="2D841C19" w14:textId="77777777">
            <w:proofErr w:type="spellStart"/>
            <w:r>
              <w:t>Rattus</w:t>
            </w:r>
            <w:proofErr w:type="spellEnd"/>
            <w:r>
              <w:t xml:space="preserve"> </w:t>
            </w:r>
            <w:proofErr w:type="spellStart"/>
            <w:r>
              <w:t>norvegicus</w:t>
            </w:r>
            <w:proofErr w:type="spellEnd"/>
          </w:p>
          <w:p w:rsidR="0034188A" w:rsidRDefault="0034188A" w14:paraId="4036B004" w14:textId="77777777">
            <w:r>
              <w:t>Rats, Norway</w:t>
            </w:r>
          </w:p>
          <w:p w:rsidR="0034188A" w:rsidRDefault="0034188A" w14:paraId="0D0B677E" w14:textId="77777777">
            <w:r>
              <w:t>Rats, Laboratory</w:t>
            </w:r>
          </w:p>
          <w:p w:rsidR="0034188A" w:rsidRDefault="0034188A" w14:paraId="098DFEAE" w14:textId="77777777">
            <w:r>
              <w:t>Laboratory Rat</w:t>
            </w:r>
          </w:p>
          <w:p w:rsidR="0034188A" w:rsidRDefault="0034188A" w14:paraId="27700BA4" w14:textId="77777777">
            <w:r>
              <w:t>Laboratory Rats</w:t>
            </w:r>
          </w:p>
          <w:p w:rsidR="0034188A" w:rsidRDefault="0034188A" w14:paraId="107B4F6C" w14:textId="77777777">
            <w:pPr>
              <w:rPr>
                <w:sz w:val="22"/>
              </w:rPr>
            </w:pPr>
            <w:r>
              <w:t>Rat, Laboratory</w:t>
            </w:r>
          </w:p>
        </w:tc>
        <w:tc>
          <w:tcPr>
            <w:tcW w:w="2143" w:type="dxa"/>
            <w:vMerge/>
            <w:tcBorders>
              <w:top w:val="single" w:color="auto" w:sz="4" w:space="0"/>
              <w:left w:val="nil"/>
              <w:bottom w:val="nil"/>
              <w:right w:val="nil"/>
            </w:tcBorders>
            <w:vAlign w:val="center"/>
            <w:hideMark/>
          </w:tcPr>
          <w:p w:rsidR="0034188A" w:rsidRDefault="0034188A" w14:paraId="65A2A897" w14:textId="77777777">
            <w:pPr>
              <w:rPr>
                <w:sz w:val="22"/>
              </w:rPr>
            </w:pPr>
          </w:p>
        </w:tc>
        <w:tc>
          <w:tcPr>
            <w:tcW w:w="3118" w:type="dxa"/>
            <w:vMerge/>
            <w:tcBorders>
              <w:top w:val="single" w:color="auto" w:sz="4" w:space="0"/>
              <w:left w:val="nil"/>
              <w:bottom w:val="nil"/>
              <w:right w:val="nil"/>
            </w:tcBorders>
            <w:vAlign w:val="center"/>
            <w:hideMark/>
          </w:tcPr>
          <w:p w:rsidR="0034188A" w:rsidRDefault="0034188A" w14:paraId="2C2A9833" w14:textId="77777777">
            <w:pPr>
              <w:rPr>
                <w:sz w:val="22"/>
                <w:szCs w:val="22"/>
              </w:rPr>
            </w:pPr>
          </w:p>
        </w:tc>
      </w:tr>
      <w:tr w:rsidR="0034188A" w:rsidTr="0034188A" w14:paraId="46801866" w14:textId="77777777">
        <w:trPr>
          <w:trHeight w:val="3113"/>
        </w:trPr>
        <w:tc>
          <w:tcPr>
            <w:tcW w:w="300" w:type="dxa"/>
            <w:vMerge/>
            <w:tcBorders>
              <w:top w:val="single" w:color="auto" w:sz="4" w:space="0"/>
              <w:left w:val="nil"/>
              <w:bottom w:val="nil"/>
              <w:right w:val="nil"/>
            </w:tcBorders>
            <w:vAlign w:val="center"/>
            <w:hideMark/>
          </w:tcPr>
          <w:p w:rsidR="0034188A" w:rsidRDefault="0034188A" w14:paraId="03714B42"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2C60C346"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173012EC" w14:textId="77777777">
            <w:pPr>
              <w:rPr>
                <w:sz w:val="22"/>
              </w:rPr>
            </w:pPr>
          </w:p>
        </w:tc>
        <w:tc>
          <w:tcPr>
            <w:tcW w:w="1843" w:type="dxa"/>
            <w:tcBorders>
              <w:top w:val="single" w:color="auto" w:sz="4" w:space="0"/>
              <w:left w:val="nil"/>
              <w:bottom w:val="single" w:color="auto" w:sz="4" w:space="0"/>
              <w:right w:val="nil"/>
            </w:tcBorders>
            <w:hideMark/>
          </w:tcPr>
          <w:p w:rsidR="0034188A" w:rsidRDefault="0034188A" w14:paraId="2A52ADF2" w14:textId="77777777">
            <w:pPr>
              <w:rPr>
                <w:sz w:val="22"/>
              </w:rPr>
            </w:pPr>
            <w:r>
              <w:t xml:space="preserve"> "Animal Experimentation"[</w:t>
            </w:r>
            <w:proofErr w:type="spellStart"/>
            <w:r>
              <w:t>MeSH</w:t>
            </w:r>
            <w:proofErr w:type="spellEnd"/>
            <w:r>
              <w:t xml:space="preserve">] </w:t>
            </w:r>
          </w:p>
        </w:tc>
        <w:tc>
          <w:tcPr>
            <w:tcW w:w="2835" w:type="dxa"/>
            <w:tcBorders>
              <w:top w:val="single" w:color="auto" w:sz="4" w:space="0"/>
              <w:left w:val="nil"/>
              <w:bottom w:val="single" w:color="auto" w:sz="4" w:space="0"/>
              <w:right w:val="nil"/>
            </w:tcBorders>
            <w:hideMark/>
          </w:tcPr>
          <w:p w:rsidR="0034188A" w:rsidRDefault="0034188A" w14:paraId="40E7D7F5" w14:textId="77777777">
            <w:r>
              <w:t>Experimentation, Animal</w:t>
            </w:r>
          </w:p>
          <w:p w:rsidR="0034188A" w:rsidRDefault="0034188A" w14:paraId="1954B0F1" w14:textId="77777777">
            <w:r>
              <w:t>Animal Research</w:t>
            </w:r>
          </w:p>
          <w:p w:rsidR="0034188A" w:rsidRDefault="0034188A" w14:paraId="6114C658" w14:textId="77777777">
            <w:r>
              <w:t>Research, Animal</w:t>
            </w:r>
          </w:p>
          <w:p w:rsidR="0034188A" w:rsidRDefault="0034188A" w14:paraId="750A1208" w14:textId="77777777">
            <w:r>
              <w:t>Animal Experimental Use</w:t>
            </w:r>
          </w:p>
          <w:p w:rsidR="0034188A" w:rsidRDefault="0034188A" w14:paraId="1E62A49C" w14:textId="77777777">
            <w:r>
              <w:t>Animal Experimental Uses</w:t>
            </w:r>
          </w:p>
          <w:p w:rsidR="0034188A" w:rsidRDefault="0034188A" w14:paraId="4951B722" w14:textId="77777777">
            <w:r>
              <w:t>Experimental Use, Animal</w:t>
            </w:r>
          </w:p>
          <w:p w:rsidR="0034188A" w:rsidRDefault="0034188A" w14:paraId="5EEB719C" w14:textId="77777777">
            <w:r>
              <w:t>Experimental Uses, Animal</w:t>
            </w:r>
          </w:p>
          <w:p w:rsidR="0034188A" w:rsidRDefault="0034188A" w14:paraId="09725AD9" w14:textId="77777777">
            <w:r>
              <w:t>Animal Experiments</w:t>
            </w:r>
          </w:p>
          <w:p w:rsidR="0034188A" w:rsidRDefault="0034188A" w14:paraId="0313DCE6" w14:textId="77777777">
            <w:r>
              <w:t>Animal Experiment</w:t>
            </w:r>
          </w:p>
          <w:p w:rsidR="0034188A" w:rsidRDefault="0034188A" w14:paraId="2C0E2186" w14:textId="77777777">
            <w:r>
              <w:t>Experiment, Animal</w:t>
            </w:r>
          </w:p>
          <w:p w:rsidR="0034188A" w:rsidRDefault="0034188A" w14:paraId="3528CD7A" w14:textId="77777777">
            <w:pPr>
              <w:rPr>
                <w:sz w:val="22"/>
              </w:rPr>
            </w:pPr>
            <w:r>
              <w:t>Experiments, Animal</w:t>
            </w:r>
          </w:p>
        </w:tc>
        <w:tc>
          <w:tcPr>
            <w:tcW w:w="2143" w:type="dxa"/>
            <w:vMerge/>
            <w:tcBorders>
              <w:top w:val="single" w:color="auto" w:sz="4" w:space="0"/>
              <w:left w:val="nil"/>
              <w:bottom w:val="nil"/>
              <w:right w:val="nil"/>
            </w:tcBorders>
            <w:vAlign w:val="center"/>
            <w:hideMark/>
          </w:tcPr>
          <w:p w:rsidR="0034188A" w:rsidRDefault="0034188A" w14:paraId="795F89D9" w14:textId="77777777">
            <w:pPr>
              <w:rPr>
                <w:sz w:val="22"/>
              </w:rPr>
            </w:pPr>
          </w:p>
        </w:tc>
        <w:tc>
          <w:tcPr>
            <w:tcW w:w="3118" w:type="dxa"/>
            <w:vMerge/>
            <w:tcBorders>
              <w:top w:val="single" w:color="auto" w:sz="4" w:space="0"/>
              <w:left w:val="nil"/>
              <w:bottom w:val="nil"/>
              <w:right w:val="nil"/>
            </w:tcBorders>
            <w:vAlign w:val="center"/>
            <w:hideMark/>
          </w:tcPr>
          <w:p w:rsidR="0034188A" w:rsidRDefault="0034188A" w14:paraId="61384370" w14:textId="77777777">
            <w:pPr>
              <w:rPr>
                <w:sz w:val="22"/>
                <w:szCs w:val="22"/>
              </w:rPr>
            </w:pPr>
          </w:p>
        </w:tc>
      </w:tr>
      <w:tr w:rsidRPr="005963C4" w:rsidR="0034188A" w:rsidTr="0034188A" w14:paraId="613C6295" w14:textId="77777777">
        <w:trPr>
          <w:trHeight w:val="3579"/>
        </w:trPr>
        <w:tc>
          <w:tcPr>
            <w:tcW w:w="300" w:type="dxa"/>
            <w:vMerge/>
            <w:tcBorders>
              <w:top w:val="single" w:color="auto" w:sz="4" w:space="0"/>
              <w:left w:val="nil"/>
              <w:bottom w:val="nil"/>
              <w:right w:val="nil"/>
            </w:tcBorders>
            <w:vAlign w:val="center"/>
            <w:hideMark/>
          </w:tcPr>
          <w:p w:rsidR="0034188A" w:rsidRDefault="0034188A" w14:paraId="3B34CC6F"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73938DD2" w14:textId="77777777">
            <w:pPr>
              <w:rPr>
                <w:sz w:val="22"/>
              </w:rPr>
            </w:pPr>
          </w:p>
        </w:tc>
        <w:tc>
          <w:tcPr>
            <w:tcW w:w="300" w:type="dxa"/>
            <w:vMerge/>
            <w:tcBorders>
              <w:top w:val="single" w:color="auto" w:sz="4" w:space="0"/>
              <w:left w:val="nil"/>
              <w:bottom w:val="nil"/>
              <w:right w:val="nil"/>
            </w:tcBorders>
            <w:vAlign w:val="center"/>
            <w:hideMark/>
          </w:tcPr>
          <w:p w:rsidR="0034188A" w:rsidRDefault="0034188A" w14:paraId="7EB4A6C6" w14:textId="77777777">
            <w:pPr>
              <w:rPr>
                <w:sz w:val="22"/>
              </w:rPr>
            </w:pPr>
          </w:p>
        </w:tc>
        <w:tc>
          <w:tcPr>
            <w:tcW w:w="1843" w:type="dxa"/>
            <w:tcBorders>
              <w:top w:val="single" w:color="auto" w:sz="4" w:space="0"/>
              <w:left w:val="nil"/>
              <w:bottom w:val="single" w:color="auto" w:sz="4" w:space="0"/>
              <w:right w:val="nil"/>
            </w:tcBorders>
            <w:hideMark/>
          </w:tcPr>
          <w:p w:rsidR="0034188A" w:rsidRDefault="0034188A" w14:paraId="736EF2F0" w14:textId="77777777">
            <w:pPr>
              <w:rPr>
                <w:sz w:val="22"/>
              </w:rPr>
            </w:pPr>
            <w:r>
              <w:t>"Models, Animal"[</w:t>
            </w:r>
            <w:proofErr w:type="spellStart"/>
            <w:r>
              <w:t>MeSH</w:t>
            </w:r>
            <w:proofErr w:type="spellEnd"/>
            <w:r>
              <w:t xml:space="preserve">] </w:t>
            </w:r>
          </w:p>
        </w:tc>
        <w:tc>
          <w:tcPr>
            <w:tcW w:w="2835" w:type="dxa"/>
            <w:tcBorders>
              <w:top w:val="single" w:color="auto" w:sz="4" w:space="0"/>
              <w:left w:val="nil"/>
              <w:bottom w:val="single" w:color="auto" w:sz="4" w:space="0"/>
              <w:right w:val="nil"/>
            </w:tcBorders>
          </w:tcPr>
          <w:p w:rsidR="0034188A" w:rsidRDefault="0034188A" w14:paraId="026AC885" w14:textId="77777777">
            <w:pPr>
              <w:rPr>
                <w:lang w:val="es-ES"/>
              </w:rPr>
            </w:pPr>
            <w:r>
              <w:rPr>
                <w:lang w:val="es-ES"/>
              </w:rPr>
              <w:t xml:space="preserve">Animal </w:t>
            </w:r>
            <w:proofErr w:type="spellStart"/>
            <w:r>
              <w:rPr>
                <w:lang w:val="es-ES"/>
              </w:rPr>
              <w:t>Model</w:t>
            </w:r>
            <w:proofErr w:type="spellEnd"/>
          </w:p>
          <w:p w:rsidR="0034188A" w:rsidRDefault="0034188A" w14:paraId="559B3603" w14:textId="77777777">
            <w:pPr>
              <w:rPr>
                <w:lang w:val="es-ES"/>
              </w:rPr>
            </w:pPr>
            <w:r>
              <w:rPr>
                <w:lang w:val="es-ES"/>
              </w:rPr>
              <w:t xml:space="preserve">Animal </w:t>
            </w:r>
            <w:proofErr w:type="spellStart"/>
            <w:r>
              <w:rPr>
                <w:lang w:val="es-ES"/>
              </w:rPr>
              <w:t>Models</w:t>
            </w:r>
            <w:proofErr w:type="spellEnd"/>
          </w:p>
          <w:p w:rsidR="0034188A" w:rsidRDefault="0034188A" w14:paraId="3E73E490" w14:textId="77777777">
            <w:pPr>
              <w:rPr>
                <w:lang w:val="es-ES"/>
              </w:rPr>
            </w:pPr>
            <w:proofErr w:type="spellStart"/>
            <w:r>
              <w:rPr>
                <w:lang w:val="es-ES"/>
              </w:rPr>
              <w:t>Model</w:t>
            </w:r>
            <w:proofErr w:type="spellEnd"/>
            <w:r>
              <w:rPr>
                <w:lang w:val="es-ES"/>
              </w:rPr>
              <w:t>, Animal</w:t>
            </w:r>
          </w:p>
          <w:p w:rsidR="0034188A" w:rsidRDefault="0034188A" w14:paraId="7F144020" w14:textId="77777777">
            <w:r>
              <w:t>Laboratory Animal Models</w:t>
            </w:r>
          </w:p>
          <w:p w:rsidR="0034188A" w:rsidRDefault="0034188A" w14:paraId="46ED0755" w14:textId="77777777">
            <w:r>
              <w:t>Animal Model, Laboratory</w:t>
            </w:r>
          </w:p>
          <w:p w:rsidR="0034188A" w:rsidRDefault="0034188A" w14:paraId="0E3F1D86" w14:textId="77777777">
            <w:r>
              <w:t>Animal Models, Laboratory</w:t>
            </w:r>
          </w:p>
          <w:p w:rsidR="0034188A" w:rsidRDefault="0034188A" w14:paraId="265C68C2" w14:textId="77777777">
            <w:r>
              <w:t>Laboratory Animal Model</w:t>
            </w:r>
          </w:p>
          <w:p w:rsidR="0034188A" w:rsidRDefault="0034188A" w14:paraId="422BB477" w14:textId="77777777">
            <w:r>
              <w:t>Model, Laboratory Animal</w:t>
            </w:r>
          </w:p>
          <w:p w:rsidR="0034188A" w:rsidRDefault="0034188A" w14:paraId="21B718D7" w14:textId="77777777">
            <w:r>
              <w:t>Models, Laboratory Animal</w:t>
            </w:r>
          </w:p>
          <w:p w:rsidR="0034188A" w:rsidRDefault="0034188A" w14:paraId="0840C142" w14:textId="77777777">
            <w:r>
              <w:t>Experimental Animal Models</w:t>
            </w:r>
          </w:p>
          <w:p w:rsidR="0034188A" w:rsidRDefault="0034188A" w14:paraId="3742A997" w14:textId="77777777">
            <w:r>
              <w:t>Animal Model, Experimental</w:t>
            </w:r>
          </w:p>
          <w:p w:rsidR="0034188A" w:rsidRDefault="0034188A" w14:paraId="1370CA91" w14:textId="77777777">
            <w:r>
              <w:t>Animal Models, Experimental</w:t>
            </w:r>
          </w:p>
          <w:p w:rsidR="0034188A" w:rsidRDefault="0034188A" w14:paraId="6917E5CE" w14:textId="77777777">
            <w:r>
              <w:t>Experimental Animal Model</w:t>
            </w:r>
          </w:p>
          <w:p w:rsidR="0034188A" w:rsidRDefault="0034188A" w14:paraId="54D7F477" w14:textId="77777777">
            <w:pPr>
              <w:rPr>
                <w:lang w:val="es-ES"/>
              </w:rPr>
            </w:pPr>
            <w:proofErr w:type="spellStart"/>
            <w:r>
              <w:rPr>
                <w:lang w:val="es-ES"/>
              </w:rPr>
              <w:t>Model</w:t>
            </w:r>
            <w:proofErr w:type="spellEnd"/>
            <w:r>
              <w:rPr>
                <w:lang w:val="es-ES"/>
              </w:rPr>
              <w:t>, Experimental Animal</w:t>
            </w:r>
          </w:p>
          <w:p w:rsidR="0034188A" w:rsidRDefault="0034188A" w14:paraId="7BCA50E5" w14:textId="77777777">
            <w:pPr>
              <w:rPr>
                <w:lang w:val="es-ES"/>
              </w:rPr>
            </w:pPr>
            <w:proofErr w:type="spellStart"/>
            <w:r>
              <w:rPr>
                <w:lang w:val="es-ES"/>
              </w:rPr>
              <w:t>Models</w:t>
            </w:r>
            <w:proofErr w:type="spellEnd"/>
            <w:r>
              <w:rPr>
                <w:lang w:val="es-ES"/>
              </w:rPr>
              <w:t>, Experimental Animal</w:t>
            </w:r>
          </w:p>
          <w:p w:rsidR="0034188A" w:rsidRDefault="0034188A" w14:paraId="1B8E4EF7" w14:textId="77777777">
            <w:pPr>
              <w:rPr>
                <w:sz w:val="22"/>
                <w:lang w:val="es-ES"/>
              </w:rPr>
            </w:pPr>
          </w:p>
        </w:tc>
        <w:tc>
          <w:tcPr>
            <w:tcW w:w="2143" w:type="dxa"/>
            <w:vMerge/>
            <w:tcBorders>
              <w:top w:val="single" w:color="auto" w:sz="4" w:space="0"/>
              <w:left w:val="nil"/>
              <w:bottom w:val="nil"/>
              <w:right w:val="nil"/>
            </w:tcBorders>
            <w:vAlign w:val="center"/>
            <w:hideMark/>
          </w:tcPr>
          <w:p w:rsidRPr="00506836" w:rsidR="0034188A" w:rsidRDefault="0034188A" w14:paraId="3D781141" w14:textId="77777777">
            <w:pPr>
              <w:rPr>
                <w:sz w:val="22"/>
                <w:lang w:val="es-ES"/>
              </w:rPr>
            </w:pPr>
          </w:p>
        </w:tc>
        <w:tc>
          <w:tcPr>
            <w:tcW w:w="3118" w:type="dxa"/>
            <w:vMerge/>
            <w:tcBorders>
              <w:top w:val="single" w:color="auto" w:sz="4" w:space="0"/>
              <w:left w:val="nil"/>
              <w:bottom w:val="nil"/>
              <w:right w:val="nil"/>
            </w:tcBorders>
            <w:vAlign w:val="center"/>
            <w:hideMark/>
          </w:tcPr>
          <w:p w:rsidRPr="00506836" w:rsidR="0034188A" w:rsidRDefault="0034188A" w14:paraId="423AB4F1" w14:textId="77777777">
            <w:pPr>
              <w:rPr>
                <w:sz w:val="22"/>
                <w:szCs w:val="22"/>
                <w:lang w:val="es-ES"/>
              </w:rPr>
            </w:pPr>
          </w:p>
        </w:tc>
      </w:tr>
      <w:tr w:rsidR="0034188A" w:rsidTr="0034188A" w14:paraId="06B6CAE9" w14:textId="77777777">
        <w:trPr>
          <w:trHeight w:val="1234"/>
        </w:trPr>
        <w:tc>
          <w:tcPr>
            <w:tcW w:w="300" w:type="dxa"/>
            <w:vMerge/>
            <w:tcBorders>
              <w:top w:val="single" w:color="auto" w:sz="4" w:space="0"/>
              <w:left w:val="nil"/>
              <w:bottom w:val="nil"/>
              <w:right w:val="nil"/>
            </w:tcBorders>
            <w:vAlign w:val="center"/>
            <w:hideMark/>
          </w:tcPr>
          <w:p w:rsidRPr="00506836" w:rsidR="0034188A" w:rsidRDefault="0034188A" w14:paraId="649ED095" w14:textId="77777777">
            <w:pPr>
              <w:rPr>
                <w:sz w:val="22"/>
                <w:lang w:val="es-ES"/>
              </w:rPr>
            </w:pPr>
          </w:p>
        </w:tc>
        <w:tc>
          <w:tcPr>
            <w:tcW w:w="300" w:type="dxa"/>
            <w:vMerge/>
            <w:tcBorders>
              <w:top w:val="single" w:color="auto" w:sz="4" w:space="0"/>
              <w:left w:val="nil"/>
              <w:bottom w:val="nil"/>
              <w:right w:val="nil"/>
            </w:tcBorders>
            <w:vAlign w:val="center"/>
            <w:hideMark/>
          </w:tcPr>
          <w:p w:rsidRPr="00506836" w:rsidR="0034188A" w:rsidRDefault="0034188A" w14:paraId="3BB4D7E5" w14:textId="77777777">
            <w:pPr>
              <w:rPr>
                <w:sz w:val="22"/>
                <w:lang w:val="es-ES"/>
              </w:rPr>
            </w:pPr>
          </w:p>
        </w:tc>
        <w:tc>
          <w:tcPr>
            <w:tcW w:w="300" w:type="dxa"/>
            <w:vMerge/>
            <w:tcBorders>
              <w:top w:val="single" w:color="auto" w:sz="4" w:space="0"/>
              <w:left w:val="nil"/>
              <w:bottom w:val="nil"/>
              <w:right w:val="nil"/>
            </w:tcBorders>
            <w:vAlign w:val="center"/>
            <w:hideMark/>
          </w:tcPr>
          <w:p w:rsidRPr="00506836" w:rsidR="0034188A" w:rsidRDefault="0034188A" w14:paraId="23CB3805" w14:textId="77777777">
            <w:pPr>
              <w:rPr>
                <w:sz w:val="22"/>
                <w:lang w:val="es-ES"/>
              </w:rPr>
            </w:pPr>
          </w:p>
        </w:tc>
        <w:tc>
          <w:tcPr>
            <w:tcW w:w="1843" w:type="dxa"/>
            <w:tcBorders>
              <w:top w:val="single" w:color="auto" w:sz="4" w:space="0"/>
              <w:left w:val="nil"/>
              <w:bottom w:val="single" w:color="auto" w:sz="4" w:space="0"/>
              <w:right w:val="nil"/>
            </w:tcBorders>
            <w:hideMark/>
          </w:tcPr>
          <w:p w:rsidR="0034188A" w:rsidRDefault="0034188A" w14:paraId="4630EAC3" w14:textId="77777777">
            <w:pPr>
              <w:rPr>
                <w:sz w:val="22"/>
              </w:rPr>
            </w:pPr>
            <w:r>
              <w:t>"rats" OR "mouse" OR "mice" OR "rat”</w:t>
            </w:r>
          </w:p>
        </w:tc>
        <w:tc>
          <w:tcPr>
            <w:tcW w:w="2835" w:type="dxa"/>
            <w:tcBorders>
              <w:top w:val="single" w:color="auto" w:sz="4" w:space="0"/>
              <w:left w:val="nil"/>
              <w:bottom w:val="single" w:color="auto" w:sz="4" w:space="0"/>
              <w:right w:val="nil"/>
            </w:tcBorders>
          </w:tcPr>
          <w:p w:rsidR="0034188A" w:rsidRDefault="0034188A" w14:paraId="5DAB1799" w14:textId="77777777">
            <w:pPr>
              <w:pStyle w:val="Prrafodelista"/>
              <w:numPr>
                <w:ilvl w:val="0"/>
                <w:numId w:val="2"/>
              </w:numPr>
              <w:spacing w:after="0" w:line="240" w:lineRule="auto"/>
              <w:rPr>
                <w:rFonts w:ascii="Times New Roman" w:hAnsi="Times New Roman" w:cs="Times New Roman"/>
                <w:szCs w:val="24"/>
              </w:rPr>
            </w:pPr>
          </w:p>
        </w:tc>
        <w:tc>
          <w:tcPr>
            <w:tcW w:w="2143" w:type="dxa"/>
            <w:vMerge/>
            <w:tcBorders>
              <w:top w:val="single" w:color="auto" w:sz="4" w:space="0"/>
              <w:left w:val="nil"/>
              <w:bottom w:val="nil"/>
              <w:right w:val="nil"/>
            </w:tcBorders>
            <w:vAlign w:val="center"/>
            <w:hideMark/>
          </w:tcPr>
          <w:p w:rsidR="0034188A" w:rsidRDefault="0034188A" w14:paraId="07B543D8" w14:textId="77777777">
            <w:pPr>
              <w:rPr>
                <w:sz w:val="22"/>
              </w:rPr>
            </w:pPr>
          </w:p>
        </w:tc>
        <w:tc>
          <w:tcPr>
            <w:tcW w:w="3118" w:type="dxa"/>
            <w:vMerge/>
            <w:tcBorders>
              <w:top w:val="single" w:color="auto" w:sz="4" w:space="0"/>
              <w:left w:val="nil"/>
              <w:bottom w:val="nil"/>
              <w:right w:val="nil"/>
            </w:tcBorders>
            <w:vAlign w:val="center"/>
            <w:hideMark/>
          </w:tcPr>
          <w:p w:rsidR="0034188A" w:rsidRDefault="0034188A" w14:paraId="4FF8613A" w14:textId="77777777">
            <w:pPr>
              <w:rPr>
                <w:sz w:val="22"/>
                <w:szCs w:val="22"/>
              </w:rPr>
            </w:pPr>
          </w:p>
        </w:tc>
      </w:tr>
      <w:tr w:rsidR="0034188A" w:rsidTr="0034188A" w14:paraId="78BDE9AD" w14:textId="77777777">
        <w:trPr>
          <w:trHeight w:val="1076"/>
        </w:trPr>
        <w:tc>
          <w:tcPr>
            <w:tcW w:w="1844" w:type="dxa"/>
            <w:tcBorders>
              <w:top w:val="single" w:color="auto" w:sz="4" w:space="0"/>
              <w:left w:val="nil"/>
              <w:bottom w:val="single" w:color="auto" w:sz="4" w:space="0"/>
              <w:right w:val="nil"/>
            </w:tcBorders>
            <w:hideMark/>
          </w:tcPr>
          <w:p w:rsidR="0034188A" w:rsidRDefault="0034188A" w14:paraId="2D930225" w14:textId="77777777">
            <w:pPr>
              <w:rPr>
                <w:sz w:val="22"/>
              </w:rPr>
            </w:pPr>
            <w:r>
              <w:rPr>
                <w:b/>
              </w:rPr>
              <w:lastRenderedPageBreak/>
              <w:t>Total items found</w:t>
            </w:r>
          </w:p>
        </w:tc>
        <w:tc>
          <w:tcPr>
            <w:tcW w:w="10206" w:type="dxa"/>
            <w:gridSpan w:val="5"/>
            <w:tcBorders>
              <w:top w:val="single" w:color="auto" w:sz="4" w:space="0"/>
              <w:left w:val="nil"/>
              <w:bottom w:val="single" w:color="auto" w:sz="4" w:space="0"/>
              <w:right w:val="nil"/>
            </w:tcBorders>
            <w:hideMark/>
          </w:tcPr>
          <w:p w:rsidR="0034188A" w:rsidRDefault="0034188A" w14:paraId="7BC61370" w14:textId="77777777">
            <w:pPr>
              <w:rPr>
                <w:sz w:val="22"/>
              </w:rPr>
            </w:pPr>
            <w:r>
              <w:t>The final search term was: ((((((((((((((((((“Gastrointestinal Microbiome”) OR ((("Fecal  Microbiota") OR "</w:t>
            </w:r>
            <w:proofErr w:type="spellStart"/>
            <w:r>
              <w:t>Cecal</w:t>
            </w:r>
            <w:proofErr w:type="spellEnd"/>
            <w:r>
              <w:t xml:space="preserve">  Microbiota") OR "</w:t>
            </w:r>
            <w:proofErr w:type="spellStart"/>
            <w:r>
              <w:t>Faecal</w:t>
            </w:r>
            <w:proofErr w:type="spellEnd"/>
            <w:r>
              <w:t xml:space="preserve">  Microbiota")))))) AND (((Exercises) OR Training))))) AND Human) NOT ((((((((((((((((((("Mice"[</w:t>
            </w:r>
            <w:proofErr w:type="spellStart"/>
            <w:r>
              <w:t>MeSH</w:t>
            </w:r>
            <w:proofErr w:type="spellEnd"/>
            <w:r>
              <w:t>]) OR "Rats"[</w:t>
            </w:r>
            <w:proofErr w:type="spellStart"/>
            <w:r>
              <w:t>MeSH</w:t>
            </w:r>
            <w:proofErr w:type="spellEnd"/>
            <w:r>
              <w:t>]) OR "Animal Experimentation"[</w:t>
            </w:r>
            <w:proofErr w:type="spellStart"/>
            <w:r>
              <w:t>MeSH</w:t>
            </w:r>
            <w:proofErr w:type="spellEnd"/>
            <w:r>
              <w:t>]) OR "Models, Animal"[</w:t>
            </w:r>
            <w:proofErr w:type="spellStart"/>
            <w:r>
              <w:t>MeSH</w:t>
            </w:r>
            <w:proofErr w:type="spellEnd"/>
            <w:r>
              <w:t>])) OR ("rats" OR "mouse"))) OR "mice")) OR "rat")))))))))))))))) NOT Review</w:t>
            </w:r>
          </w:p>
        </w:tc>
        <w:tc>
          <w:tcPr>
            <w:tcW w:w="3118" w:type="dxa"/>
            <w:tcBorders>
              <w:top w:val="single" w:color="auto" w:sz="4" w:space="0"/>
              <w:left w:val="nil"/>
              <w:bottom w:val="single" w:color="auto" w:sz="4" w:space="0"/>
              <w:right w:val="nil"/>
            </w:tcBorders>
            <w:hideMark/>
          </w:tcPr>
          <w:p w:rsidR="0034188A" w:rsidRDefault="0034188A" w14:paraId="78E4B342" w14:textId="77777777">
            <w:pPr>
              <w:jc w:val="center"/>
              <w:rPr>
                <w:sz w:val="22"/>
              </w:rPr>
            </w:pPr>
            <w:r>
              <w:t>232</w:t>
            </w:r>
          </w:p>
        </w:tc>
      </w:tr>
    </w:tbl>
    <w:p w:rsidR="0034188A" w:rsidP="0034188A" w:rsidRDefault="0034188A" w14:paraId="28BA980C" w14:textId="77777777">
      <w:pPr>
        <w:rPr>
          <w:rFonts w:cstheme="minorBidi"/>
          <w:b/>
        </w:rPr>
      </w:pPr>
      <w:r>
        <w:t>The search recruited articles published until July 5</w:t>
      </w:r>
      <w:r>
        <w:rPr>
          <w:vertAlign w:val="superscript"/>
        </w:rPr>
        <w:t>th</w:t>
      </w:r>
      <w:r>
        <w:t xml:space="preserve"> 2019; no lower date limit was set. </w:t>
      </w:r>
      <w:proofErr w:type="spellStart"/>
      <w:r>
        <w:t>MeSH</w:t>
      </w:r>
      <w:proofErr w:type="spellEnd"/>
      <w:r>
        <w:t xml:space="preserve"> (Medical Subject Headings) is the National Library of Medicine controlled vocabulary thesaurus used for indexing articles for PubMed. </w:t>
      </w:r>
    </w:p>
    <w:p w:rsidR="0034188A" w:rsidP="0034188A" w:rsidRDefault="0034188A" w14:paraId="1967C420" w14:textId="77777777">
      <w:pPr>
        <w:rPr>
          <w:b/>
        </w:rPr>
        <w:sectPr w:rsidR="0034188A">
          <w:headerReference w:type="default" r:id="rId8"/>
          <w:pgSz w:w="16838" w:h="11906" w:orient="landscape"/>
          <w:pgMar w:top="1701" w:right="1418" w:bottom="1701" w:left="1418" w:header="709" w:footer="709" w:gutter="0"/>
          <w:cols w:space="720"/>
        </w:sectPr>
      </w:pPr>
    </w:p>
    <w:p w:rsidR="0034188A" w:rsidP="0034188A" w:rsidRDefault="0034188A" w14:paraId="3CDBC935" w14:textId="77777777"/>
    <w:tbl>
      <w:tblPr>
        <w:tblW w:w="14850" w:type="dxa"/>
        <w:tblLayout w:type="fixed"/>
        <w:tblLook w:val="00A0" w:firstRow="1" w:lastRow="0" w:firstColumn="1" w:lastColumn="0" w:noHBand="0" w:noVBand="0"/>
      </w:tblPr>
      <w:tblGrid>
        <w:gridCol w:w="3227"/>
        <w:gridCol w:w="2693"/>
        <w:gridCol w:w="2268"/>
        <w:gridCol w:w="3544"/>
        <w:gridCol w:w="3118"/>
      </w:tblGrid>
      <w:tr w:rsidR="0034188A" w:rsidTr="0034188A" w14:paraId="0718640A" w14:textId="77777777">
        <w:trPr>
          <w:trHeight w:val="20"/>
        </w:trPr>
        <w:tc>
          <w:tcPr>
            <w:tcW w:w="14850" w:type="dxa"/>
            <w:gridSpan w:val="5"/>
            <w:tcBorders>
              <w:top w:val="nil"/>
              <w:left w:val="nil"/>
              <w:bottom w:val="single" w:color="auto" w:sz="4" w:space="0"/>
              <w:right w:val="nil"/>
            </w:tcBorders>
            <w:shd w:val="clear" w:color="auto" w:fill="FFFFFF"/>
            <w:hideMark/>
          </w:tcPr>
          <w:p w:rsidR="0034188A" w:rsidRDefault="0034188A" w14:paraId="56C2B7F7" w14:textId="77777777">
            <w:pPr>
              <w:spacing w:before="120" w:after="120" w:line="480" w:lineRule="auto"/>
              <w:rPr>
                <w:b/>
                <w:sz w:val="22"/>
                <w:szCs w:val="22"/>
              </w:rPr>
            </w:pPr>
            <w:r>
              <w:rPr>
                <w:b/>
              </w:rPr>
              <w:t>Table S4</w:t>
            </w:r>
            <w:r>
              <w:t xml:space="preserve">. Search strategy used and number of articles found in </w:t>
            </w:r>
            <w:r>
              <w:rPr>
                <w:b/>
              </w:rPr>
              <w:t>Web of Science</w:t>
            </w:r>
            <w:r>
              <w:t>.</w:t>
            </w:r>
          </w:p>
        </w:tc>
      </w:tr>
      <w:tr w:rsidR="0034188A" w:rsidTr="0034188A" w14:paraId="775CFF4F" w14:textId="77777777">
        <w:trPr>
          <w:trHeight w:val="20"/>
        </w:trPr>
        <w:tc>
          <w:tcPr>
            <w:tcW w:w="3227" w:type="dxa"/>
            <w:tcBorders>
              <w:top w:val="single" w:color="auto" w:sz="4" w:space="0"/>
              <w:left w:val="nil"/>
              <w:bottom w:val="single" w:color="auto" w:sz="4" w:space="0"/>
              <w:right w:val="nil"/>
            </w:tcBorders>
            <w:shd w:val="clear" w:color="auto" w:fill="FFFFFF"/>
            <w:vAlign w:val="center"/>
            <w:hideMark/>
          </w:tcPr>
          <w:p w:rsidR="0034188A" w:rsidRDefault="0034188A" w14:paraId="4DC276EC" w14:textId="77777777">
            <w:pPr>
              <w:contextualSpacing/>
              <w:rPr>
                <w:b/>
                <w:sz w:val="22"/>
                <w:szCs w:val="22"/>
              </w:rPr>
            </w:pPr>
            <w:r>
              <w:rPr>
                <w:b/>
              </w:rPr>
              <w:t>Search criterion 1</w:t>
            </w:r>
          </w:p>
        </w:tc>
        <w:tc>
          <w:tcPr>
            <w:tcW w:w="2693" w:type="dxa"/>
            <w:tcBorders>
              <w:top w:val="single" w:color="auto" w:sz="4" w:space="0"/>
              <w:left w:val="nil"/>
              <w:bottom w:val="single" w:color="auto" w:sz="4" w:space="0"/>
              <w:right w:val="nil"/>
            </w:tcBorders>
            <w:shd w:val="clear" w:color="auto" w:fill="FFFFFF"/>
            <w:vAlign w:val="center"/>
            <w:hideMark/>
          </w:tcPr>
          <w:p w:rsidR="0034188A" w:rsidRDefault="0034188A" w14:paraId="38592AC7" w14:textId="77777777">
            <w:pPr>
              <w:contextualSpacing/>
              <w:rPr>
                <w:b/>
                <w:sz w:val="22"/>
                <w:szCs w:val="22"/>
              </w:rPr>
            </w:pPr>
            <w:r>
              <w:rPr>
                <w:b/>
              </w:rPr>
              <w:t>Search criterion 2</w:t>
            </w:r>
          </w:p>
        </w:tc>
        <w:tc>
          <w:tcPr>
            <w:tcW w:w="2268" w:type="dxa"/>
            <w:tcBorders>
              <w:top w:val="single" w:color="auto" w:sz="4" w:space="0"/>
              <w:left w:val="nil"/>
              <w:bottom w:val="single" w:color="auto" w:sz="4" w:space="0"/>
              <w:right w:val="nil"/>
            </w:tcBorders>
            <w:shd w:val="clear" w:color="auto" w:fill="FFFFFF"/>
            <w:vAlign w:val="center"/>
            <w:hideMark/>
          </w:tcPr>
          <w:p w:rsidR="0034188A" w:rsidRDefault="0034188A" w14:paraId="4FCAF579" w14:textId="77777777">
            <w:pPr>
              <w:jc w:val="center"/>
              <w:rPr>
                <w:b/>
                <w:sz w:val="22"/>
                <w:szCs w:val="22"/>
              </w:rPr>
            </w:pPr>
            <w:r>
              <w:rPr>
                <w:b/>
              </w:rPr>
              <w:t>Search criterion 3</w:t>
            </w:r>
          </w:p>
        </w:tc>
        <w:tc>
          <w:tcPr>
            <w:tcW w:w="3544" w:type="dxa"/>
            <w:tcBorders>
              <w:top w:val="single" w:color="auto" w:sz="4" w:space="0"/>
              <w:left w:val="nil"/>
              <w:bottom w:val="single" w:color="auto" w:sz="4" w:space="0"/>
              <w:right w:val="nil"/>
            </w:tcBorders>
            <w:shd w:val="clear" w:color="auto" w:fill="FFFFFF"/>
            <w:vAlign w:val="center"/>
            <w:hideMark/>
          </w:tcPr>
          <w:p w:rsidR="0034188A" w:rsidRDefault="0034188A" w14:paraId="3838135A" w14:textId="77777777">
            <w:pPr>
              <w:rPr>
                <w:b/>
                <w:sz w:val="22"/>
                <w:szCs w:val="22"/>
              </w:rPr>
            </w:pPr>
            <w:r>
              <w:rPr>
                <w:b/>
              </w:rPr>
              <w:t>Search criterion 4</w:t>
            </w:r>
          </w:p>
        </w:tc>
        <w:tc>
          <w:tcPr>
            <w:tcW w:w="3118" w:type="dxa"/>
            <w:tcBorders>
              <w:top w:val="single" w:color="auto" w:sz="4" w:space="0"/>
              <w:left w:val="nil"/>
              <w:bottom w:val="single" w:color="auto" w:sz="4" w:space="0"/>
              <w:right w:val="nil"/>
            </w:tcBorders>
            <w:shd w:val="clear" w:color="auto" w:fill="FFFFFF"/>
            <w:hideMark/>
          </w:tcPr>
          <w:p w:rsidR="0034188A" w:rsidRDefault="0034188A" w14:paraId="5A4B28DA" w14:textId="77777777">
            <w:pPr>
              <w:jc w:val="center"/>
              <w:rPr>
                <w:rFonts w:cstheme="minorBidi"/>
                <w:b/>
              </w:rPr>
            </w:pPr>
            <w:r>
              <w:rPr>
                <w:b/>
              </w:rPr>
              <w:t>Items found</w:t>
            </w:r>
          </w:p>
          <w:p w:rsidR="0034188A" w:rsidRDefault="0034188A" w14:paraId="106B2623" w14:textId="77777777">
            <w:pPr>
              <w:jc w:val="center"/>
              <w:rPr>
                <w:b/>
              </w:rPr>
            </w:pPr>
            <w:r>
              <w:rPr>
                <w:b/>
              </w:rPr>
              <w:t xml:space="preserve">(Combining criteria </w:t>
            </w:r>
          </w:p>
          <w:p w:rsidR="0034188A" w:rsidRDefault="0034188A" w14:paraId="79A2D89D" w14:textId="77777777">
            <w:pPr>
              <w:jc w:val="center"/>
              <w:rPr>
                <w:b/>
                <w:sz w:val="22"/>
                <w:szCs w:val="22"/>
              </w:rPr>
            </w:pPr>
            <w:r>
              <w:rPr>
                <w:b/>
              </w:rPr>
              <w:t>1 “AND” 2 “AND” 3 “NOT” 4)</w:t>
            </w:r>
          </w:p>
        </w:tc>
      </w:tr>
      <w:tr w:rsidR="0034188A" w:rsidTr="0034188A" w14:paraId="1BB01CBB" w14:textId="77777777">
        <w:trPr>
          <w:trHeight w:val="1656"/>
        </w:trPr>
        <w:tc>
          <w:tcPr>
            <w:tcW w:w="3227" w:type="dxa"/>
            <w:tcBorders>
              <w:top w:val="single" w:color="auto" w:sz="4" w:space="0"/>
              <w:left w:val="nil"/>
              <w:bottom w:val="single" w:color="auto" w:sz="4" w:space="0"/>
              <w:right w:val="nil"/>
            </w:tcBorders>
            <w:hideMark/>
          </w:tcPr>
          <w:p w:rsidR="0034188A" w:rsidRDefault="0034188A" w14:paraId="45BB78B4" w14:textId="77777777">
            <w:pPr>
              <w:contextualSpacing/>
              <w:rPr>
                <w:sz w:val="22"/>
                <w:szCs w:val="22"/>
              </w:rPr>
            </w:pPr>
            <w:r>
              <w:t xml:space="preserve">((Gut OR Intestinal OR Gastrointestinal OR Fecal OR </w:t>
            </w:r>
            <w:proofErr w:type="spellStart"/>
            <w:r>
              <w:t>Cecal</w:t>
            </w:r>
            <w:proofErr w:type="spellEnd"/>
            <w:r>
              <w:t xml:space="preserve"> OR Fecal) AND (Flora OR Microflora OR Microbiotas OR Microbiome OR Microbiomes))</w:t>
            </w:r>
          </w:p>
        </w:tc>
        <w:tc>
          <w:tcPr>
            <w:tcW w:w="2693" w:type="dxa"/>
            <w:tcBorders>
              <w:top w:val="single" w:color="auto" w:sz="4" w:space="0"/>
              <w:left w:val="nil"/>
              <w:bottom w:val="nil"/>
              <w:right w:val="nil"/>
            </w:tcBorders>
            <w:hideMark/>
          </w:tcPr>
          <w:p w:rsidR="0034188A" w:rsidRDefault="0034188A" w14:paraId="441266BC" w14:textId="77777777">
            <w:pPr>
              <w:contextualSpacing/>
              <w:rPr>
                <w:sz w:val="22"/>
                <w:szCs w:val="22"/>
              </w:rPr>
            </w:pPr>
            <w:r>
              <w:t>Exercises OR Training</w:t>
            </w:r>
          </w:p>
        </w:tc>
        <w:tc>
          <w:tcPr>
            <w:tcW w:w="2268" w:type="dxa"/>
            <w:tcBorders>
              <w:top w:val="single" w:color="auto" w:sz="4" w:space="0"/>
              <w:left w:val="nil"/>
              <w:bottom w:val="nil"/>
              <w:right w:val="nil"/>
            </w:tcBorders>
            <w:hideMark/>
          </w:tcPr>
          <w:p w:rsidR="0034188A" w:rsidRDefault="0034188A" w14:paraId="10FC0FDE" w14:textId="77777777">
            <w:pPr>
              <w:shd w:val="clear" w:color="auto" w:fill="FFFFFF"/>
              <w:contextualSpacing/>
              <w:jc w:val="center"/>
              <w:rPr>
                <w:color w:val="000000"/>
                <w:sz w:val="22"/>
                <w:szCs w:val="22"/>
                <w:lang w:eastAsia="es-ES"/>
              </w:rPr>
            </w:pPr>
            <w:r>
              <w:rPr>
                <w:color w:val="000000"/>
                <w:lang w:eastAsia="es-ES"/>
              </w:rPr>
              <w:t>Human</w:t>
            </w:r>
          </w:p>
        </w:tc>
        <w:tc>
          <w:tcPr>
            <w:tcW w:w="3544" w:type="dxa"/>
            <w:tcBorders>
              <w:top w:val="single" w:color="auto" w:sz="4" w:space="0"/>
              <w:left w:val="nil"/>
              <w:bottom w:val="nil"/>
              <w:right w:val="nil"/>
            </w:tcBorders>
            <w:hideMark/>
          </w:tcPr>
          <w:p w:rsidR="0034188A" w:rsidRDefault="0034188A" w14:paraId="30F97BC2" w14:textId="77777777">
            <w:pPr>
              <w:rPr>
                <w:sz w:val="22"/>
                <w:szCs w:val="22"/>
              </w:rPr>
            </w:pPr>
            <w:r>
              <w:t>(Mice OR Rat* OR (Experiment* AND Animal*) OR (Research* AND Animal*) OR mouse OR (model* AND animal*)</w:t>
            </w:r>
          </w:p>
        </w:tc>
        <w:tc>
          <w:tcPr>
            <w:tcW w:w="3118" w:type="dxa"/>
            <w:tcBorders>
              <w:top w:val="single" w:color="auto" w:sz="4" w:space="0"/>
              <w:left w:val="nil"/>
              <w:bottom w:val="nil"/>
              <w:right w:val="nil"/>
            </w:tcBorders>
            <w:hideMark/>
          </w:tcPr>
          <w:p w:rsidR="0034188A" w:rsidRDefault="0034188A" w14:paraId="6E0D9F96" w14:textId="77777777">
            <w:pPr>
              <w:jc w:val="center"/>
              <w:rPr>
                <w:sz w:val="22"/>
                <w:szCs w:val="22"/>
                <w:highlight w:val="yellow"/>
              </w:rPr>
            </w:pPr>
            <w:r>
              <w:t>151</w:t>
            </w:r>
          </w:p>
        </w:tc>
      </w:tr>
      <w:tr w:rsidR="0034188A" w:rsidTr="0034188A" w14:paraId="022370DE" w14:textId="77777777">
        <w:trPr>
          <w:trHeight w:val="20"/>
        </w:trPr>
        <w:tc>
          <w:tcPr>
            <w:tcW w:w="3227" w:type="dxa"/>
            <w:tcBorders>
              <w:top w:val="single" w:color="auto" w:sz="4" w:space="0"/>
              <w:left w:val="nil"/>
              <w:bottom w:val="single" w:color="auto" w:sz="4" w:space="0"/>
              <w:right w:val="nil"/>
            </w:tcBorders>
            <w:hideMark/>
          </w:tcPr>
          <w:p w:rsidR="0034188A" w:rsidRDefault="0034188A" w14:paraId="4E4AE050" w14:textId="77777777">
            <w:pPr>
              <w:rPr>
                <w:sz w:val="22"/>
                <w:szCs w:val="22"/>
              </w:rPr>
            </w:pPr>
            <w:r>
              <w:rPr>
                <w:b/>
              </w:rPr>
              <w:t>Total items found</w:t>
            </w:r>
          </w:p>
        </w:tc>
        <w:tc>
          <w:tcPr>
            <w:tcW w:w="8505" w:type="dxa"/>
            <w:gridSpan w:val="3"/>
            <w:tcBorders>
              <w:top w:val="single" w:color="auto" w:sz="4" w:space="0"/>
              <w:left w:val="nil"/>
              <w:bottom w:val="single" w:color="auto" w:sz="4" w:space="0"/>
              <w:right w:val="nil"/>
            </w:tcBorders>
            <w:hideMark/>
          </w:tcPr>
          <w:p w:rsidR="0034188A" w:rsidRDefault="0034188A" w14:paraId="298C479D" w14:textId="77777777">
            <w:pPr>
              <w:spacing w:after="200" w:line="276" w:lineRule="auto"/>
              <w:rPr>
                <w:sz w:val="22"/>
                <w:szCs w:val="22"/>
              </w:rPr>
            </w:pPr>
            <w:r>
              <w:t xml:space="preserve">All searches were combined using the operator “OR” so that duplicated articles were excluded from the final number of articles found. The final search term was: ((((((((((((((((((Gut) OR Intestinal) OR Gastrointestinal) OR Fecal) OR </w:t>
            </w:r>
            <w:proofErr w:type="spellStart"/>
            <w:r>
              <w:t>Cecal</w:t>
            </w:r>
            <w:proofErr w:type="spellEnd"/>
            <w:r>
              <w:t>) OR Fecal)) AND (((((Flora) OR Microflora) OR Microbiotas) OR Microbiome) OR Microbiomes)))) AND (((Exercises) OR Training)) AND Human))) NOT (Mice OR Rat* OR (Experiment* AND Animal*) OR (Research* AND Animal*) OR mouse OR (model* AND animal*))))))). Moreover, we refined excluding document types: (REVIEW)</w:t>
            </w:r>
          </w:p>
        </w:tc>
        <w:tc>
          <w:tcPr>
            <w:tcW w:w="3118" w:type="dxa"/>
            <w:tcBorders>
              <w:top w:val="single" w:color="auto" w:sz="4" w:space="0"/>
              <w:left w:val="nil"/>
              <w:bottom w:val="single" w:color="auto" w:sz="4" w:space="0"/>
              <w:right w:val="nil"/>
            </w:tcBorders>
            <w:hideMark/>
          </w:tcPr>
          <w:p w:rsidR="0034188A" w:rsidRDefault="0034188A" w14:paraId="05A410C1" w14:textId="77777777">
            <w:pPr>
              <w:jc w:val="center"/>
              <w:rPr>
                <w:sz w:val="22"/>
                <w:szCs w:val="22"/>
              </w:rPr>
            </w:pPr>
            <w:r>
              <w:t>151</w:t>
            </w:r>
          </w:p>
        </w:tc>
      </w:tr>
    </w:tbl>
    <w:p w:rsidR="0034188A" w:rsidP="0034188A" w:rsidRDefault="0034188A" w14:paraId="24ADA355" w14:textId="77777777">
      <w:r>
        <w:t>The search recruited articles published until July 5</w:t>
      </w:r>
      <w:r>
        <w:rPr>
          <w:vertAlign w:val="superscript"/>
        </w:rPr>
        <w:t>th</w:t>
      </w:r>
      <w:r>
        <w:t xml:space="preserve"> 2019; no lower date limit was set.</w:t>
      </w:r>
    </w:p>
    <w:p w:rsidR="0034188A" w:rsidP="0034188A" w:rsidRDefault="0034188A" w14:paraId="345FAD94" w14:textId="77777777"/>
    <w:p w:rsidR="0034188A" w:rsidP="0034188A" w:rsidRDefault="0034188A" w14:paraId="5592CC00" w14:textId="77777777"/>
    <w:p w:rsidR="00681493" w:rsidP="0034188A" w:rsidRDefault="00681493" w14:paraId="7BA8EF8B" w14:textId="77777777"/>
    <w:p w:rsidR="00681493" w:rsidP="0034188A" w:rsidRDefault="00681493" w14:paraId="1AFA95A5" w14:textId="77777777"/>
    <w:p w:rsidR="00681493" w:rsidP="0034188A" w:rsidRDefault="00681493" w14:paraId="1A4B8F05" w14:textId="77777777"/>
    <w:tbl>
      <w:tblPr>
        <w:tblStyle w:val="Tablaconcuadrcula"/>
        <w:tblW w:w="15981" w:type="dxa"/>
        <w:jc w:val="center"/>
        <w:tblLayout w:type="fixed"/>
        <w:tblLook w:val="04A0" w:firstRow="1" w:lastRow="0" w:firstColumn="1" w:lastColumn="0" w:noHBand="0" w:noVBand="1"/>
      </w:tblPr>
      <w:tblGrid>
        <w:gridCol w:w="1347"/>
        <w:gridCol w:w="2157"/>
        <w:gridCol w:w="3233"/>
        <w:gridCol w:w="1482"/>
        <w:gridCol w:w="1062"/>
        <w:gridCol w:w="1448"/>
        <w:gridCol w:w="5252"/>
      </w:tblGrid>
      <w:tr w:rsidRPr="00455A75" w:rsidR="00681493" w:rsidTr="00681493" w14:paraId="0E54AD04" w14:textId="77777777">
        <w:trPr>
          <w:jc w:val="center"/>
        </w:trPr>
        <w:tc>
          <w:tcPr>
            <w:tcW w:w="15981" w:type="dxa"/>
            <w:gridSpan w:val="7"/>
            <w:tcBorders>
              <w:top w:val="nil"/>
              <w:left w:val="nil"/>
              <w:bottom w:val="single" w:color="auto" w:sz="4" w:space="0"/>
              <w:right w:val="nil"/>
            </w:tcBorders>
          </w:tcPr>
          <w:p w:rsidRPr="00455A75" w:rsidR="00681493" w:rsidP="00681493" w:rsidRDefault="00681493" w14:paraId="5FBA6F82" w14:textId="77777777">
            <w:pPr>
              <w:spacing w:before="144" w:beforeLines="60" w:after="144" w:afterLines="60"/>
              <w:jc w:val="both"/>
              <w:rPr>
                <w:b/>
              </w:rPr>
            </w:pPr>
            <w:r w:rsidRPr="00455A75">
              <w:rPr>
                <w:b/>
              </w:rPr>
              <w:lastRenderedPageBreak/>
              <w:t xml:space="preserve">Table </w:t>
            </w:r>
            <w:r>
              <w:rPr>
                <w:b/>
              </w:rPr>
              <w:t>S5</w:t>
            </w:r>
            <w:r w:rsidRPr="00455A75">
              <w:rPr>
                <w:b/>
              </w:rPr>
              <w:t xml:space="preserve">. </w:t>
            </w:r>
            <w:r w:rsidRPr="00455A75">
              <w:t>Observational</w:t>
            </w:r>
            <w:r w:rsidRPr="00455A75">
              <w:rPr>
                <w:b/>
              </w:rPr>
              <w:t xml:space="preserve"> </w:t>
            </w:r>
            <w:r w:rsidRPr="00455A75">
              <w:t xml:space="preserve">studies that reported a relationship between exercise or physical activity and the gut microbiota of healthy adults. </w:t>
            </w:r>
          </w:p>
        </w:tc>
      </w:tr>
      <w:tr w:rsidRPr="00455A75" w:rsidR="00681493" w:rsidTr="00681493" w14:paraId="273F5E0D"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617E1D4F" w14:textId="77777777">
            <w:pPr>
              <w:spacing w:before="144" w:beforeLines="60" w:after="144" w:afterLines="60"/>
              <w:contextualSpacing/>
              <w:rPr>
                <w:rFonts w:eastAsia="Calibri"/>
                <w:b/>
                <w:lang w:eastAsia="en-GB"/>
              </w:rPr>
            </w:pPr>
            <w:r w:rsidRPr="00455A75">
              <w:rPr>
                <w:rFonts w:eastAsia="Calibri"/>
                <w:b/>
                <w:lang w:eastAsia="en-GB"/>
              </w:rPr>
              <w:t>Study/Year</w:t>
            </w:r>
          </w:p>
        </w:tc>
        <w:tc>
          <w:tcPr>
            <w:tcW w:w="2157" w:type="dxa"/>
            <w:tcBorders>
              <w:top w:val="single" w:color="auto" w:sz="4" w:space="0"/>
              <w:left w:val="nil"/>
              <w:bottom w:val="single" w:color="auto" w:sz="4" w:space="0"/>
              <w:right w:val="nil"/>
            </w:tcBorders>
          </w:tcPr>
          <w:p w:rsidRPr="00455A75" w:rsidR="00681493" w:rsidP="00681493" w:rsidRDefault="00681493" w14:paraId="3E375C01" w14:textId="77777777">
            <w:pPr>
              <w:spacing w:before="144" w:beforeLines="60" w:after="144" w:afterLines="60"/>
              <w:contextualSpacing/>
              <w:rPr>
                <w:rFonts w:eastAsia="Calibri"/>
                <w:b/>
                <w:lang w:eastAsia="en-GB"/>
              </w:rPr>
            </w:pPr>
            <w:r w:rsidRPr="00455A75">
              <w:rPr>
                <w:rFonts w:eastAsia="Calibri"/>
                <w:b/>
                <w:lang w:eastAsia="en-GB"/>
              </w:rPr>
              <w:t>Subjects</w:t>
            </w:r>
          </w:p>
        </w:tc>
        <w:tc>
          <w:tcPr>
            <w:tcW w:w="3233" w:type="dxa"/>
            <w:tcBorders>
              <w:top w:val="single" w:color="auto" w:sz="4" w:space="0"/>
              <w:left w:val="nil"/>
              <w:bottom w:val="single" w:color="auto" w:sz="4" w:space="0"/>
              <w:right w:val="nil"/>
            </w:tcBorders>
          </w:tcPr>
          <w:p w:rsidRPr="00455A75" w:rsidR="00681493" w:rsidP="00681493" w:rsidRDefault="00681493" w14:paraId="6CD17950" w14:textId="77777777">
            <w:pPr>
              <w:spacing w:before="144" w:beforeLines="60" w:after="144" w:afterLines="60"/>
              <w:contextualSpacing/>
              <w:rPr>
                <w:rFonts w:eastAsia="Calibri"/>
                <w:b/>
                <w:lang w:eastAsia="en-GB"/>
              </w:rPr>
            </w:pPr>
            <w:r w:rsidRPr="00455A75">
              <w:rPr>
                <w:rFonts w:eastAsia="Calibri"/>
                <w:b/>
                <w:lang w:eastAsia="en-GB"/>
              </w:rPr>
              <w:t>Exercise Outcomes</w:t>
            </w:r>
          </w:p>
        </w:tc>
        <w:tc>
          <w:tcPr>
            <w:tcW w:w="1482" w:type="dxa"/>
            <w:tcBorders>
              <w:top w:val="single" w:color="auto" w:sz="4" w:space="0"/>
              <w:left w:val="nil"/>
              <w:bottom w:val="single" w:color="auto" w:sz="4" w:space="0"/>
              <w:right w:val="nil"/>
            </w:tcBorders>
          </w:tcPr>
          <w:p w:rsidRPr="00455A75" w:rsidR="00681493" w:rsidP="00681493" w:rsidRDefault="00681493" w14:paraId="3B27E1EE" w14:textId="77777777">
            <w:pPr>
              <w:spacing w:before="144" w:beforeLines="60" w:after="144" w:afterLines="60"/>
              <w:contextualSpacing/>
              <w:rPr>
                <w:rFonts w:eastAsia="Calibri"/>
                <w:b/>
                <w:lang w:eastAsia="en-GB"/>
              </w:rPr>
            </w:pPr>
            <w:r w:rsidRPr="00BD1AED">
              <w:rPr>
                <w:rFonts w:eastAsia="Calibri"/>
                <w:b/>
                <w:lang w:eastAsia="en-GB"/>
              </w:rPr>
              <w:t>Control of diet</w:t>
            </w:r>
          </w:p>
        </w:tc>
        <w:tc>
          <w:tcPr>
            <w:tcW w:w="1062" w:type="dxa"/>
            <w:tcBorders>
              <w:top w:val="single" w:color="auto" w:sz="4" w:space="0"/>
              <w:left w:val="nil"/>
              <w:bottom w:val="single" w:color="auto" w:sz="4" w:space="0"/>
              <w:right w:val="nil"/>
            </w:tcBorders>
          </w:tcPr>
          <w:p w:rsidRPr="00455A75" w:rsidR="00681493" w:rsidP="00681493" w:rsidRDefault="00681493" w14:paraId="041348A6" w14:textId="77777777">
            <w:pPr>
              <w:spacing w:before="144" w:beforeLines="60" w:after="144" w:afterLines="60"/>
              <w:contextualSpacing/>
              <w:rPr>
                <w:rFonts w:eastAsia="Calibri"/>
                <w:b/>
                <w:lang w:eastAsia="en-GB"/>
              </w:rPr>
            </w:pPr>
            <w:r w:rsidRPr="00455A75">
              <w:rPr>
                <w:rFonts w:eastAsia="Calibri"/>
                <w:b/>
                <w:lang w:eastAsia="en-GB"/>
              </w:rPr>
              <w:t>Fecal sample collection</w:t>
            </w:r>
          </w:p>
        </w:tc>
        <w:tc>
          <w:tcPr>
            <w:tcW w:w="1448" w:type="dxa"/>
            <w:tcBorders>
              <w:top w:val="single" w:color="auto" w:sz="4" w:space="0"/>
              <w:left w:val="nil"/>
              <w:bottom w:val="single" w:color="auto" w:sz="4" w:space="0"/>
              <w:right w:val="nil"/>
            </w:tcBorders>
          </w:tcPr>
          <w:p w:rsidRPr="00455A75" w:rsidR="00681493" w:rsidP="00681493" w:rsidRDefault="00681493" w14:paraId="72D6ABF8" w14:textId="77777777">
            <w:pPr>
              <w:spacing w:before="144" w:beforeLines="60" w:after="144" w:afterLines="60"/>
              <w:contextualSpacing/>
              <w:rPr>
                <w:rFonts w:eastAsia="Calibri"/>
                <w:b/>
                <w:lang w:eastAsia="en-GB"/>
              </w:rPr>
            </w:pPr>
            <w:r w:rsidRPr="00455A75">
              <w:rPr>
                <w:rFonts w:eastAsia="Calibri"/>
                <w:b/>
                <w:lang w:eastAsia="en-GB"/>
              </w:rPr>
              <w:t>Gut microbiota analysis techniques</w:t>
            </w:r>
          </w:p>
        </w:tc>
        <w:tc>
          <w:tcPr>
            <w:tcW w:w="5252" w:type="dxa"/>
            <w:tcBorders>
              <w:top w:val="single" w:color="auto" w:sz="4" w:space="0"/>
              <w:left w:val="nil"/>
              <w:bottom w:val="single" w:color="auto" w:sz="4" w:space="0"/>
              <w:right w:val="nil"/>
            </w:tcBorders>
          </w:tcPr>
          <w:p w:rsidRPr="00455A75" w:rsidR="00681493" w:rsidP="00681493" w:rsidRDefault="00681493" w14:paraId="3090349E" w14:textId="77777777">
            <w:pPr>
              <w:spacing w:before="144" w:beforeLines="60" w:after="144" w:afterLines="60"/>
              <w:contextualSpacing/>
              <w:rPr>
                <w:rFonts w:eastAsia="Calibri"/>
                <w:b/>
                <w:lang w:eastAsia="en-GB"/>
              </w:rPr>
            </w:pPr>
            <w:r w:rsidRPr="00455A75">
              <w:rPr>
                <w:rFonts w:eastAsia="Calibri"/>
                <w:b/>
                <w:lang w:eastAsia="en-GB"/>
              </w:rPr>
              <w:t>Main Findings</w:t>
            </w:r>
          </w:p>
        </w:tc>
      </w:tr>
      <w:tr w:rsidRPr="00455A75" w:rsidR="00681493" w:rsidTr="00681493" w14:paraId="0ABFB160" w14:textId="77777777">
        <w:trPr>
          <w:jc w:val="center"/>
        </w:trPr>
        <w:tc>
          <w:tcPr>
            <w:tcW w:w="1347" w:type="dxa"/>
            <w:tcBorders>
              <w:top w:val="single" w:color="auto" w:sz="4" w:space="0"/>
              <w:left w:val="nil"/>
              <w:bottom w:val="single" w:color="auto" w:sz="4" w:space="0"/>
              <w:right w:val="nil"/>
            </w:tcBorders>
          </w:tcPr>
          <w:p w:rsidRPr="007368F1" w:rsidR="00681493" w:rsidP="00681493" w:rsidRDefault="00681493" w14:paraId="4507EB98" w14:textId="77777777">
            <w:pPr>
              <w:spacing w:before="144" w:beforeLines="60" w:after="144" w:afterLines="60"/>
              <w:contextualSpacing/>
              <w:rPr>
                <w:rFonts w:eastAsia="Calibri"/>
                <w:lang w:eastAsia="en-GB"/>
              </w:rPr>
            </w:pPr>
            <w:r w:rsidRPr="007368F1">
              <w:rPr>
                <w:rFonts w:eastAsia="Calibri"/>
                <w:lang w:eastAsia="en-GB"/>
              </w:rPr>
              <w:t>Cross-sectional</w:t>
            </w:r>
          </w:p>
        </w:tc>
        <w:tc>
          <w:tcPr>
            <w:tcW w:w="2157" w:type="dxa"/>
            <w:tcBorders>
              <w:top w:val="single" w:color="auto" w:sz="4" w:space="0"/>
              <w:left w:val="nil"/>
              <w:bottom w:val="single" w:color="auto" w:sz="4" w:space="0"/>
              <w:right w:val="nil"/>
            </w:tcBorders>
          </w:tcPr>
          <w:p w:rsidRPr="00455A75" w:rsidR="00681493" w:rsidP="00681493" w:rsidRDefault="00681493" w14:paraId="5BE5FC03" w14:textId="77777777">
            <w:pPr>
              <w:spacing w:before="144" w:beforeLines="60" w:after="144" w:afterLines="60"/>
              <w:contextualSpacing/>
              <w:rPr>
                <w:rFonts w:eastAsia="Calibri"/>
                <w:lang w:eastAsia="en-GB"/>
              </w:rPr>
            </w:pPr>
          </w:p>
        </w:tc>
        <w:tc>
          <w:tcPr>
            <w:tcW w:w="3233" w:type="dxa"/>
            <w:tcBorders>
              <w:top w:val="single" w:color="auto" w:sz="4" w:space="0"/>
              <w:left w:val="nil"/>
              <w:bottom w:val="single" w:color="auto" w:sz="4" w:space="0"/>
              <w:right w:val="nil"/>
            </w:tcBorders>
          </w:tcPr>
          <w:p w:rsidRPr="00455A75" w:rsidR="00681493" w:rsidP="00681493" w:rsidRDefault="00681493" w14:paraId="2101D81B" w14:textId="77777777">
            <w:pPr>
              <w:spacing w:before="144" w:beforeLines="60" w:after="144" w:afterLines="60"/>
              <w:contextualSpacing/>
            </w:pPr>
          </w:p>
        </w:tc>
        <w:tc>
          <w:tcPr>
            <w:tcW w:w="1482" w:type="dxa"/>
            <w:tcBorders>
              <w:top w:val="single" w:color="auto" w:sz="4" w:space="0"/>
              <w:left w:val="nil"/>
              <w:bottom w:val="single" w:color="auto" w:sz="4" w:space="0"/>
              <w:right w:val="nil"/>
            </w:tcBorders>
          </w:tcPr>
          <w:p w:rsidRPr="00455A75" w:rsidR="00681493" w:rsidP="00681493" w:rsidRDefault="00681493" w14:paraId="5ECC558E" w14:textId="77777777">
            <w:pPr>
              <w:spacing w:before="144" w:beforeLines="60" w:after="144" w:afterLines="60"/>
              <w:contextualSpacing/>
            </w:pPr>
          </w:p>
        </w:tc>
        <w:tc>
          <w:tcPr>
            <w:tcW w:w="1062" w:type="dxa"/>
            <w:tcBorders>
              <w:top w:val="single" w:color="auto" w:sz="4" w:space="0"/>
              <w:left w:val="nil"/>
              <w:bottom w:val="single" w:color="auto" w:sz="4" w:space="0"/>
              <w:right w:val="nil"/>
            </w:tcBorders>
          </w:tcPr>
          <w:p w:rsidRPr="00455A75" w:rsidR="00681493" w:rsidP="00681493" w:rsidRDefault="00681493" w14:paraId="5FFB08F1" w14:textId="77777777">
            <w:pPr>
              <w:spacing w:before="144" w:beforeLines="60" w:after="144" w:afterLines="60"/>
              <w:contextualSpacing/>
            </w:pPr>
          </w:p>
        </w:tc>
        <w:tc>
          <w:tcPr>
            <w:tcW w:w="1448" w:type="dxa"/>
            <w:tcBorders>
              <w:top w:val="single" w:color="auto" w:sz="4" w:space="0"/>
              <w:left w:val="nil"/>
              <w:bottom w:val="single" w:color="auto" w:sz="4" w:space="0"/>
              <w:right w:val="nil"/>
            </w:tcBorders>
          </w:tcPr>
          <w:p w:rsidRPr="00455A75" w:rsidR="00681493" w:rsidP="00681493" w:rsidRDefault="00681493" w14:paraId="3C92F605" w14:textId="77777777">
            <w:pPr>
              <w:spacing w:before="144" w:beforeLines="60" w:after="144" w:afterLines="60"/>
              <w:contextualSpacing/>
            </w:pPr>
          </w:p>
        </w:tc>
        <w:tc>
          <w:tcPr>
            <w:tcW w:w="5252" w:type="dxa"/>
            <w:tcBorders>
              <w:top w:val="single" w:color="auto" w:sz="4" w:space="0"/>
              <w:left w:val="nil"/>
              <w:bottom w:val="single" w:color="auto" w:sz="4" w:space="0"/>
              <w:right w:val="nil"/>
            </w:tcBorders>
          </w:tcPr>
          <w:p w:rsidRPr="00455A75" w:rsidR="00681493" w:rsidP="00681493" w:rsidRDefault="00681493" w14:paraId="6CF4E9F1" w14:textId="77777777">
            <w:pPr>
              <w:spacing w:before="144" w:beforeLines="60" w:after="144" w:afterLines="60"/>
              <w:contextualSpacing/>
              <w:rPr>
                <w:rFonts w:eastAsia="Calibri"/>
                <w:lang w:eastAsia="en-GB"/>
              </w:rPr>
            </w:pPr>
          </w:p>
        </w:tc>
      </w:tr>
      <w:tr w:rsidRPr="00455A75" w:rsidR="00681493" w:rsidTr="00681493" w14:paraId="6C5A8906"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770455DC" w14:textId="37B82FCC">
            <w:pPr>
              <w:spacing w:before="144" w:beforeLines="60" w:after="144" w:afterLines="60"/>
              <w:contextualSpacing/>
              <w:rPr>
                <w:rFonts w:eastAsia="Calibri"/>
                <w:lang w:eastAsia="en-GB"/>
              </w:rPr>
            </w:pPr>
            <w:proofErr w:type="spellStart"/>
            <w:r>
              <w:rPr>
                <w:rFonts w:eastAsia="Calibri"/>
                <w:lang w:eastAsia="en-GB"/>
              </w:rPr>
              <w:t>McFadzean</w:t>
            </w:r>
            <w:proofErr w:type="spellEnd"/>
            <w:r>
              <w:rPr>
                <w:rFonts w:eastAsia="Calibri"/>
                <w:lang w:eastAsia="en-GB"/>
              </w:rPr>
              <w:t xml:space="preserve"> et al., 2014</w:t>
            </w:r>
            <w:r w:rsidRPr="00455A75">
              <w:rPr>
                <w:rFonts w:eastAsia="Calibri"/>
                <w:lang w:eastAsia="en-GB"/>
              </w:rPr>
              <w:fldChar w:fldCharType="begin" w:fldLock="1"/>
            </w:r>
            <w:r>
              <w:rPr>
                <w:rFonts w:eastAsia="Calibri"/>
                <w:lang w:eastAsia="en-GB"/>
              </w:rPr>
              <w:instrText>ADDIN CSL_CITATION {"citationItems":[{"id":"ITEM-1","itemData":{"abstract":"Moderate exercise has been shown to be beneficial to health in many ways, including reducing stress, building a stronger immune system and increasing cardiovascular health. Recent studies in the human gut microbiome have demonstrated benefits of certain microorganisms in aiding human pathogen resistance and reduction of inflammation. The hypothesis is that exercise can help modulate the human gut microbiota. Here we show that increasing exercise frequency selects for a diverse community of microbes that contribute to a healthier environment. Individuals who exercised more often showed a significant elevation in their diversity, as well as a significant elevation of certain members of the Firmicutes phylum (including Faecalibacterium prausnitzii, uncharacterized species of genus Oscillospira, Lachnospira, Coprococcus, and uncharacterized families of Clostridiales).","author":[{"dropping-particle":"","family":"Mcfadzean","given":"Robert","non-dropping-particle":"","parse-names":false,"suffix":""}],"id":"ITEM-1","issued":{"date-parts":[["2014"]]},"title":"Exercise can help modulate human gut microbiota","type":"article-journal"},"uris":["http://www.mendeley.com/documents/?uuid=1dca1dd1-25d7-4e35-ada2-95d38172beba"]}],"mendeley":{"formattedCitation":"(42)","plainTextFormattedCitation":"(42)","previouslyFormattedCitation":"(42)"},"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(4</w:t>
            </w:r>
            <w:r w:rsidR="002878C0">
              <w:rPr>
                <w:rFonts w:eastAsia="Calibri"/>
                <w:noProof/>
                <w:lang w:eastAsia="en-GB"/>
              </w:rPr>
              <w:t>4</w:t>
            </w:r>
            <w:r w:rsidRPr="003651E8">
              <w:rPr>
                <w:rFonts w:eastAsia="Calibri"/>
                <w:noProof/>
                <w:lang w:eastAsia="en-GB"/>
              </w:rPr>
              <w:t>)</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7C5EDCA4" w14:textId="77777777">
            <w:pPr>
              <w:spacing w:before="144" w:beforeLines="60" w:after="144" w:afterLines="60"/>
              <w:contextualSpacing/>
            </w:pPr>
            <w:r w:rsidRPr="00455A75">
              <w:rPr>
                <w:rFonts w:eastAsia="Calibri"/>
                <w:lang w:eastAsia="en-GB"/>
              </w:rPr>
              <w:t xml:space="preserve">N=1493 </w:t>
            </w:r>
          </w:p>
        </w:tc>
        <w:tc>
          <w:tcPr>
            <w:tcW w:w="3233" w:type="dxa"/>
            <w:tcBorders>
              <w:top w:val="single" w:color="auto" w:sz="4" w:space="0"/>
              <w:left w:val="nil"/>
              <w:bottom w:val="single" w:color="auto" w:sz="4" w:space="0"/>
              <w:right w:val="nil"/>
            </w:tcBorders>
          </w:tcPr>
          <w:p w:rsidRPr="00455A75" w:rsidR="00681493" w:rsidP="00681493" w:rsidRDefault="00681493" w14:paraId="5E438C5E" w14:textId="77777777">
            <w:pPr>
              <w:spacing w:before="144" w:beforeLines="60" w:after="144" w:afterLines="60"/>
              <w:contextualSpacing/>
            </w:pPr>
            <w:r w:rsidRPr="00455A75">
              <w:t>Participants self-reported physical activity levels:</w:t>
            </w:r>
          </w:p>
          <w:p w:rsidRPr="00455A75" w:rsidR="00681493" w:rsidP="00681493" w:rsidRDefault="00681493" w14:paraId="606CD7AD" w14:textId="77777777">
            <w:pPr>
              <w:pStyle w:val="Prrafodelista"/>
              <w:numPr>
                <w:ilvl w:val="0"/>
                <w:numId w:val="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Never (N) =46</w:t>
            </w:r>
          </w:p>
          <w:p w:rsidRPr="00455A75" w:rsidR="00681493" w:rsidP="00681493" w:rsidRDefault="00681493" w14:paraId="4A9AE668" w14:textId="77777777">
            <w:pPr>
              <w:pStyle w:val="Prrafodelista"/>
              <w:numPr>
                <w:ilvl w:val="0"/>
                <w:numId w:val="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Rarely (R)=45</w:t>
            </w:r>
          </w:p>
          <w:p w:rsidRPr="00455A75" w:rsidR="00681493" w:rsidP="00681493" w:rsidRDefault="00681493" w14:paraId="33860677" w14:textId="77777777">
            <w:pPr>
              <w:pStyle w:val="Prrafodelista"/>
              <w:numPr>
                <w:ilvl w:val="0"/>
                <w:numId w:val="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Occasionally (O)=301</w:t>
            </w:r>
          </w:p>
          <w:p w:rsidRPr="00455A75" w:rsidR="00681493" w:rsidP="00681493" w:rsidRDefault="00681493" w14:paraId="37B2BF2D" w14:textId="77777777">
            <w:pPr>
              <w:pStyle w:val="Prrafodelista"/>
              <w:numPr>
                <w:ilvl w:val="0"/>
                <w:numId w:val="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Regularly (r)=577</w:t>
            </w:r>
          </w:p>
          <w:p w:rsidRPr="00455A75" w:rsidR="00681493" w:rsidP="00681493" w:rsidRDefault="00681493" w14:paraId="5F5CE0CF" w14:textId="77777777">
            <w:pPr>
              <w:pStyle w:val="Prrafodelista"/>
              <w:numPr>
                <w:ilvl w:val="0"/>
                <w:numId w:val="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Daily (D)=309</w:t>
            </w:r>
            <w:r w:rsidRPr="00455A75">
              <w:rPr>
                <w:rFonts w:ascii="Times New Roman" w:hAnsi="Times New Roman" w:cs="Times New Roman"/>
              </w:rPr>
              <w:t xml:space="preserve"> </w:t>
            </w:r>
          </w:p>
          <w:p w:rsidRPr="00455A75" w:rsidR="00681493" w:rsidP="00681493" w:rsidRDefault="00681493" w14:paraId="09295FA3" w14:textId="77777777">
            <w:pPr>
              <w:spacing w:before="144" w:beforeLines="60" w:after="144" w:afterLines="60"/>
              <w:contextualSpacing/>
            </w:pPr>
          </w:p>
          <w:p w:rsidRPr="00455A75" w:rsidR="00681493" w:rsidP="00681493" w:rsidRDefault="00681493" w14:paraId="13469C0D" w14:textId="77777777">
            <w:pPr>
              <w:spacing w:before="144" w:beforeLines="60" w:after="144" w:afterLines="60"/>
              <w:contextualSpacing/>
            </w:pPr>
          </w:p>
        </w:tc>
        <w:tc>
          <w:tcPr>
            <w:tcW w:w="1482" w:type="dxa"/>
            <w:tcBorders>
              <w:top w:val="single" w:color="auto" w:sz="4" w:space="0"/>
              <w:left w:val="nil"/>
              <w:bottom w:val="single" w:color="auto" w:sz="4" w:space="0"/>
              <w:right w:val="nil"/>
            </w:tcBorders>
          </w:tcPr>
          <w:p w:rsidRPr="00455A75" w:rsidR="00681493" w:rsidP="00681493" w:rsidRDefault="00681493" w14:paraId="16DD5C2B" w14:textId="77777777">
            <w:pPr>
              <w:spacing w:before="144" w:beforeLines="60" w:after="144" w:afterLines="60"/>
              <w:contextualSpacing/>
            </w:pPr>
            <w:r w:rsidRPr="00455A75">
              <w:t xml:space="preserve">Standardized diet: No </w:t>
            </w:r>
          </w:p>
          <w:p w:rsidRPr="00455A75" w:rsidR="00681493" w:rsidP="00681493" w:rsidRDefault="00681493" w14:paraId="45258F00" w14:textId="77777777">
            <w:pPr>
              <w:spacing w:before="144" w:beforeLines="60" w:after="144" w:afterLines="60"/>
              <w:contextualSpacing/>
            </w:pPr>
          </w:p>
          <w:p w:rsidRPr="00455A75" w:rsidR="00681493" w:rsidP="00681493" w:rsidRDefault="00681493" w14:paraId="4CEBC160" w14:textId="77777777">
            <w:pPr>
              <w:spacing w:before="144" w:beforeLines="60" w:after="144" w:afterLines="60"/>
              <w:contextualSpacing/>
            </w:pPr>
            <w:r w:rsidRPr="00455A75">
              <w:t>Adjusted for diet: No</w:t>
            </w:r>
          </w:p>
          <w:p w:rsidRPr="00455A75" w:rsidR="00681493" w:rsidP="00681493" w:rsidRDefault="00681493" w14:paraId="0B665991" w14:textId="77777777">
            <w:pPr>
              <w:spacing w:before="144" w:beforeLines="60" w:after="144" w:afterLines="60"/>
              <w:contextualSpacing/>
            </w:pPr>
          </w:p>
        </w:tc>
        <w:tc>
          <w:tcPr>
            <w:tcW w:w="1062" w:type="dxa"/>
            <w:tcBorders>
              <w:top w:val="single" w:color="auto" w:sz="4" w:space="0"/>
              <w:left w:val="nil"/>
              <w:bottom w:val="single" w:color="auto" w:sz="4" w:space="0"/>
              <w:right w:val="nil"/>
            </w:tcBorders>
          </w:tcPr>
          <w:p w:rsidRPr="00455A75" w:rsidR="00681493" w:rsidP="00681493" w:rsidRDefault="00681493" w14:paraId="7086D369" w14:textId="77777777">
            <w:pPr>
              <w:spacing w:before="144" w:beforeLines="60" w:after="144" w:afterLines="60"/>
              <w:contextualSpacing/>
            </w:pPr>
            <w:r w:rsidRPr="00455A75">
              <w:t xml:space="preserve">1 </w:t>
            </w:r>
          </w:p>
        </w:tc>
        <w:tc>
          <w:tcPr>
            <w:tcW w:w="1448" w:type="dxa"/>
            <w:tcBorders>
              <w:top w:val="single" w:color="auto" w:sz="4" w:space="0"/>
              <w:left w:val="nil"/>
              <w:bottom w:val="single" w:color="auto" w:sz="4" w:space="0"/>
              <w:right w:val="nil"/>
            </w:tcBorders>
          </w:tcPr>
          <w:p w:rsidRPr="00455A75" w:rsidR="00681493" w:rsidP="00681493" w:rsidRDefault="00681493" w14:paraId="7F6944C6" w14:textId="77777777">
            <w:pPr>
              <w:spacing w:before="144" w:beforeLines="60" w:after="144" w:afterLines="60"/>
              <w:contextualSpacing/>
            </w:pPr>
            <w:r w:rsidRPr="00455A75">
              <w:t xml:space="preserve">qPCR: </w:t>
            </w:r>
            <w:proofErr w:type="spellStart"/>
            <w:r w:rsidRPr="00455A75">
              <w:rPr>
                <w:color w:val="000000" w:themeColor="text1"/>
              </w:rPr>
              <w:t>Myseq</w:t>
            </w:r>
            <w:r w:rsidRPr="00455A75">
              <w:t>Illumina</w:t>
            </w:r>
            <w:proofErr w:type="spellEnd"/>
            <w:r w:rsidRPr="00455A75">
              <w:t xml:space="preserve"> </w:t>
            </w:r>
          </w:p>
          <w:p w:rsidRPr="00455A75" w:rsidR="00681493" w:rsidP="00681493" w:rsidRDefault="00681493" w14:paraId="048053D9" w14:textId="77777777">
            <w:pPr>
              <w:spacing w:before="144" w:beforeLines="60" w:after="144" w:afterLines="60"/>
              <w:contextualSpacing/>
            </w:pPr>
            <w:r w:rsidRPr="00455A75">
              <w:t>Software: QIIME</w:t>
            </w:r>
          </w:p>
          <w:p w:rsidRPr="00455A75" w:rsidR="00681493" w:rsidP="00681493" w:rsidRDefault="00681493" w14:paraId="4A1D5F4F" w14:textId="77777777">
            <w:pPr>
              <w:spacing w:before="144" w:beforeLines="60" w:after="144" w:afterLines="60"/>
              <w:contextualSpacing/>
            </w:pPr>
            <w:r w:rsidRPr="00455A75">
              <w:t xml:space="preserve">Reference DB: </w:t>
            </w:r>
            <w:proofErr w:type="spellStart"/>
            <w:r w:rsidRPr="00455A75">
              <w:t>Greengenes</w:t>
            </w:r>
            <w:proofErr w:type="spellEnd"/>
          </w:p>
          <w:p w:rsidRPr="00455A75" w:rsidR="00681493" w:rsidP="00681493" w:rsidRDefault="00681493" w14:paraId="63DE2B5F" w14:textId="77777777">
            <w:pPr>
              <w:spacing w:before="144" w:beforeLines="60" w:after="144" w:afterLines="60"/>
              <w:contextualSpacing/>
            </w:pPr>
            <w:r w:rsidRPr="00455A75">
              <w:t>Outcome: OTU</w:t>
            </w:r>
          </w:p>
          <w:p w:rsidRPr="00455A75" w:rsidR="00681493" w:rsidP="00681493" w:rsidRDefault="00681493" w14:paraId="5D32B4E6" w14:textId="77777777">
            <w:pPr>
              <w:spacing w:before="144" w:beforeLines="60" w:after="144" w:afterLines="60"/>
              <w:contextualSpacing/>
            </w:pPr>
          </w:p>
        </w:tc>
        <w:tc>
          <w:tcPr>
            <w:tcW w:w="5252" w:type="dxa"/>
            <w:tcBorders>
              <w:top w:val="single" w:color="auto" w:sz="4" w:space="0"/>
              <w:left w:val="nil"/>
              <w:bottom w:val="single" w:color="auto" w:sz="4" w:space="0"/>
              <w:right w:val="nil"/>
            </w:tcBorders>
          </w:tcPr>
          <w:p w:rsidRPr="00455A75" w:rsidR="00681493" w:rsidP="00681493" w:rsidRDefault="00681493" w14:paraId="7D52D024" w14:textId="77777777">
            <w:pPr>
              <w:spacing w:before="144" w:beforeLines="60" w:after="144" w:afterLines="60"/>
              <w:contextualSpacing/>
              <w:rPr>
                <w:rFonts w:eastAsia="Calibri"/>
                <w:lang w:eastAsia="en-GB"/>
              </w:rPr>
            </w:pPr>
            <w:r w:rsidRPr="00455A75">
              <w:rPr>
                <w:rFonts w:eastAsia="Calibri"/>
                <w:lang w:eastAsia="en-GB"/>
              </w:rPr>
              <w:t>Statistical analysis: ANOVA, Bonferroni test</w:t>
            </w:r>
          </w:p>
          <w:p w:rsidRPr="00455A75" w:rsidR="00681493" w:rsidP="00681493" w:rsidRDefault="00681493" w14:paraId="6D07E731" w14:textId="77777777">
            <w:pPr>
              <w:spacing w:before="144" w:beforeLines="60" w:after="144" w:afterLines="60"/>
              <w:contextualSpacing/>
              <w:rPr>
                <w:rFonts w:eastAsia="Calibri"/>
                <w:lang w:eastAsia="en-GB"/>
              </w:rPr>
            </w:pPr>
            <w:r w:rsidRPr="00455A75">
              <w:rPr>
                <w:rFonts w:eastAsia="Calibri"/>
                <w:b/>
                <w:lang w:eastAsia="en-GB"/>
              </w:rPr>
              <w:t>↑</w:t>
            </w:r>
            <w:r w:rsidRPr="00455A75">
              <w:rPr>
                <w:rFonts w:eastAsia="Calibri"/>
                <w:color w:val="92D050"/>
                <w:lang w:eastAsia="en-GB"/>
              </w:rPr>
              <w:t xml:space="preserve"> </w:t>
            </w:r>
            <w:r w:rsidRPr="00455A75">
              <w:rPr>
                <w:rFonts w:eastAsia="Calibri"/>
                <w:lang w:eastAsia="en-GB"/>
              </w:rPr>
              <w:t xml:space="preserve">α-diversity in O, r and D groups (p&lt;0.05) vs R </w:t>
            </w:r>
          </w:p>
          <w:p w:rsidRPr="00455A75" w:rsidR="00681493" w:rsidP="00681493" w:rsidRDefault="00681493" w14:paraId="633D3537" w14:textId="77777777">
            <w:pPr>
              <w:spacing w:before="144" w:beforeLines="60" w:after="144" w:afterLines="60"/>
              <w:contextualSpacing/>
              <w:rPr>
                <w:rFonts w:eastAsia="Calibri"/>
                <w:lang w:eastAsia="en-GB"/>
              </w:rPr>
            </w:pPr>
            <w:r w:rsidRPr="00455A75">
              <w:rPr>
                <w:rFonts w:eastAsia="Calibri"/>
                <w:lang w:eastAsia="en-GB"/>
              </w:rPr>
              <w:t xml:space="preserve"> </w:t>
            </w:r>
            <w:proofErr w:type="gramStart"/>
            <w:r w:rsidRPr="00455A75">
              <w:rPr>
                <w:rFonts w:eastAsia="Calibri"/>
                <w:lang w:eastAsia="en-GB"/>
              </w:rPr>
              <w:t>β-diversity</w:t>
            </w:r>
            <w:proofErr w:type="gramEnd"/>
            <w:r w:rsidRPr="00455A75">
              <w:rPr>
                <w:rFonts w:eastAsia="Calibri"/>
                <w:lang w:eastAsia="en-GB"/>
              </w:rPr>
              <w:t xml:space="preserve">: There were no </w:t>
            </w:r>
            <w:r w:rsidRPr="00455A75">
              <w:rPr>
                <w:rFonts w:eastAsia="Calibri"/>
                <w:color w:val="000000" w:themeColor="text1"/>
                <w:lang w:eastAsia="en-GB"/>
              </w:rPr>
              <w:t xml:space="preserve">distinctly different </w:t>
            </w:r>
            <w:r w:rsidRPr="00455A75">
              <w:rPr>
                <w:rFonts w:eastAsia="Calibri"/>
                <w:lang w:eastAsia="en-GB"/>
              </w:rPr>
              <w:t>clusters according to physical activity.</w:t>
            </w:r>
          </w:p>
          <w:p w:rsidRPr="00455A75" w:rsidR="00681493" w:rsidP="00681493" w:rsidRDefault="00681493" w14:paraId="3E2F66E8" w14:textId="77777777">
            <w:pPr>
              <w:spacing w:before="144" w:beforeLines="60" w:after="144" w:afterLines="60"/>
              <w:contextualSpacing/>
              <w:rPr>
                <w:rFonts w:eastAsia="Calibri"/>
                <w:lang w:eastAsia="en-GB"/>
              </w:rPr>
            </w:pPr>
            <w:r w:rsidRPr="00455A75">
              <w:rPr>
                <w:rFonts w:eastAsia="Calibri"/>
                <w:lang w:eastAsia="en-GB"/>
              </w:rPr>
              <w:t xml:space="preserve">Comparison between groups: </w:t>
            </w:r>
          </w:p>
          <w:p w:rsidRPr="00455A75" w:rsidR="00681493" w:rsidP="00681493" w:rsidRDefault="00681493" w14:paraId="3B8BA9A6" w14:textId="77777777">
            <w:pPr>
              <w:pStyle w:val="Prrafodelista"/>
              <w:numPr>
                <w:ilvl w:val="0"/>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Family:</w:t>
            </w:r>
          </w:p>
          <w:p w:rsidRPr="00455A75" w:rsidR="00681493" w:rsidP="00681493" w:rsidRDefault="00681493" w14:paraId="77F81733" w14:textId="77777777">
            <w:pPr>
              <w:pStyle w:val="Prrafodelista"/>
              <w:numPr>
                <w:ilvl w:val="1"/>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7368F1">
              <w:rPr>
                <w:rFonts w:ascii="Times New Roman" w:hAnsi="Times New Roman" w:eastAsia="Calibri" w:cs="Times New Roman"/>
                <w:i/>
                <w:lang w:eastAsia="en-GB"/>
              </w:rPr>
              <w:t>Erysipelotrichaceae</w:t>
            </w:r>
            <w:proofErr w:type="spellEnd"/>
            <w:r w:rsidRPr="00455A75">
              <w:rPr>
                <w:rFonts w:ascii="Times New Roman" w:hAnsi="Times New Roman" w:eastAsia="Calibri" w:cs="Times New Roman"/>
                <w:lang w:eastAsia="en-GB"/>
              </w:rPr>
              <w:t xml:space="preserve"> (11.776% O)</w:t>
            </w:r>
          </w:p>
          <w:p w:rsidRPr="00455A75" w:rsidR="00681493" w:rsidP="00681493" w:rsidRDefault="00681493" w14:paraId="039EEDD3" w14:textId="77777777">
            <w:pPr>
              <w:pStyle w:val="Prrafodelista"/>
              <w:numPr>
                <w:ilvl w:val="0"/>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Genus:</w:t>
            </w:r>
          </w:p>
          <w:p w:rsidRPr="00455A75" w:rsidR="00681493" w:rsidP="00681493" w:rsidRDefault="00681493" w14:paraId="03167985" w14:textId="77777777">
            <w:pPr>
              <w:pStyle w:val="Prrafodelista"/>
              <w:numPr>
                <w:ilvl w:val="1"/>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7368F1">
              <w:rPr>
                <w:rFonts w:ascii="Times New Roman" w:hAnsi="Times New Roman" w:eastAsia="Calibri" w:cs="Times New Roman"/>
                <w:i/>
                <w:lang w:eastAsia="en-GB"/>
              </w:rPr>
              <w:t>Lachnospira</w:t>
            </w:r>
            <w:proofErr w:type="spellEnd"/>
            <w:r w:rsidRPr="00455A75">
              <w:rPr>
                <w:rFonts w:ascii="Times New Roman" w:hAnsi="Times New Roman" w:eastAsia="Calibri" w:cs="Times New Roman"/>
                <w:lang w:eastAsia="en-GB"/>
              </w:rPr>
              <w:t xml:space="preserve"> (3.805% r)</w:t>
            </w:r>
          </w:p>
          <w:p w:rsidRPr="00455A75" w:rsidR="00681493" w:rsidP="00681493" w:rsidRDefault="00681493" w14:paraId="104089D5" w14:textId="77777777">
            <w:pPr>
              <w:pStyle w:val="Prrafodelista"/>
              <w:numPr>
                <w:ilvl w:val="1"/>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7368F1">
              <w:rPr>
                <w:rFonts w:ascii="Times New Roman" w:hAnsi="Times New Roman" w:eastAsia="Calibri" w:cs="Times New Roman"/>
                <w:i/>
                <w:lang w:eastAsia="en-GB"/>
              </w:rPr>
              <w:t>Coprococccus</w:t>
            </w:r>
            <w:proofErr w:type="spellEnd"/>
            <w:r w:rsidRPr="00455A75">
              <w:rPr>
                <w:rFonts w:ascii="Times New Roman" w:hAnsi="Times New Roman" w:eastAsia="Calibri" w:cs="Times New Roman"/>
                <w:lang w:eastAsia="en-GB"/>
              </w:rPr>
              <w:t xml:space="preserve"> (1.665% r)</w:t>
            </w:r>
          </w:p>
          <w:p w:rsidRPr="00455A75" w:rsidR="00681493" w:rsidP="00681493" w:rsidRDefault="00681493" w14:paraId="16F471CC" w14:textId="77777777">
            <w:pPr>
              <w:pStyle w:val="Prrafodelista"/>
              <w:numPr>
                <w:ilvl w:val="1"/>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7368F1">
              <w:rPr>
                <w:rFonts w:ascii="Times New Roman" w:hAnsi="Times New Roman" w:eastAsia="Calibri" w:cs="Times New Roman"/>
                <w:i/>
                <w:lang w:eastAsia="en-GB"/>
              </w:rPr>
              <w:t>Oscillospira</w:t>
            </w:r>
            <w:proofErr w:type="spellEnd"/>
            <w:r w:rsidRPr="00455A75">
              <w:rPr>
                <w:rFonts w:ascii="Times New Roman" w:hAnsi="Times New Roman" w:eastAsia="Calibri" w:cs="Times New Roman"/>
                <w:lang w:eastAsia="en-GB"/>
              </w:rPr>
              <w:t xml:space="preserve"> (2.75% D)</w:t>
            </w:r>
          </w:p>
          <w:p w:rsidRPr="00455A75" w:rsidR="00681493" w:rsidP="00681493" w:rsidRDefault="00681493" w14:paraId="3ABE592E" w14:textId="77777777">
            <w:pPr>
              <w:pStyle w:val="Prrafodelista"/>
              <w:numPr>
                <w:ilvl w:val="0"/>
                <w:numId w:val="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Species:</w:t>
            </w:r>
          </w:p>
          <w:p w:rsidRPr="00455A75" w:rsidR="00681493" w:rsidP="00681493" w:rsidRDefault="00681493" w14:paraId="33700AC9" w14:textId="77777777">
            <w:pPr>
              <w:pStyle w:val="Prrafodelista"/>
              <w:numPr>
                <w:ilvl w:val="1"/>
                <w:numId w:val="6"/>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r w:rsidRPr="00455A75">
              <w:rPr>
                <w:rFonts w:ascii="Times New Roman" w:hAnsi="Times New Roman" w:eastAsia="Calibri" w:cs="Times New Roman"/>
                <w:i/>
                <w:lang w:eastAsia="en-GB"/>
              </w:rPr>
              <w:t>F.</w:t>
            </w:r>
            <w:r>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prausnitzii</w:t>
            </w:r>
            <w:proofErr w:type="spellEnd"/>
            <w:r w:rsidRPr="00455A75">
              <w:rPr>
                <w:rFonts w:ascii="Times New Roman" w:hAnsi="Times New Roman" w:eastAsia="Calibri" w:cs="Times New Roman"/>
                <w:lang w:eastAsia="en-GB"/>
              </w:rPr>
              <w:t xml:space="preserve"> (17.94% D)</w:t>
            </w:r>
          </w:p>
        </w:tc>
      </w:tr>
      <w:tr w:rsidRPr="00455A75" w:rsidR="00681493" w:rsidTr="00681493" w14:paraId="6EC1A5AC" w14:textId="77777777">
        <w:trPr>
          <w:jc w:val="center"/>
        </w:trPr>
        <w:tc>
          <w:tcPr>
            <w:tcW w:w="1347" w:type="dxa"/>
            <w:tcBorders>
              <w:top w:val="nil"/>
              <w:left w:val="nil"/>
              <w:bottom w:val="single" w:color="auto" w:sz="4" w:space="0"/>
              <w:right w:val="nil"/>
            </w:tcBorders>
          </w:tcPr>
          <w:p w:rsidRPr="00455A75" w:rsidR="00681493" w:rsidP="00681493" w:rsidRDefault="00681493" w14:paraId="68479A5F" w14:textId="77777777">
            <w:pPr>
              <w:spacing w:before="144" w:beforeLines="60" w:after="144" w:afterLines="60"/>
              <w:contextualSpacing/>
              <w:rPr>
                <w:rFonts w:eastAsia="Calibri"/>
                <w:lang w:eastAsia="en-GB"/>
              </w:rPr>
            </w:pPr>
            <w:proofErr w:type="spellStart"/>
            <w:r>
              <w:rPr>
                <w:rFonts w:eastAsia="Calibri"/>
                <w:lang w:eastAsia="en-GB"/>
              </w:rPr>
              <w:t>Estaki</w:t>
            </w:r>
            <w:proofErr w:type="spellEnd"/>
            <w:r>
              <w:rPr>
                <w:rFonts w:eastAsia="Calibri"/>
                <w:lang w:eastAsia="en-GB"/>
              </w:rPr>
              <w:t xml:space="preserve"> et al., 2016</w:t>
            </w:r>
            <w:r w:rsidRPr="00455A75">
              <w:rPr>
                <w:rFonts w:eastAsia="Calibri"/>
                <w:lang w:eastAsia="en-GB"/>
              </w:rPr>
              <w:fldChar w:fldCharType="begin" w:fldLock="1"/>
            </w:r>
            <w:r>
              <w:rPr>
                <w:rFonts w:eastAsia="Calibri"/>
                <w:lang w:eastAsia="en-GB"/>
              </w:rPr>
              <w:instrText>ADDIN CSL_CITATION {"citationItems":[{"id":"ITEM-1","itemData":{"DOI":"10.1186/s40168-016-0189-7","ISBN":"2049-2618 (Electronic) 2049-2618 (Linking)","ISSN":"20492618","PMID":"27502158","abstract":"BACKGROUND Reduced microbial diversity in human intestines has been implicated in various conditions such as diabetes, colorectal cancer, and inflammatory bowel disease. The role of physical fitness in the context of human intestinal microbiota is currently not known. We used high-throughput sequencing to analyze fecal microbiota of 39 healthy participants with similar age, BMI, and diets but with varying cardiorespiratory fitness levels. Fecal short-chain fatty acids were analyzed using gas chromatography. RESULTS We showed that peak oxygen uptake (VO2peak), the gold standard measure of cardiorespiratory fitness, can account for more than 20 % of the variation in taxonomic richness, after accounting for all other factors, including diet. While VO2peak did not explain variation in beta diversity, it did play a significant role in explaining variation in the microbiomes' predicted metagenomic functions, aligning positively with genes related to bacterial chemotaxis, motility, and fatty acid biosynthesis. These predicted functions were supported by measured increases in production of fecal butyrate, a short-chain fatty acid associated with improved gut health, amongst physically fit participants. We also identified increased abundances of key butyrate-producing taxa (Clostridiales, Roseburia, Lachnospiraceae, and Erysipelotrichaceae) amongst these individuals, which likely contributed to the observed increases in butyrate levels. CONCLUSIONS Results from this study show that cardiorespiratory fitness is correlated with increased microbial diversity in healthy humans and that the associated changes are anchored around a set of functional cores rather than specific taxa. The microbial profiles of fit individuals favor the production of butyrate. As increased microbiota diversity and butyrate production is associated with overall host health, our findings warrant the use of exercise prescription as an adjuvant therapy in combating dysbiosis-associated diseases.","author":[{"dropping-particle":"","family":"Estaki","given":"Mehrbod","non-dropping-particle":"","parse-names":false,"suffix":""},{"dropping-particle":"","family":"Pither","given":"Jason","non-dropping-particle":"","parse-names":false,"suffix":""},{"dropping-particle":"","family":"Baumeister","given":"Peter","non-dropping-particle":"","parse-names":false,"suffix":""},{"dropping-particle":"","family":"Little","given":"Jonathan P.","non-dropping-particle":"","parse-names":false,"suffix":""},{"dropping-particle":"","family":"Gill","given":"Sandeep K.","non-dropping-particle":"","parse-names":false,"suffix":""},{"dropping-particle":"","family":"Ghosh","given":"Sanjoy","non-dropping-particle":"","parse-names":false,"suffix":""},{"dropping-particle":"","family":"Ahmadi-Vand","given":"Zahra","non-dropping-particle":"","parse-names":false,"suffix":""},{"dropping-particle":"","family":"Marsden","given":"Katelyn R.","non-dropping-particle":"","parse-names":false,"suffix":""},{"dropping-particle":"","family":"Gibson","given":"Deanna L.","non-dropping-particle":"","parse-names":false,"suffix":""}],"container-title":"Microbiome","id":"ITEM-1","issued":{"date-parts":[["2016"]]},"page":"1-13","publisher":"Microbiome","title":"Cardiorespiratory fitness as a predictor of intestinal microbial diversity and distinct metagenomic functions","type":"article-journal","volume":"4"},"uris":["http://www.mendeley.com/documents/?uuid=907d030b-879a-4401-a709-43d75aca95a8"]}],"mendeley":{"formattedCitation":"(35)","plainTextFormattedCitation":"(35)","previouslyFormattedCitation":"(35)"},"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(35)</w:t>
            </w:r>
            <w:r w:rsidRPr="00455A75">
              <w:rPr>
                <w:rFonts w:eastAsia="Calibri"/>
                <w:lang w:eastAsia="en-GB"/>
              </w:rPr>
              <w:fldChar w:fldCharType="end"/>
            </w:r>
            <w:r w:rsidRPr="00455A75">
              <w:rPr>
                <w:rFonts w:eastAsia="Calibri"/>
                <w:lang w:eastAsia="en-GB"/>
              </w:rPr>
              <w:t xml:space="preserve"> </w:t>
            </w:r>
          </w:p>
        </w:tc>
        <w:tc>
          <w:tcPr>
            <w:tcW w:w="2157" w:type="dxa"/>
            <w:tcBorders>
              <w:top w:val="nil"/>
              <w:left w:val="nil"/>
              <w:bottom w:val="single" w:color="auto" w:sz="4" w:space="0"/>
              <w:right w:val="nil"/>
            </w:tcBorders>
          </w:tcPr>
          <w:p w:rsidRPr="00455A75" w:rsidR="00681493" w:rsidP="00681493" w:rsidRDefault="00681493" w14:paraId="1DFA1DA2" w14:textId="77777777">
            <w:pPr>
              <w:spacing w:before="144" w:beforeLines="60" w:after="144" w:afterLines="60"/>
              <w:contextualSpacing/>
              <w:rPr>
                <w:rFonts w:eastAsia="Calibri"/>
                <w:lang w:eastAsia="en-GB"/>
              </w:rPr>
            </w:pPr>
            <w:r w:rsidRPr="00455A75">
              <w:rPr>
                <w:rFonts w:eastAsia="Calibri"/>
                <w:lang w:eastAsia="en-GB"/>
              </w:rPr>
              <w:t xml:space="preserve">N=41(22 males/19 females) </w:t>
            </w:r>
          </w:p>
        </w:tc>
        <w:tc>
          <w:tcPr>
            <w:tcW w:w="3233" w:type="dxa"/>
            <w:tcBorders>
              <w:top w:val="nil"/>
              <w:left w:val="nil"/>
              <w:bottom w:val="single" w:color="auto" w:sz="4" w:space="0"/>
              <w:right w:val="nil"/>
            </w:tcBorders>
          </w:tcPr>
          <w:p w:rsidRPr="00455A75" w:rsidR="00681493" w:rsidP="00681493" w:rsidRDefault="00681493" w14:paraId="1F4F91A4" w14:textId="77777777">
            <w:pPr>
              <w:spacing w:before="144" w:beforeLines="60" w:after="144" w:afterLines="60"/>
              <w:contextualSpacing/>
              <w:rPr>
                <w:rFonts w:eastAsia="Calibri"/>
                <w:lang w:eastAsia="en-GB"/>
              </w:rPr>
            </w:pPr>
            <w:r w:rsidRPr="00455A75">
              <w:rPr>
                <w:rFonts w:eastAsia="Calibri"/>
                <w:lang w:eastAsia="en-GB"/>
              </w:rPr>
              <w:t>Assessment of cardiorespiratory fitness (VO</w:t>
            </w:r>
            <w:r w:rsidRPr="00455A75">
              <w:rPr>
                <w:rFonts w:eastAsia="Calibri"/>
                <w:vertAlign w:val="subscript"/>
                <w:lang w:eastAsia="en-GB"/>
              </w:rPr>
              <w:t>2max</w:t>
            </w:r>
            <w:r w:rsidRPr="00455A75">
              <w:rPr>
                <w:rFonts w:eastAsia="Calibri"/>
                <w:lang w:eastAsia="en-GB"/>
              </w:rPr>
              <w:t>) by cycle test and metabolic cart.</w:t>
            </w:r>
          </w:p>
          <w:p w:rsidRPr="00455A75" w:rsidR="00681493" w:rsidP="00681493" w:rsidRDefault="00681493" w14:paraId="4A93067C" w14:textId="77777777">
            <w:pPr>
              <w:pStyle w:val="Prrafodelista"/>
              <w:numPr>
                <w:ilvl w:val="0"/>
                <w:numId w:val="1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Incline: Continuous incremental ramp</w:t>
            </w:r>
          </w:p>
          <w:p w:rsidRPr="00455A75" w:rsidR="00681493" w:rsidP="00681493" w:rsidRDefault="00681493" w14:paraId="056CAEF3" w14:textId="77777777">
            <w:pPr>
              <w:pStyle w:val="Prrafodelista"/>
              <w:numPr>
                <w:ilvl w:val="0"/>
                <w:numId w:val="17"/>
              </w:numPr>
              <w:spacing w:before="144" w:beforeLines="60" w:after="144" w:afterLines="60" w:line="240" w:lineRule="auto"/>
              <w:rPr>
                <w:rFonts w:ascii="Times New Roman" w:hAnsi="Times New Roman" w:eastAsia="Calibri" w:cs="Times New Roman"/>
                <w:lang w:eastAsia="en-GB"/>
              </w:rPr>
            </w:pPr>
            <w:r>
              <w:rPr>
                <w:rFonts w:ascii="Times New Roman" w:hAnsi="Times New Roman" w:eastAsia="Calibri" w:cs="Times New Roman"/>
                <w:lang w:eastAsia="en-GB"/>
              </w:rPr>
              <w:t>Power</w:t>
            </w:r>
            <w:r w:rsidRPr="00BD1AED">
              <w:rPr>
                <w:rFonts w:ascii="Times New Roman" w:hAnsi="Times New Roman" w:eastAsia="Calibri" w:cs="Times New Roman"/>
                <w:lang w:eastAsia="en-GB"/>
              </w:rPr>
              <w:t xml:space="preserve">: started at 50 W and increased by 30 </w:t>
            </w:r>
            <w:r w:rsidRPr="00BD1AED">
              <w:rPr>
                <w:rFonts w:ascii="Times New Roman" w:hAnsi="Times New Roman" w:eastAsia="Calibri" w:cs="Times New Roman"/>
                <w:lang w:eastAsia="en-GB"/>
              </w:rPr>
              <w:lastRenderedPageBreak/>
              <w:t>W/min</w:t>
            </w:r>
            <w:r w:rsidRPr="00455A75">
              <w:rPr>
                <w:rFonts w:ascii="Times New Roman" w:hAnsi="Times New Roman" w:eastAsia="Calibri" w:cs="Times New Roman"/>
                <w:lang w:eastAsia="en-GB"/>
              </w:rPr>
              <w:t xml:space="preserve"> </w:t>
            </w:r>
          </w:p>
          <w:p w:rsidRPr="00455A75" w:rsidR="00681493" w:rsidP="00681493" w:rsidRDefault="00681493" w14:paraId="358042F8" w14:textId="77777777">
            <w:pPr>
              <w:pStyle w:val="Prrafodelista"/>
              <w:numPr>
                <w:ilvl w:val="0"/>
                <w:numId w:val="1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End: participant reached self-declared exhaustion or when rpm fell below 50.</w:t>
            </w:r>
          </w:p>
          <w:p w:rsidRPr="00455A75" w:rsidR="00681493" w:rsidP="00681493" w:rsidRDefault="00681493" w14:paraId="149601C2" w14:textId="77777777">
            <w:pPr>
              <w:spacing w:before="144" w:beforeLines="60" w:after="144" w:afterLines="60"/>
              <w:contextualSpacing/>
              <w:rPr>
                <w:rFonts w:eastAsia="Calibri"/>
                <w:lang w:eastAsia="en-GB"/>
              </w:rPr>
            </w:pPr>
          </w:p>
          <w:p w:rsidRPr="00455A75" w:rsidR="00681493" w:rsidP="00681493" w:rsidRDefault="00681493" w14:paraId="59CE24E6" w14:textId="77777777">
            <w:pPr>
              <w:spacing w:before="144" w:beforeLines="60" w:after="144" w:afterLines="60"/>
              <w:contextualSpacing/>
              <w:rPr>
                <w:rFonts w:eastAsia="Calibri"/>
                <w:lang w:eastAsia="en-GB"/>
              </w:rPr>
            </w:pPr>
            <w:r w:rsidRPr="00455A75">
              <w:rPr>
                <w:rFonts w:eastAsia="Calibri"/>
                <w:lang w:eastAsia="en-GB"/>
              </w:rPr>
              <w:t>Participant’s group by VO</w:t>
            </w:r>
            <w:r w:rsidRPr="00455A75">
              <w:rPr>
                <w:rFonts w:eastAsia="Calibri"/>
                <w:vertAlign w:val="subscript"/>
                <w:lang w:eastAsia="en-GB"/>
              </w:rPr>
              <w:t>2max</w:t>
            </w:r>
            <w:r w:rsidRPr="00455A75">
              <w:rPr>
                <w:rFonts w:eastAsia="Calibri"/>
                <w:lang w:eastAsia="en-GB"/>
              </w:rPr>
              <w:t xml:space="preserve">:  </w:t>
            </w:r>
          </w:p>
          <w:p w:rsidRPr="00455A75" w:rsidR="00681493" w:rsidP="00681493" w:rsidRDefault="00681493" w14:paraId="546A78F3" w14:textId="77777777">
            <w:pPr>
              <w:pStyle w:val="Prrafodelista"/>
              <w:numPr>
                <w:ilvl w:val="0"/>
                <w:numId w:val="12"/>
              </w:numPr>
              <w:spacing w:before="144" w:beforeLines="60" w:after="144" w:afterLines="60" w:line="240" w:lineRule="auto"/>
              <w:rPr>
                <w:rFonts w:ascii="Times New Roman" w:hAnsi="Times New Roman" w:cs="Times New Roman"/>
              </w:rPr>
            </w:pPr>
            <w:r w:rsidRPr="00455A75">
              <w:rPr>
                <w:rFonts w:ascii="Times New Roman" w:hAnsi="Times New Roman" w:eastAsia="Calibri" w:cs="Times New Roman"/>
                <w:lang w:eastAsia="en-GB"/>
              </w:rPr>
              <w:t>Low (33±4.8 VO</w:t>
            </w:r>
            <w:r w:rsidRPr="00455A75">
              <w:rPr>
                <w:rFonts w:ascii="Times New Roman" w:hAnsi="Times New Roman" w:eastAsia="Calibri" w:cs="Times New Roman"/>
                <w:vertAlign w:val="subscript"/>
                <w:lang w:eastAsia="en-GB"/>
              </w:rPr>
              <w:t>2max</w:t>
            </w:r>
            <w:r w:rsidRPr="00455A75">
              <w:rPr>
                <w:rFonts w:ascii="Times New Roman" w:hAnsi="Times New Roman" w:eastAsia="Calibri" w:cs="Times New Roman"/>
                <w:lang w:eastAsia="en-GB"/>
              </w:rPr>
              <w:t>): N=14 (25.5±3.3 years and 25.5±3.9kg/m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13AEE39D" w14:textId="77777777">
            <w:pPr>
              <w:pStyle w:val="Prrafodelista"/>
              <w:numPr>
                <w:ilvl w:val="0"/>
                <w:numId w:val="11"/>
              </w:numPr>
              <w:spacing w:before="144" w:beforeLines="60" w:after="144" w:afterLines="60" w:line="240" w:lineRule="auto"/>
              <w:rPr>
                <w:rFonts w:ascii="Times New Roman" w:hAnsi="Times New Roman" w:cs="Times New Roman"/>
              </w:rPr>
            </w:pPr>
            <w:r w:rsidRPr="00455A75">
              <w:rPr>
                <w:rFonts w:ascii="Times New Roman" w:hAnsi="Times New Roman" w:eastAsia="Calibri" w:cs="Times New Roman"/>
                <w:lang w:eastAsia="en-GB"/>
              </w:rPr>
              <w:t>Moderate (41.9±4.3 VO</w:t>
            </w:r>
            <w:r w:rsidRPr="00455A75">
              <w:rPr>
                <w:rFonts w:ascii="Times New Roman" w:hAnsi="Times New Roman" w:eastAsia="Calibri" w:cs="Times New Roman"/>
                <w:vertAlign w:val="subscript"/>
                <w:lang w:eastAsia="en-GB"/>
              </w:rPr>
              <w:t>2max</w:t>
            </w:r>
            <w:r w:rsidRPr="00455A75">
              <w:rPr>
                <w:rFonts w:ascii="Times New Roman" w:hAnsi="Times New Roman" w:eastAsia="Calibri" w:cs="Times New Roman"/>
                <w:lang w:eastAsia="en-GB"/>
              </w:rPr>
              <w:t>): N=12 (24.3±3.7 years and 23.5±0.5kg/m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375EAFA3" w14:textId="77777777">
            <w:pPr>
              <w:pStyle w:val="Prrafodelista"/>
              <w:numPr>
                <w:ilvl w:val="0"/>
                <w:numId w:val="11"/>
              </w:numPr>
              <w:spacing w:before="144" w:beforeLines="60" w:after="144" w:afterLines="60" w:line="240" w:lineRule="auto"/>
              <w:rPr>
                <w:rFonts w:ascii="Times New Roman" w:hAnsi="Times New Roman" w:cs="Times New Roman"/>
              </w:rPr>
            </w:pPr>
            <w:r w:rsidRPr="00455A75">
              <w:rPr>
                <w:rFonts w:ascii="Times New Roman" w:hAnsi="Times New Roman" w:eastAsia="Calibri" w:cs="Times New Roman"/>
                <w:lang w:eastAsia="en-GB"/>
              </w:rPr>
              <w:t>High (54.8±5.6 VO</w:t>
            </w:r>
            <w:r w:rsidRPr="00455A75">
              <w:rPr>
                <w:rFonts w:ascii="Times New Roman" w:hAnsi="Times New Roman" w:eastAsia="Calibri" w:cs="Times New Roman"/>
                <w:vertAlign w:val="subscript"/>
                <w:lang w:eastAsia="en-GB"/>
              </w:rPr>
              <w:t>2max</w:t>
            </w:r>
            <w:r w:rsidRPr="00455A75">
              <w:rPr>
                <w:rFonts w:ascii="Times New Roman" w:hAnsi="Times New Roman" w:eastAsia="Calibri" w:cs="Times New Roman"/>
                <w:lang w:eastAsia="en-GB"/>
              </w:rPr>
              <w:t>): N=13 (26.2±5.5 years and 22.8±5.5kg/m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tc>
        <w:tc>
          <w:tcPr>
            <w:tcW w:w="1482" w:type="dxa"/>
            <w:tcBorders>
              <w:top w:val="nil"/>
              <w:left w:val="nil"/>
              <w:bottom w:val="single" w:color="auto" w:sz="4" w:space="0"/>
              <w:right w:val="nil"/>
            </w:tcBorders>
          </w:tcPr>
          <w:p w:rsidRPr="00455A75" w:rsidR="00681493" w:rsidP="00681493" w:rsidRDefault="00681493" w14:paraId="4684E37F" w14:textId="77777777">
            <w:pPr>
              <w:spacing w:before="144" w:beforeLines="60" w:after="144" w:afterLines="60"/>
              <w:contextualSpacing/>
            </w:pPr>
            <w:r w:rsidRPr="00455A75">
              <w:lastRenderedPageBreak/>
              <w:t xml:space="preserve">Standardized diet: No </w:t>
            </w:r>
          </w:p>
          <w:p w:rsidRPr="00455A75" w:rsidR="00681493" w:rsidP="00681493" w:rsidRDefault="00681493" w14:paraId="73184C76" w14:textId="77777777">
            <w:pPr>
              <w:spacing w:before="144" w:beforeLines="60" w:after="144" w:afterLines="60"/>
              <w:contextualSpacing/>
            </w:pPr>
          </w:p>
          <w:p w:rsidRPr="00455A75" w:rsidR="00681493" w:rsidP="00681493" w:rsidRDefault="00681493" w14:paraId="063A3618" w14:textId="77777777">
            <w:pPr>
              <w:spacing w:before="144" w:beforeLines="60" w:after="144" w:afterLines="60"/>
              <w:contextualSpacing/>
              <w:rPr>
                <w:rFonts w:eastAsia="Calibri"/>
                <w:lang w:eastAsia="en-GB"/>
              </w:rPr>
            </w:pPr>
            <w:r w:rsidRPr="00455A75">
              <w:t>Adjusted for diet: No</w:t>
            </w:r>
          </w:p>
        </w:tc>
        <w:tc>
          <w:tcPr>
            <w:tcW w:w="1062" w:type="dxa"/>
            <w:tcBorders>
              <w:top w:val="nil"/>
              <w:left w:val="nil"/>
              <w:bottom w:val="single" w:color="auto" w:sz="4" w:space="0"/>
              <w:right w:val="nil"/>
            </w:tcBorders>
          </w:tcPr>
          <w:p w:rsidRPr="00455A75" w:rsidR="00681493" w:rsidP="00681493" w:rsidRDefault="00681493" w14:paraId="0239E780" w14:textId="77777777">
            <w:pPr>
              <w:spacing w:before="144" w:beforeLines="60" w:after="144" w:afterLines="60"/>
              <w:contextualSpacing/>
            </w:pPr>
            <w:r w:rsidRPr="00455A75">
              <w:rPr>
                <w:rFonts w:eastAsia="Calibri"/>
                <w:lang w:eastAsia="en-GB"/>
              </w:rPr>
              <w:t>1 after test</w:t>
            </w:r>
          </w:p>
        </w:tc>
        <w:tc>
          <w:tcPr>
            <w:tcW w:w="1448" w:type="dxa"/>
            <w:tcBorders>
              <w:top w:val="nil"/>
              <w:left w:val="nil"/>
              <w:bottom w:val="single" w:color="auto" w:sz="4" w:space="0"/>
              <w:right w:val="nil"/>
            </w:tcBorders>
          </w:tcPr>
          <w:p w:rsidRPr="00455A75" w:rsidR="00681493" w:rsidP="00681493" w:rsidRDefault="00681493" w14:paraId="0272D67F" w14:textId="77777777">
            <w:pPr>
              <w:spacing w:before="144" w:beforeLines="60" w:after="144" w:afterLines="60"/>
              <w:contextualSpacing/>
              <w:rPr>
                <w:rFonts w:eastAsia="Calibri"/>
                <w:lang w:eastAsia="en-GB"/>
              </w:rPr>
            </w:pPr>
            <w:r w:rsidRPr="00455A75">
              <w:t xml:space="preserve">qPCR: </w:t>
            </w:r>
            <w:proofErr w:type="spellStart"/>
            <w:r w:rsidRPr="00455A75">
              <w:t>MySeq</w:t>
            </w:r>
            <w:proofErr w:type="spellEnd"/>
            <w:r w:rsidRPr="00455A75">
              <w:t xml:space="preserve"> </w:t>
            </w:r>
            <w:r w:rsidRPr="00455A75">
              <w:rPr>
                <w:rFonts w:eastAsia="Calibri"/>
                <w:lang w:eastAsia="en-GB"/>
              </w:rPr>
              <w:t xml:space="preserve">Illumina  </w:t>
            </w:r>
          </w:p>
          <w:p w:rsidRPr="00455A75" w:rsidR="00681493" w:rsidP="00681493" w:rsidRDefault="00681493" w14:paraId="0A9B7413" w14:textId="77777777">
            <w:pPr>
              <w:spacing w:before="144" w:beforeLines="60" w:after="144" w:afterLines="60"/>
              <w:contextualSpacing/>
              <w:rPr>
                <w:rFonts w:eastAsia="Calibri"/>
                <w:lang w:eastAsia="en-GB"/>
              </w:rPr>
            </w:pPr>
            <w:r w:rsidRPr="00455A75">
              <w:rPr>
                <w:rFonts w:eastAsia="Calibri"/>
                <w:lang w:eastAsia="en-GB"/>
              </w:rPr>
              <w:t xml:space="preserve">Software: QIIME </w:t>
            </w:r>
          </w:p>
          <w:p w:rsidRPr="00455A75" w:rsidR="00681493" w:rsidP="00681493" w:rsidRDefault="00681493" w14:paraId="08C0AE47" w14:textId="77777777">
            <w:pPr>
              <w:spacing w:before="144" w:beforeLines="60" w:after="144" w:afterLines="60"/>
              <w:contextualSpacing/>
              <w:rPr>
                <w:rFonts w:eastAsia="Calibri"/>
                <w:lang w:eastAsia="en-GB"/>
              </w:rPr>
            </w:pPr>
            <w:r w:rsidRPr="00455A75">
              <w:t xml:space="preserve">Reference DB: </w:t>
            </w:r>
            <w:proofErr w:type="spellStart"/>
            <w:r w:rsidRPr="00455A75">
              <w:rPr>
                <w:rFonts w:eastAsia="Calibri"/>
                <w:lang w:eastAsia="en-GB"/>
              </w:rPr>
              <w:t>Greengenes</w:t>
            </w:r>
            <w:proofErr w:type="spellEnd"/>
            <w:r w:rsidRPr="00455A75">
              <w:rPr>
                <w:rFonts w:eastAsia="Calibri"/>
                <w:lang w:eastAsia="en-GB"/>
              </w:rPr>
              <w:t xml:space="preserve"> </w:t>
            </w:r>
          </w:p>
          <w:p w:rsidRPr="00455A75" w:rsidR="00681493" w:rsidP="00681493" w:rsidRDefault="00681493" w14:paraId="62EAA08B" w14:textId="77777777">
            <w:pPr>
              <w:spacing w:before="144" w:beforeLines="60" w:after="144" w:afterLines="60"/>
              <w:contextualSpacing/>
            </w:pPr>
            <w:r w:rsidRPr="00455A75">
              <w:lastRenderedPageBreak/>
              <w:t>Outcome: OTU</w:t>
            </w:r>
          </w:p>
          <w:p w:rsidRPr="00455A75" w:rsidR="00681493" w:rsidP="00681493" w:rsidRDefault="00681493" w14:paraId="5E1DD878" w14:textId="77777777">
            <w:pPr>
              <w:spacing w:before="144" w:beforeLines="60" w:after="144" w:afterLines="60"/>
              <w:contextualSpacing/>
            </w:pPr>
          </w:p>
        </w:tc>
        <w:tc>
          <w:tcPr>
            <w:tcW w:w="5252" w:type="dxa"/>
            <w:tcBorders>
              <w:top w:val="nil"/>
              <w:left w:val="nil"/>
              <w:bottom w:val="single" w:color="auto" w:sz="4" w:space="0"/>
              <w:right w:val="nil"/>
            </w:tcBorders>
          </w:tcPr>
          <w:p w:rsidRPr="00455A75" w:rsidR="00681493" w:rsidP="00681493" w:rsidRDefault="00681493" w14:paraId="3A065168" w14:textId="77777777">
            <w:pPr>
              <w:spacing w:before="144" w:beforeLines="60" w:after="144" w:afterLines="60"/>
              <w:contextualSpacing/>
              <w:rPr>
                <w:rFonts w:eastAsia="Calibri"/>
                <w:lang w:eastAsia="en-GB"/>
              </w:rPr>
            </w:pPr>
            <w:r w:rsidRPr="00455A75">
              <w:rPr>
                <w:rFonts w:eastAsia="Calibri"/>
                <w:lang w:eastAsia="en-GB"/>
              </w:rPr>
              <w:lastRenderedPageBreak/>
              <w:t xml:space="preserve">Statistical analysis: Spearman correlations </w:t>
            </w:r>
          </w:p>
          <w:p w:rsidRPr="00455A75" w:rsidR="00681493" w:rsidP="00681493" w:rsidRDefault="00681493" w14:paraId="1F6DC625" w14:textId="77777777">
            <w:pPr>
              <w:spacing w:before="144" w:beforeLines="60" w:after="144" w:afterLines="60"/>
              <w:contextualSpacing/>
              <w:rPr>
                <w:rFonts w:eastAsia="Calibri"/>
                <w:lang w:eastAsia="en-GB"/>
              </w:rPr>
            </w:pPr>
            <w:r w:rsidRPr="00455A75">
              <w:rPr>
                <w:rFonts w:eastAsia="Calibri"/>
                <w:lang w:eastAsia="en-GB"/>
              </w:rPr>
              <w:t>α-diversity positively correlated with VO</w:t>
            </w:r>
            <w:r w:rsidRPr="00455A75">
              <w:rPr>
                <w:rFonts w:eastAsia="Calibri"/>
                <w:vertAlign w:val="subscript"/>
                <w:lang w:eastAsia="en-GB"/>
              </w:rPr>
              <w:t xml:space="preserve">2max </w:t>
            </w:r>
            <w:r w:rsidRPr="00455A75">
              <w:rPr>
                <w:rFonts w:eastAsia="Calibri"/>
                <w:lang w:eastAsia="en-GB"/>
              </w:rPr>
              <w:t>(R</w:t>
            </w:r>
            <w:r w:rsidRPr="00455A75">
              <w:rPr>
                <w:rFonts w:eastAsia="Calibri"/>
                <w:vertAlign w:val="superscript"/>
                <w:lang w:eastAsia="en-GB"/>
              </w:rPr>
              <w:t>2</w:t>
            </w:r>
            <w:r w:rsidRPr="00455A75">
              <w:rPr>
                <w:rFonts w:eastAsia="Calibri"/>
                <w:lang w:eastAsia="en-GB"/>
              </w:rPr>
              <w:t>=0.204)</w:t>
            </w:r>
          </w:p>
          <w:p w:rsidRPr="00455A75" w:rsidR="00681493" w:rsidP="00681493" w:rsidRDefault="00681493" w14:paraId="5157383B" w14:textId="77777777">
            <w:pPr>
              <w:spacing w:before="144" w:beforeLines="60" w:after="144" w:afterLines="60"/>
              <w:contextualSpacing/>
              <w:rPr>
                <w:rFonts w:eastAsia="Calibri"/>
                <w:lang w:eastAsia="en-GB"/>
              </w:rPr>
            </w:pPr>
            <w:proofErr w:type="gramStart"/>
            <w:r w:rsidRPr="00455A75">
              <w:rPr>
                <w:rFonts w:eastAsia="Calibri"/>
                <w:lang w:eastAsia="en-GB"/>
              </w:rPr>
              <w:t>β-diversity</w:t>
            </w:r>
            <w:proofErr w:type="gramEnd"/>
            <w:r w:rsidRPr="00455A75">
              <w:rPr>
                <w:rFonts w:eastAsia="Calibri"/>
                <w:lang w:eastAsia="en-GB"/>
              </w:rPr>
              <w:t>:</w:t>
            </w:r>
            <w:r w:rsidRPr="00455A75">
              <w:t xml:space="preserve"> </w:t>
            </w:r>
            <w:r w:rsidRPr="00455A75">
              <w:rPr>
                <w:rFonts w:eastAsia="Calibri"/>
                <w:lang w:eastAsia="en-GB"/>
              </w:rPr>
              <w:t xml:space="preserve">There were no </w:t>
            </w:r>
            <w:r w:rsidRPr="00455A75">
              <w:rPr>
                <w:rFonts w:eastAsia="Calibri"/>
                <w:color w:val="000000" w:themeColor="text1"/>
                <w:lang w:eastAsia="en-GB"/>
              </w:rPr>
              <w:t xml:space="preserve">distinctly different </w:t>
            </w:r>
            <w:r w:rsidRPr="00455A75">
              <w:rPr>
                <w:rFonts w:eastAsia="Calibri"/>
                <w:lang w:eastAsia="en-GB"/>
              </w:rPr>
              <w:t xml:space="preserve">clusters according to cardiorespiratory fitness.  </w:t>
            </w:r>
          </w:p>
          <w:p w:rsidRPr="00455A75" w:rsidR="00681493" w:rsidP="00681493" w:rsidRDefault="00681493" w14:paraId="1A151184" w14:textId="77777777">
            <w:pPr>
              <w:spacing w:before="144" w:beforeLines="60" w:after="144" w:afterLines="60"/>
              <w:contextualSpacing/>
              <w:rPr>
                <w:rFonts w:eastAsia="Calibri"/>
                <w:lang w:eastAsia="en-GB"/>
              </w:rPr>
            </w:pPr>
            <w:r w:rsidRPr="00455A75">
              <w:rPr>
                <w:rFonts w:eastAsia="Calibri"/>
                <w:lang w:eastAsia="en-GB"/>
              </w:rPr>
              <w:t>Correlation with VO</w:t>
            </w:r>
            <w:r w:rsidRPr="00455A75">
              <w:rPr>
                <w:rFonts w:eastAsia="Calibri"/>
                <w:vertAlign w:val="subscript"/>
                <w:lang w:eastAsia="en-GB"/>
              </w:rPr>
              <w:t>2max</w:t>
            </w:r>
            <w:r w:rsidRPr="00455A75">
              <w:rPr>
                <w:rFonts w:eastAsia="Calibri"/>
                <w:lang w:eastAsia="en-GB"/>
              </w:rPr>
              <w:t>:</w:t>
            </w:r>
          </w:p>
          <w:p w:rsidRPr="00455A75" w:rsidR="00681493" w:rsidP="00681493" w:rsidRDefault="00681493" w14:paraId="354DC5E0" w14:textId="77777777">
            <w:pPr>
              <w:pStyle w:val="Prrafodelista"/>
              <w:numPr>
                <w:ilvl w:val="0"/>
                <w:numId w:val="6"/>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Order: </w:t>
            </w:r>
          </w:p>
          <w:p w:rsidRPr="00455A75" w:rsidR="00681493" w:rsidP="00681493" w:rsidRDefault="00681493" w14:paraId="03AD02D0" w14:textId="77777777">
            <w:pPr>
              <w:pStyle w:val="Prrafodelista"/>
              <w:numPr>
                <w:ilvl w:val="1"/>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7368F1">
              <w:rPr>
                <w:rFonts w:ascii="Times New Roman" w:hAnsi="Times New Roman" w:eastAsia="Calibri" w:cs="Times New Roman"/>
                <w:i/>
                <w:lang w:eastAsia="en-GB"/>
              </w:rPr>
              <w:t>Clostridiales</w:t>
            </w:r>
            <w:proofErr w:type="spellEnd"/>
            <w:r w:rsidRPr="00455A75">
              <w:rPr>
                <w:rFonts w:ascii="Times New Roman" w:hAnsi="Times New Roman" w:eastAsia="Calibri" w:cs="Times New Roman"/>
                <w:lang w:eastAsia="en-GB"/>
              </w:rPr>
              <w:t xml:space="preserve"> </w:t>
            </w:r>
          </w:p>
          <w:p w:rsidRPr="00455A75" w:rsidR="00681493" w:rsidP="00681493" w:rsidRDefault="00681493" w14:paraId="1F519046" w14:textId="77777777">
            <w:pPr>
              <w:pStyle w:val="Prrafodelista"/>
              <w:numPr>
                <w:ilvl w:val="0"/>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lastRenderedPageBreak/>
              <w:t xml:space="preserve">Families: </w:t>
            </w:r>
          </w:p>
          <w:p w:rsidRPr="00455A75" w:rsidR="00681493" w:rsidP="00681493" w:rsidRDefault="00681493" w14:paraId="17189570" w14:textId="77777777">
            <w:pPr>
              <w:pStyle w:val="Prrafodelista"/>
              <w:numPr>
                <w:ilvl w:val="1"/>
                <w:numId w:val="1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7368F1">
              <w:rPr>
                <w:rFonts w:ascii="Times New Roman" w:hAnsi="Times New Roman" w:eastAsia="Calibri" w:cs="Times New Roman"/>
                <w:i/>
                <w:lang w:eastAsia="en-GB"/>
              </w:rPr>
              <w:t>Lachnospiraceae</w:t>
            </w:r>
            <w:proofErr w:type="spellEnd"/>
            <w:r w:rsidRPr="00455A75">
              <w:rPr>
                <w:rFonts w:ascii="Times New Roman" w:hAnsi="Times New Roman" w:eastAsia="Calibri" w:cs="Times New Roman"/>
                <w:lang w:eastAsia="en-GB"/>
              </w:rPr>
              <w:t xml:space="preserve"> </w:t>
            </w:r>
          </w:p>
          <w:p w:rsidRPr="00455A75" w:rsidR="00681493" w:rsidP="00681493" w:rsidRDefault="00681493" w14:paraId="2529B285" w14:textId="77777777">
            <w:pPr>
              <w:pStyle w:val="Prrafodelista"/>
              <w:numPr>
                <w:ilvl w:val="1"/>
                <w:numId w:val="1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2C7CAA">
              <w:rPr>
                <w:rFonts w:ascii="Times New Roman" w:hAnsi="Times New Roman" w:eastAsia="Calibri" w:cs="Times New Roman"/>
                <w:i/>
                <w:lang w:eastAsia="en-GB"/>
              </w:rPr>
              <w:t>Erysipelotrichaceae</w:t>
            </w:r>
            <w:proofErr w:type="spellEnd"/>
            <w:r w:rsidRPr="00455A75">
              <w:rPr>
                <w:rFonts w:ascii="Times New Roman" w:hAnsi="Times New Roman" w:eastAsia="Calibri" w:cs="Times New Roman"/>
                <w:lang w:eastAsia="en-GB"/>
              </w:rPr>
              <w:t xml:space="preserve"> </w:t>
            </w:r>
          </w:p>
          <w:p w:rsidRPr="00455A75" w:rsidR="00681493" w:rsidP="00681493" w:rsidRDefault="00681493" w14:paraId="4BB26112" w14:textId="77777777">
            <w:pPr>
              <w:pStyle w:val="Prrafodelista"/>
              <w:numPr>
                <w:ilvl w:val="0"/>
                <w:numId w:val="1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Genera: </w:t>
            </w:r>
          </w:p>
          <w:p w:rsidRPr="00455A75" w:rsidR="00681493" w:rsidP="00681493" w:rsidRDefault="00681493" w14:paraId="1542D7B1" w14:textId="77777777">
            <w:pPr>
              <w:pStyle w:val="Prrafodelista"/>
              <w:numPr>
                <w:ilvl w:val="1"/>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Coprococcus</w:t>
            </w:r>
            <w:proofErr w:type="spellEnd"/>
            <w:r w:rsidRPr="00455A75">
              <w:rPr>
                <w:rFonts w:ascii="Times New Roman" w:hAnsi="Times New Roman" w:eastAsia="Calibri" w:cs="Times New Roman"/>
                <w:lang w:eastAsia="en-GB"/>
              </w:rPr>
              <w:t xml:space="preserve"> </w:t>
            </w:r>
          </w:p>
          <w:p w:rsidRPr="00455A75" w:rsidR="00681493" w:rsidP="00681493" w:rsidRDefault="00681493" w14:paraId="40596736" w14:textId="77777777">
            <w:pPr>
              <w:pStyle w:val="Prrafodelista"/>
              <w:numPr>
                <w:ilvl w:val="1"/>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Roseburia</w:t>
            </w:r>
            <w:proofErr w:type="spellEnd"/>
            <w:r w:rsidRPr="00455A75">
              <w:rPr>
                <w:rFonts w:ascii="Times New Roman" w:hAnsi="Times New Roman" w:eastAsia="Calibri" w:cs="Times New Roman"/>
                <w:lang w:eastAsia="en-GB"/>
              </w:rPr>
              <w:t xml:space="preserve"> </w:t>
            </w:r>
          </w:p>
          <w:p w:rsidRPr="00455A75" w:rsidR="00681493" w:rsidP="00681493" w:rsidRDefault="00681493" w14:paraId="40D94827" w14:textId="77777777">
            <w:pPr>
              <w:pStyle w:val="Prrafodelista"/>
              <w:numPr>
                <w:ilvl w:val="1"/>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Adlercreutzia</w:t>
            </w:r>
            <w:proofErr w:type="spellEnd"/>
            <w:r w:rsidRPr="00455A75">
              <w:rPr>
                <w:rFonts w:ascii="Times New Roman" w:hAnsi="Times New Roman" w:eastAsia="Calibri" w:cs="Times New Roman"/>
                <w:lang w:eastAsia="en-GB"/>
              </w:rPr>
              <w:t xml:space="preserve"> </w:t>
            </w:r>
          </w:p>
          <w:p w:rsidRPr="00455A75" w:rsidR="00681493" w:rsidP="00681493" w:rsidRDefault="00681493" w14:paraId="6AB1C939" w14:textId="77777777">
            <w:pPr>
              <w:pStyle w:val="Prrafodelista"/>
              <w:numPr>
                <w:ilvl w:val="0"/>
                <w:numId w:val="1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SCFAs:</w:t>
            </w:r>
          </w:p>
          <w:p w:rsidRPr="00455A75" w:rsidR="00681493" w:rsidP="00681493" w:rsidRDefault="00681493" w14:paraId="41816D5E" w14:textId="77777777">
            <w:pPr>
              <w:pStyle w:val="Prrafodelista"/>
              <w:numPr>
                <w:ilvl w:val="1"/>
                <w:numId w:val="16"/>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r w:rsidRPr="002C7CAA">
              <w:rPr>
                <w:rFonts w:ascii="Times New Roman" w:hAnsi="Times New Roman" w:eastAsia="Calibri" w:cs="Times New Roman"/>
                <w:lang w:eastAsia="en-GB"/>
              </w:rPr>
              <w:t>Butyrate</w:t>
            </w:r>
            <w:r w:rsidRPr="00455A75">
              <w:rPr>
                <w:rFonts w:ascii="Times New Roman" w:hAnsi="Times New Roman" w:eastAsia="Calibri" w:cs="Times New Roman"/>
                <w:lang w:eastAsia="en-GB"/>
              </w:rPr>
              <w:t xml:space="preserve">  </w:t>
            </w:r>
          </w:p>
          <w:p w:rsidRPr="00455A75" w:rsidR="00681493" w:rsidP="00681493" w:rsidRDefault="00681493" w14:paraId="1D4D8AF0" w14:textId="77777777">
            <w:pPr>
              <w:pStyle w:val="Prrafodelista"/>
              <w:numPr>
                <w:ilvl w:val="1"/>
                <w:numId w:val="16"/>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Propionate</w:t>
            </w:r>
          </w:p>
          <w:p w:rsidRPr="00455A75" w:rsidR="00681493" w:rsidP="00681493" w:rsidRDefault="00681493" w14:paraId="42D7E038" w14:textId="77777777">
            <w:pPr>
              <w:pStyle w:val="Prrafodelista"/>
              <w:numPr>
                <w:ilvl w:val="1"/>
                <w:numId w:val="16"/>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Acetate </w:t>
            </w:r>
          </w:p>
        </w:tc>
      </w:tr>
      <w:tr w:rsidRPr="00455A75" w:rsidR="00681493" w:rsidTr="00681493" w14:paraId="1C3912A1" w14:textId="77777777">
        <w:trPr>
          <w:jc w:val="center"/>
        </w:trPr>
        <w:tc>
          <w:tcPr>
            <w:tcW w:w="1347" w:type="dxa"/>
            <w:tcBorders>
              <w:top w:val="nil"/>
              <w:left w:val="nil"/>
              <w:bottom w:val="single" w:color="auto" w:sz="4" w:space="0"/>
              <w:right w:val="nil"/>
            </w:tcBorders>
          </w:tcPr>
          <w:p w:rsidRPr="00455A75" w:rsidR="00681493" w:rsidP="00681493" w:rsidRDefault="00681493" w14:paraId="15FDB5D1" w14:textId="77777777">
            <w:pPr>
              <w:spacing w:before="144" w:beforeLines="60" w:after="144" w:afterLines="60"/>
              <w:contextualSpacing/>
              <w:rPr>
                <w:rFonts w:eastAsia="Calibri"/>
                <w:lang w:eastAsia="en-GB"/>
              </w:rPr>
            </w:pPr>
            <w:r>
              <w:rPr>
                <w:rFonts w:eastAsia="Calibri"/>
                <w:lang w:eastAsia="en-GB"/>
              </w:rPr>
              <w:lastRenderedPageBreak/>
              <w:t>Yang et al., 2017</w:t>
            </w:r>
            <w:r w:rsidRPr="00455A75">
              <w:rPr>
                <w:rFonts w:eastAsia="Calibri"/>
                <w:lang w:eastAsia="en-GB"/>
              </w:rPr>
              <w:fldChar w:fldCharType="begin" w:fldLock="1"/>
            </w:r>
            <w:r>
              <w:rPr>
                <w:rFonts w:eastAsia="Calibri"/>
                <w:lang w:eastAsia="en-GB"/>
              </w:rPr>
              <w:instrText>ADDIN CSL_CITATION {"citationItems":[{"id":"ITEM-1","itemData":{"DOI":"10.3390/nu9080792","ISBN":"8602154747781","ISSN":"2072-6643","PMID":"28757576","abstract":"The aim of this study was to investigate the association between cardiorespiratory fitness and gut microbiota composition in premenopausal women. The participants consisted of 71 premenopausal Finnish women (aged 19-49 years). Gut microbiota were analyzed using flow cytometry, 16S rRNA gene hybridization and DNA-staining. Maximum oxygen uptake (VO2max) was assessed by respiratory gas analyzer and body composition by Bioimpdance. We found that participants with low VO2max had lower Bacteroides, but higher Eubacterium rectale-Clostridium coccoides than the high VO2max group (p &lt; 0.05 for all). VO2max was inversely associated with EreC (r = -0.309, p = 0.01) but not with other bacteria. VO2max also negatively correlated with fat% (r = -0.755, p &lt; 0.001), triglycerides (r = -0.274, p = 0.021) and leptin (r = -0.574, p &lt; 0.001). By contrast, EreC was positively associated with fat% (r = 0.382, p = 0.002), dietary fat intake (r = 0.258, p = 0.034), triglycerides (r = 0.390, p = 0.002) and leptin (r = 0.424, p = 0.001), but negatively with carbohydrate intake (r = -0.252, p = 0.034) and HDL (r = -0.26, p = 0.028). After adjusting for age and dietary intake, all the significant associations remained. However, after adjusting for fat%, the associations between VO2max and EreC disappeared. Our results suggest that cardiorespiratory fitness is associated with gut microbiota composition, independent of age and carbohydrate or fat intake. The association between VO2max and EreC, however, appears to be mediated by body fatness.","author":[{"dropping-particle":"","family":"Yang","given":"Yifan","non-dropping-particle":"","parse-names":false,"suffix":""},{"dropping-particle":"","family":"Shi","given":"Yi","non-dropping-particle":"","parse-names":false,"suffix":""},{"dropping-particle":"","family":"Wiklund","given":"Petri","non-dropping-particle":"","parse-names":false,"suffix":""},{"dropping-particle":"","family":"Tan","given":"Xiao","non-dropping-particle":"","parse-names":false,"suffix":""},{"dropping-particle":"","family":"Wu","given":"Na","non-dropping-particle":"","parse-names":false,"suffix":""},{"dropping-particle":"","family":"Zhang","given":"Xiaobo","non-dropping-particle":"","parse-names":false,"suffix":""},{"dropping-particle":"","family":"Tikkanen","given":"Olli","non-dropping-particle":"","parse-names":false,"suffix":""},{"dropping-particle":"","family":"Zhang","given":"Chenhong","non-dropping-particle":"","parse-names":false,"suffix":""},{"dropping-particle":"","family":"Munukka","given":"Eveliina","non-dropping-particle":"","parse-names":false,"suffix":""},{"dropping-particle":"","family":"Cheng","given":"Sulin","non-dropping-particle":"","parse-names":false,"suffix":""}],"container-title":"Nutrients","id":"ITEM-1","issue":"8","issued":{"date-parts":[["2017","7","25"]]},"page":"792","title":"The Association between Cardiorespiratory Fitness and Gut Microbiota Composition in Premenopausal Women.","type":"article-journal","volume":"9"},"uris":["http://www.mendeley.com/documents/?uuid=e9181866-5025-4f9c-9adc-170d70942f99"]}],"mendeley":{"formattedCitation":"(36)","plainTextFormattedCitation":"(36)","previouslyFormattedCitation":"(36)"},"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(36)</w:t>
            </w:r>
            <w:r w:rsidRPr="00455A75">
              <w:rPr>
                <w:rFonts w:eastAsia="Calibri"/>
                <w:lang w:eastAsia="en-GB"/>
              </w:rPr>
              <w:fldChar w:fldCharType="end"/>
            </w:r>
          </w:p>
        </w:tc>
        <w:tc>
          <w:tcPr>
            <w:tcW w:w="2157" w:type="dxa"/>
            <w:tcBorders>
              <w:top w:val="nil"/>
              <w:left w:val="nil"/>
              <w:bottom w:val="single" w:color="auto" w:sz="4" w:space="0"/>
              <w:right w:val="nil"/>
            </w:tcBorders>
          </w:tcPr>
          <w:p w:rsidRPr="00455A75" w:rsidR="00681493" w:rsidP="00681493" w:rsidRDefault="00681493" w14:paraId="4134CFFE" w14:textId="77777777">
            <w:pPr>
              <w:spacing w:before="144" w:beforeLines="60" w:after="144" w:afterLines="60"/>
              <w:contextualSpacing/>
              <w:rPr>
                <w:rFonts w:eastAsia="Calibri"/>
                <w:lang w:eastAsia="en-GB"/>
              </w:rPr>
            </w:pPr>
            <w:r w:rsidRPr="00455A75">
              <w:rPr>
                <w:rFonts w:eastAsia="Calibri"/>
                <w:lang w:eastAsia="en-GB"/>
              </w:rPr>
              <w:t>N=71 Females, premenopausal</w:t>
            </w:r>
          </w:p>
          <w:p w:rsidRPr="00455A75" w:rsidR="00681493" w:rsidP="00681493" w:rsidRDefault="00681493" w14:paraId="221C1E8A" w14:textId="77777777">
            <w:pPr>
              <w:spacing w:before="144" w:beforeLines="60" w:after="144" w:afterLines="60"/>
              <w:contextualSpacing/>
              <w:rPr>
                <w:rFonts w:eastAsia="Calibri"/>
                <w:lang w:eastAsia="en-GB"/>
              </w:rPr>
            </w:pPr>
          </w:p>
          <w:p w:rsidRPr="00455A75" w:rsidR="00681493" w:rsidP="00681493" w:rsidRDefault="00681493" w14:paraId="2BCC50C0" w14:textId="77777777">
            <w:pPr>
              <w:spacing w:before="144" w:beforeLines="60" w:after="144" w:afterLines="60"/>
              <w:contextualSpacing/>
              <w:rPr>
                <w:rFonts w:eastAsia="Calibri"/>
                <w:lang w:eastAsia="en-GB"/>
              </w:rPr>
            </w:pPr>
          </w:p>
        </w:tc>
        <w:tc>
          <w:tcPr>
            <w:tcW w:w="3233" w:type="dxa"/>
            <w:tcBorders>
              <w:top w:val="nil"/>
              <w:left w:val="nil"/>
              <w:bottom w:val="single" w:color="auto" w:sz="4" w:space="0"/>
              <w:right w:val="nil"/>
            </w:tcBorders>
          </w:tcPr>
          <w:p w:rsidRPr="00455A75" w:rsidR="00681493" w:rsidP="00681493" w:rsidRDefault="00681493" w14:paraId="5842AD91" w14:textId="77777777">
            <w:pPr>
              <w:spacing w:before="144" w:beforeLines="60" w:after="144" w:afterLines="60"/>
              <w:contextualSpacing/>
              <w:rPr>
                <w:rFonts w:eastAsia="Calibri"/>
                <w:lang w:eastAsia="en-GB"/>
              </w:rPr>
            </w:pPr>
            <w:r w:rsidRPr="00455A75">
              <w:rPr>
                <w:rFonts w:eastAsia="Calibri"/>
                <w:lang w:eastAsia="en-GB"/>
              </w:rPr>
              <w:t>Assessment of cardiorespiratory fitness  (VO</w:t>
            </w:r>
            <w:r w:rsidRPr="00455A75">
              <w:rPr>
                <w:rFonts w:eastAsia="Calibri"/>
                <w:vertAlign w:val="subscript"/>
                <w:lang w:eastAsia="en-GB"/>
              </w:rPr>
              <w:t>2max</w:t>
            </w:r>
            <w:r w:rsidRPr="00455A75">
              <w:rPr>
                <w:rFonts w:eastAsia="Calibri"/>
                <w:lang w:eastAsia="en-GB"/>
              </w:rPr>
              <w:t>) by cycle test:</w:t>
            </w:r>
          </w:p>
          <w:p w:rsidRPr="00455A75" w:rsidR="00681493" w:rsidP="00681493" w:rsidRDefault="00681493" w14:paraId="11096906" w14:textId="77777777">
            <w:pPr>
              <w:pStyle w:val="Prrafodelista"/>
              <w:numPr>
                <w:ilvl w:val="0"/>
                <w:numId w:val="23"/>
              </w:numPr>
              <w:spacing w:before="144" w:beforeLines="60" w:after="144" w:afterLines="60" w:line="240" w:lineRule="auto"/>
              <w:rPr>
                <w:rFonts w:ascii="Times New Roman" w:hAnsi="Times New Roman" w:eastAsia="Calibri" w:cs="Times New Roman"/>
                <w:lang w:eastAsia="en-GB"/>
              </w:rPr>
            </w:pPr>
            <w:r>
              <w:rPr>
                <w:rFonts w:ascii="Times New Roman" w:hAnsi="Times New Roman" w:eastAsia="Calibri" w:cs="Times New Roman"/>
                <w:lang w:eastAsia="en-GB"/>
              </w:rPr>
              <w:t>Power</w:t>
            </w:r>
            <w:r w:rsidRPr="00455A75">
              <w:rPr>
                <w:rFonts w:ascii="Times New Roman" w:hAnsi="Times New Roman" w:eastAsia="Calibri" w:cs="Times New Roman"/>
                <w:lang w:eastAsia="en-GB"/>
              </w:rPr>
              <w:t xml:space="preserve">: Increased 25 W each 2 min. </w:t>
            </w:r>
          </w:p>
          <w:p w:rsidRPr="00455A75" w:rsidR="00681493" w:rsidP="00681493" w:rsidRDefault="00681493" w14:paraId="310EBA63" w14:textId="77777777">
            <w:pPr>
              <w:pStyle w:val="Prrafodelista"/>
              <w:numPr>
                <w:ilvl w:val="0"/>
                <w:numId w:val="2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End:  participant reached self-declared exhaustion</w:t>
            </w:r>
          </w:p>
          <w:p w:rsidRPr="00455A75" w:rsidR="00681493" w:rsidP="00681493" w:rsidRDefault="00681493" w14:paraId="1D112C14" w14:textId="77777777">
            <w:pPr>
              <w:spacing w:before="144" w:beforeLines="60" w:after="144" w:afterLines="60"/>
              <w:contextualSpacing/>
              <w:rPr>
                <w:rFonts w:eastAsia="Calibri"/>
                <w:lang w:eastAsia="en-GB"/>
              </w:rPr>
            </w:pPr>
          </w:p>
          <w:p w:rsidRPr="00455A75" w:rsidR="00681493" w:rsidP="00681493" w:rsidRDefault="00681493" w14:paraId="36D4B303" w14:textId="77777777">
            <w:pPr>
              <w:spacing w:before="144" w:beforeLines="60" w:after="144" w:afterLines="60"/>
              <w:contextualSpacing/>
              <w:rPr>
                <w:rFonts w:eastAsia="Calibri"/>
                <w:lang w:eastAsia="en-GB"/>
              </w:rPr>
            </w:pPr>
            <w:r w:rsidRPr="00455A75">
              <w:rPr>
                <w:rFonts w:eastAsia="Calibri"/>
                <w:lang w:eastAsia="en-GB"/>
              </w:rPr>
              <w:t>Participant’s groups by VO</w:t>
            </w:r>
            <w:r w:rsidRPr="00455A75">
              <w:rPr>
                <w:rFonts w:eastAsia="Calibri"/>
                <w:vertAlign w:val="subscript"/>
                <w:lang w:eastAsia="en-GB"/>
              </w:rPr>
              <w:t>2max</w:t>
            </w:r>
            <w:r w:rsidRPr="00455A75">
              <w:rPr>
                <w:rFonts w:eastAsia="Calibri"/>
                <w:lang w:eastAsia="en-GB"/>
              </w:rPr>
              <w:t xml:space="preserve">:  </w:t>
            </w:r>
          </w:p>
          <w:p w:rsidRPr="00455A75" w:rsidR="00681493" w:rsidP="00681493" w:rsidRDefault="00681493" w14:paraId="18E45954" w14:textId="77777777">
            <w:pPr>
              <w:pStyle w:val="Prrafodelista"/>
              <w:numPr>
                <w:ilvl w:val="0"/>
                <w:numId w:val="2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Low: N=24 (40.4 years and 31.7kg/m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0B4399D3" w14:textId="77777777">
            <w:pPr>
              <w:pStyle w:val="Prrafodelista"/>
              <w:numPr>
                <w:ilvl w:val="0"/>
                <w:numId w:val="2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lastRenderedPageBreak/>
              <w:t>Moderate: N=23 (39.7 years and 27.9kg/m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3B70F0DF" w14:textId="77777777">
            <w:pPr>
              <w:pStyle w:val="Prrafodelista"/>
              <w:numPr>
                <w:ilvl w:val="0"/>
                <w:numId w:val="2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High: N=24 (30.6 years and 24.6kg/m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tc>
        <w:tc>
          <w:tcPr>
            <w:tcW w:w="1482" w:type="dxa"/>
            <w:tcBorders>
              <w:top w:val="nil"/>
              <w:left w:val="nil"/>
              <w:bottom w:val="single" w:color="auto" w:sz="4" w:space="0"/>
              <w:right w:val="nil"/>
            </w:tcBorders>
          </w:tcPr>
          <w:p w:rsidRPr="00455A75" w:rsidR="00681493" w:rsidP="00681493" w:rsidRDefault="00681493" w14:paraId="76D55DD8" w14:textId="77777777">
            <w:pPr>
              <w:spacing w:before="144" w:beforeLines="60" w:after="144" w:afterLines="60"/>
              <w:contextualSpacing/>
            </w:pPr>
            <w:r w:rsidRPr="00455A75">
              <w:lastRenderedPageBreak/>
              <w:t>Standardized</w:t>
            </w:r>
            <w:r w:rsidRPr="00455A75">
              <w:rPr>
                <w:rFonts w:eastAsia="Calibri"/>
                <w:lang w:eastAsia="en-GB"/>
              </w:rPr>
              <w:t xml:space="preserve"> diet:  No</w:t>
            </w:r>
            <w:r w:rsidRPr="00455A75">
              <w:t xml:space="preserve"> </w:t>
            </w:r>
          </w:p>
          <w:p w:rsidRPr="00455A75" w:rsidR="00681493" w:rsidP="00681493" w:rsidRDefault="00681493" w14:paraId="727E2891" w14:textId="77777777">
            <w:pPr>
              <w:spacing w:before="144" w:beforeLines="60" w:after="144" w:afterLines="60"/>
              <w:contextualSpacing/>
            </w:pPr>
          </w:p>
          <w:p w:rsidRPr="00455A75" w:rsidR="00681493" w:rsidP="00681493" w:rsidRDefault="00681493" w14:paraId="6CE741AD" w14:textId="77777777">
            <w:pPr>
              <w:spacing w:before="144" w:beforeLines="60" w:after="144" w:afterLines="60"/>
              <w:contextualSpacing/>
              <w:rPr>
                <w:rFonts w:eastAsia="Calibri"/>
                <w:lang w:eastAsia="en-GB"/>
              </w:rPr>
            </w:pPr>
            <w:r w:rsidRPr="00455A75">
              <w:t>Adjusted for diet: Yes (Fat %, energy from HC, protein, fat and alcohol by 3 days food records)</w:t>
            </w:r>
          </w:p>
        </w:tc>
        <w:tc>
          <w:tcPr>
            <w:tcW w:w="1062" w:type="dxa"/>
            <w:tcBorders>
              <w:top w:val="nil"/>
              <w:left w:val="nil"/>
              <w:bottom w:val="single" w:color="auto" w:sz="4" w:space="0"/>
              <w:right w:val="nil"/>
            </w:tcBorders>
          </w:tcPr>
          <w:p w:rsidRPr="00455A75" w:rsidR="00681493" w:rsidP="00681493" w:rsidRDefault="00681493" w14:paraId="7ECF858D" w14:textId="77777777">
            <w:pPr>
              <w:spacing w:before="144" w:beforeLines="60" w:after="144" w:afterLines="60"/>
              <w:contextualSpacing/>
              <w:rPr>
                <w:rFonts w:eastAsia="Calibri"/>
                <w:lang w:eastAsia="en-GB"/>
              </w:rPr>
            </w:pPr>
            <w:r w:rsidRPr="00455A75">
              <w:t>1</w:t>
            </w:r>
          </w:p>
        </w:tc>
        <w:tc>
          <w:tcPr>
            <w:tcW w:w="1448" w:type="dxa"/>
            <w:tcBorders>
              <w:top w:val="nil"/>
              <w:left w:val="nil"/>
              <w:bottom w:val="single" w:color="auto" w:sz="4" w:space="0"/>
              <w:right w:val="nil"/>
            </w:tcBorders>
          </w:tcPr>
          <w:p w:rsidRPr="00455A75" w:rsidR="00681493" w:rsidP="00681493" w:rsidRDefault="00681493" w14:paraId="7A436E3A" w14:textId="77777777">
            <w:pPr>
              <w:spacing w:before="144" w:beforeLines="60" w:after="144" w:afterLines="60"/>
              <w:contextualSpacing/>
            </w:pPr>
            <w:r w:rsidRPr="00455A75">
              <w:rPr>
                <w:rFonts w:eastAsia="Calibri"/>
                <w:lang w:eastAsia="en-GB"/>
              </w:rPr>
              <w:t>Flow cytometry-FISH</w:t>
            </w:r>
          </w:p>
        </w:tc>
        <w:tc>
          <w:tcPr>
            <w:tcW w:w="5252" w:type="dxa"/>
            <w:tcBorders>
              <w:top w:val="nil"/>
              <w:left w:val="nil"/>
              <w:bottom w:val="single" w:color="auto" w:sz="4" w:space="0"/>
              <w:right w:val="nil"/>
            </w:tcBorders>
          </w:tcPr>
          <w:p w:rsidRPr="00455A75" w:rsidR="00681493" w:rsidP="00681493" w:rsidRDefault="00681493" w14:paraId="07E89897" w14:textId="77777777">
            <w:pPr>
              <w:spacing w:before="144" w:beforeLines="60" w:after="144" w:afterLines="60"/>
              <w:contextualSpacing/>
              <w:rPr>
                <w:rFonts w:eastAsia="Calibri"/>
                <w:lang w:eastAsia="en-GB"/>
              </w:rPr>
            </w:pPr>
            <w:r w:rsidRPr="00455A75">
              <w:rPr>
                <w:rFonts w:eastAsia="Calibri"/>
                <w:lang w:eastAsia="en-GB"/>
              </w:rPr>
              <w:t xml:space="preserve">Statistical analysis: ANOVA, </w:t>
            </w:r>
            <w:proofErr w:type="spellStart"/>
            <w:r w:rsidRPr="00455A75">
              <w:rPr>
                <w:rFonts w:eastAsia="Calibri"/>
                <w:lang w:eastAsia="en-GB"/>
              </w:rPr>
              <w:t>Sidak</w:t>
            </w:r>
            <w:proofErr w:type="spellEnd"/>
            <w:r w:rsidRPr="00455A75">
              <w:rPr>
                <w:rFonts w:eastAsia="Calibri"/>
                <w:lang w:eastAsia="en-GB"/>
              </w:rPr>
              <w:t xml:space="preserve"> post-hoc test.</w:t>
            </w:r>
          </w:p>
          <w:p w:rsidRPr="00455A75" w:rsidR="00681493" w:rsidP="00681493" w:rsidRDefault="00681493" w14:paraId="01329387" w14:textId="77777777">
            <w:pPr>
              <w:spacing w:before="144" w:beforeLines="60" w:after="144" w:afterLines="60"/>
              <w:contextualSpacing/>
              <w:rPr>
                <w:rFonts w:eastAsia="Calibri"/>
                <w:lang w:eastAsia="en-GB"/>
              </w:rPr>
            </w:pPr>
            <w:r w:rsidRPr="00455A75">
              <w:rPr>
                <w:rFonts w:eastAsia="Calibri"/>
                <w:lang w:eastAsia="en-GB"/>
              </w:rPr>
              <w:t xml:space="preserve">High vs Moderate and Low: </w:t>
            </w:r>
          </w:p>
          <w:p w:rsidRPr="00455A75" w:rsidR="00681493" w:rsidP="00681493" w:rsidRDefault="00681493" w14:paraId="0C525E24" w14:textId="77777777">
            <w:pPr>
              <w:pStyle w:val="Prrafodelista"/>
              <w:numPr>
                <w:ilvl w:val="0"/>
                <w:numId w:val="22"/>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Phylum:</w:t>
            </w:r>
          </w:p>
          <w:p w:rsidRPr="00455A75" w:rsidR="00681493" w:rsidP="00681493" w:rsidRDefault="00681493" w14:paraId="4EF2321E" w14:textId="77777777">
            <w:pPr>
              <w:pStyle w:val="Prrafodelista"/>
              <w:numPr>
                <w:ilvl w:val="1"/>
                <w:numId w:val="22"/>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Bacteroidetes</w:t>
            </w:r>
            <w:proofErr w:type="spellEnd"/>
            <w:r w:rsidRPr="00455A75">
              <w:rPr>
                <w:rFonts w:ascii="Times New Roman" w:hAnsi="Times New Roman" w:eastAsia="Calibri" w:cs="Times New Roman"/>
                <w:lang w:eastAsia="en-GB"/>
              </w:rPr>
              <w:t xml:space="preserve"> (High group)</w:t>
            </w:r>
          </w:p>
          <w:p w:rsidRPr="00455A75" w:rsidR="00681493" w:rsidP="00681493" w:rsidRDefault="00681493" w14:paraId="3C79803A" w14:textId="77777777">
            <w:pPr>
              <w:spacing w:before="144" w:beforeLines="60" w:after="144" w:afterLines="60"/>
              <w:contextualSpacing/>
              <w:rPr>
                <w:rFonts w:eastAsia="Calibri"/>
                <w:lang w:eastAsia="en-GB"/>
              </w:rPr>
            </w:pPr>
          </w:p>
        </w:tc>
      </w:tr>
      <w:tr w:rsidRPr="00455A75" w:rsidR="00681493" w:rsidTr="00681493" w14:paraId="3DCD6C78" w14:textId="77777777">
        <w:trPr>
          <w:jc w:val="center"/>
        </w:trPr>
        <w:tc>
          <w:tcPr>
            <w:tcW w:w="3504" w:type="dxa"/>
            <w:gridSpan w:val="2"/>
            <w:tcBorders>
              <w:top w:val="single" w:color="auto" w:sz="4" w:space="0"/>
              <w:left w:val="nil"/>
              <w:bottom w:val="single" w:color="auto" w:sz="4" w:space="0"/>
              <w:right w:val="nil"/>
            </w:tcBorders>
          </w:tcPr>
          <w:p w:rsidRPr="002C7CAA" w:rsidR="00681493" w:rsidP="00681493" w:rsidRDefault="00681493" w14:paraId="548C70FF" w14:textId="77777777">
            <w:pPr>
              <w:spacing w:before="144" w:beforeLines="60" w:after="144" w:afterLines="60"/>
              <w:contextualSpacing/>
              <w:rPr>
                <w:rFonts w:eastAsia="Calibri"/>
                <w:lang w:eastAsia="en-GB"/>
              </w:rPr>
            </w:pPr>
            <w:r w:rsidRPr="002C7CAA">
              <w:rPr>
                <w:rFonts w:eastAsia="Calibri"/>
                <w:lang w:eastAsia="en-GB"/>
              </w:rPr>
              <w:lastRenderedPageBreak/>
              <w:t>Case and Control</w:t>
            </w:r>
          </w:p>
        </w:tc>
        <w:tc>
          <w:tcPr>
            <w:tcW w:w="3233" w:type="dxa"/>
            <w:tcBorders>
              <w:top w:val="single" w:color="auto" w:sz="4" w:space="0"/>
              <w:left w:val="nil"/>
              <w:bottom w:val="single" w:color="auto" w:sz="4" w:space="0"/>
              <w:right w:val="nil"/>
            </w:tcBorders>
          </w:tcPr>
          <w:p w:rsidRPr="00455A75" w:rsidR="00681493" w:rsidP="00681493" w:rsidRDefault="00681493" w14:paraId="2AD7BD8E" w14:textId="77777777">
            <w:pPr>
              <w:spacing w:before="144" w:beforeLines="60" w:after="144" w:afterLines="60"/>
              <w:contextualSpacing/>
              <w:rPr>
                <w:rFonts w:eastAsia="Calibri"/>
                <w:lang w:eastAsia="en-GB"/>
              </w:rPr>
            </w:pPr>
          </w:p>
        </w:tc>
        <w:tc>
          <w:tcPr>
            <w:tcW w:w="1482" w:type="dxa"/>
            <w:tcBorders>
              <w:top w:val="single" w:color="auto" w:sz="4" w:space="0"/>
              <w:left w:val="nil"/>
              <w:bottom w:val="single" w:color="auto" w:sz="4" w:space="0"/>
              <w:right w:val="nil"/>
            </w:tcBorders>
          </w:tcPr>
          <w:p w:rsidRPr="00455A75" w:rsidR="00681493" w:rsidP="00681493" w:rsidRDefault="00681493" w14:paraId="318FBF09" w14:textId="77777777">
            <w:pPr>
              <w:spacing w:before="144" w:beforeLines="60" w:after="144" w:afterLines="60"/>
              <w:contextualSpacing/>
              <w:rPr>
                <w:rFonts w:eastAsia="Calibri"/>
                <w:lang w:eastAsia="en-GB"/>
              </w:rPr>
            </w:pPr>
          </w:p>
        </w:tc>
        <w:tc>
          <w:tcPr>
            <w:tcW w:w="1062" w:type="dxa"/>
            <w:tcBorders>
              <w:top w:val="single" w:color="auto" w:sz="4" w:space="0"/>
              <w:left w:val="nil"/>
              <w:bottom w:val="single" w:color="auto" w:sz="4" w:space="0"/>
              <w:right w:val="nil"/>
            </w:tcBorders>
          </w:tcPr>
          <w:p w:rsidRPr="00455A75" w:rsidR="00681493" w:rsidP="00681493" w:rsidRDefault="00681493" w14:paraId="72A09CED" w14:textId="77777777">
            <w:pPr>
              <w:spacing w:before="144" w:beforeLines="60" w:after="144" w:afterLines="60"/>
              <w:contextualSpacing/>
              <w:rPr>
                <w:rFonts w:eastAsia="Calibri"/>
                <w:lang w:eastAsia="en-GB"/>
              </w:rPr>
            </w:pPr>
          </w:p>
        </w:tc>
        <w:tc>
          <w:tcPr>
            <w:tcW w:w="1448" w:type="dxa"/>
            <w:tcBorders>
              <w:top w:val="single" w:color="auto" w:sz="4" w:space="0"/>
              <w:left w:val="nil"/>
              <w:bottom w:val="single" w:color="auto" w:sz="4" w:space="0"/>
              <w:right w:val="nil"/>
            </w:tcBorders>
          </w:tcPr>
          <w:p w:rsidRPr="00455A75" w:rsidR="00681493" w:rsidP="00681493" w:rsidRDefault="00681493" w14:paraId="16B11614" w14:textId="77777777">
            <w:pPr>
              <w:spacing w:before="144" w:beforeLines="60" w:after="144" w:afterLines="60"/>
              <w:contextualSpacing/>
            </w:pPr>
          </w:p>
        </w:tc>
        <w:tc>
          <w:tcPr>
            <w:tcW w:w="5252" w:type="dxa"/>
            <w:tcBorders>
              <w:top w:val="single" w:color="auto" w:sz="4" w:space="0"/>
              <w:left w:val="nil"/>
              <w:bottom w:val="single" w:color="auto" w:sz="4" w:space="0"/>
              <w:right w:val="nil"/>
            </w:tcBorders>
          </w:tcPr>
          <w:p w:rsidRPr="00455A75" w:rsidR="00681493" w:rsidP="00681493" w:rsidRDefault="00681493" w14:paraId="22A8B8FC" w14:textId="77777777">
            <w:pPr>
              <w:spacing w:before="144" w:beforeLines="60" w:after="144" w:afterLines="60"/>
              <w:contextualSpacing/>
              <w:rPr>
                <w:rFonts w:eastAsia="Calibri"/>
                <w:lang w:eastAsia="en-GB"/>
              </w:rPr>
            </w:pPr>
          </w:p>
        </w:tc>
      </w:tr>
      <w:tr w:rsidRPr="00455A75" w:rsidR="00681493" w:rsidTr="00681493" w14:paraId="6AF100D8" w14:textId="77777777">
        <w:trPr>
          <w:jc w:val="center"/>
        </w:trPr>
        <w:tc>
          <w:tcPr>
            <w:tcW w:w="1347" w:type="dxa"/>
            <w:tcBorders>
              <w:top w:val="nil"/>
              <w:left w:val="nil"/>
              <w:bottom w:val="single" w:color="auto" w:sz="4" w:space="0"/>
              <w:right w:val="nil"/>
            </w:tcBorders>
          </w:tcPr>
          <w:p w:rsidRPr="00455A75" w:rsidR="00681493" w:rsidP="00681493" w:rsidRDefault="00681493" w14:paraId="0CC71808" w14:textId="34D03CFB">
            <w:pPr>
              <w:spacing w:before="144" w:beforeLines="60" w:after="144" w:afterLines="60"/>
              <w:contextualSpacing/>
              <w:rPr>
                <w:rFonts w:eastAsia="Calibri"/>
                <w:lang w:eastAsia="en-GB"/>
              </w:rPr>
            </w:pPr>
            <w:r>
              <w:rPr>
                <w:rFonts w:eastAsia="Calibri"/>
                <w:lang w:eastAsia="en-GB"/>
              </w:rPr>
              <w:t>Clarke et al., 2014</w:t>
            </w:r>
            <w:r w:rsidRPr="00455A75">
              <w:rPr>
                <w:rFonts w:eastAsia="Calibri"/>
                <w:lang w:eastAsia="en-GB"/>
              </w:rPr>
              <w:fldChar w:fldCharType="begin" w:fldLock="1"/>
            </w:r>
            <w:r>
              <w:rPr>
                <w:rFonts w:eastAsia="Calibri"/>
                <w:lang w:eastAsia="en-GB"/>
              </w:rPr>
              <w:instrText>ADDIN CSL_CITATION {"citationItems":[{"id":"ITEM-1","itemData":{"DOI":"10.1136/gutjnl-2013-306541","ISBN":"1468-3288 (Electronic)\\r0017-5749 (Linking)","ISSN":"0017-5749","PMID":"25021423","abstract":"OBJECTIVE The commensal microbiota, host immunity and metabolism participate in a signalling network, with diet influencing each component of this triad. In addition to diet, many elements of a modern lifestyle influence the gut microbiota but the degree to which exercise affects this population is unclear. Therefore, we explored exercise and diet for their impact on the gut microbiota. DESIGN Since extremes of exercise often accompany extremes of diet, we addressed the issue by studying professional athletes from an international rugby union squad. Two groups were included to control for physical size, age and gender. Compositional analysis of the microbiota was explored by 16S rRNA amplicon sequencing. Each participant completed a detailed food frequency questionnaire. RESULTS As expected, athletes and controls differed significantly with respect to plasma creatine kinase (a marker of extreme exercise), and inflammatory and metabolic markers. More importantly, athletes had a higher diversity of gut micro-organisms, representing 22 distinct phyla, which in turn positively correlated with protein consumption and creatine kinase. CONCLUSIONS The results provide evidence for a beneficial impact of exercise on gut microbiota diversity but also indicate that the relationship is complex and is related to accompanying dietary extremes.","author":[{"dropping-particle":"","family":"Clarke","given":"Siobhan F.","non-dropping-particle":"","parse-names":false,"suffix":""},{"dropping-particle":"","family":"Murphy","given":"Eileen F.","non-dropping-particle":"","parse-names":false,"suffix":""},{"dropping-particle":"","family":"O'Sullivan","given":"Orla","non-dropping-particle":"","parse-names":false,"suffix":""},{"dropping-particle":"","family":"Lucey","given":"Alice J.","non-dropping-particle":"","parse-names":false,"suffix":""},{"dropping-particle":"","family":"Humphreys","given":"Margaret","non-dropping-particle":"","parse-names":false,"suffix":""},{"dropping-particle":"","family":"Hogan","given":"Aileen","non-dropping-particle":"","parse-names":false,"suffix":""},{"dropping-particle":"","family":"Hayes","given":"Paula","non-dropping-particle":"","parse-names":false,"suffix":""},{"dropping-particle":"","family":"O'Reilly","given":"Maeve","non-dropping-particle":"","parse-names":false,"suffix":""},{"dropping-particle":"","family":"Jeffery","given":"Ian B.","non-dropping-particle":"","parse-names":false,"suffix":""},{"dropping-particle":"","family":"Wood-Martin","given":"Ruth","non-dropping-particle":"","parse-names":false,"suffix":""},{"dropping-particle":"","family":"Kerins","given":"David M.","non-dropping-particle":"","parse-names":false,"suffix":""},{"dropping-particle":"","family":"Quigley","given":"Eamonn","non-dropping-particle":"","parse-names":false,"suffix":""},{"dropping-particle":"","family":"Ross","given":"R. Paul","non-dropping-particle":"","parse-names":false,"suffix":""},{"dropping-particle":"","family":"O'Toole","given":"Paul W.","non-dropping-particle":"","parse-names":false,"suffix":""},{"dropping-particle":"","family":"Molloy","given":"Michael G.","non-dropping-particle":"","parse-names":false,"suffix":""},{"dropping-particle":"","family":"Falvey","given":"Eanna","non-dropping-particle":"","parse-names":false,"suffix":""},{"dropping-particle":"","family":"Shanahan","given":"Fergus","non-dropping-particle":"","parse-names":false,"suffix":""},{"dropping-particle":"","family":"Cotter","given":"Paul D.","non-dropping-particle":"","parse-names":false,"suffix":""}],"container-title":"Gut","id":"ITEM-1","issue":"12","issued":{"date-parts":[["2014","12"]]},"page":"1913-1920","title":"Exercise and associated dietary extremes impact on gut microbial diversity","type":"article-journal","volume":"63"},"uris":["http://www.mendeley.com/documents/?uuid=5114ef9f-d62b-45b3-ac07-3b4f14b9bb1c"]}],"mendeley":{"formattedCitation":"(43)","plainTextFormattedCitation":"(43)","previouslyFormattedCitation":"(43)"},"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(4</w:t>
            </w:r>
            <w:r w:rsidR="002878C0">
              <w:rPr>
                <w:rFonts w:eastAsia="Calibri"/>
                <w:noProof/>
                <w:lang w:eastAsia="en-GB"/>
              </w:rPr>
              <w:t>5</w:t>
            </w:r>
            <w:r w:rsidRPr="003651E8">
              <w:rPr>
                <w:rFonts w:eastAsia="Calibri"/>
                <w:noProof/>
                <w:lang w:eastAsia="en-GB"/>
              </w:rPr>
              <w:t>)</w:t>
            </w:r>
            <w:r w:rsidRPr="00455A75">
              <w:rPr>
                <w:rFonts w:eastAsia="Calibri"/>
                <w:lang w:eastAsia="en-GB"/>
              </w:rPr>
              <w:fldChar w:fldCharType="end"/>
            </w:r>
          </w:p>
        </w:tc>
        <w:tc>
          <w:tcPr>
            <w:tcW w:w="2157" w:type="dxa"/>
            <w:tcBorders>
              <w:top w:val="nil"/>
              <w:left w:val="nil"/>
              <w:bottom w:val="single" w:color="auto" w:sz="4" w:space="0"/>
              <w:right w:val="nil"/>
            </w:tcBorders>
          </w:tcPr>
          <w:p w:rsidRPr="00455A75" w:rsidR="00681493" w:rsidP="00681493" w:rsidRDefault="00681493" w14:paraId="4CF1959D" w14:textId="77777777">
            <w:pPr>
              <w:spacing w:before="144" w:beforeLines="60" w:after="144" w:afterLines="60"/>
              <w:contextualSpacing/>
              <w:rPr>
                <w:rFonts w:eastAsia="Calibri"/>
                <w:lang w:eastAsia="en-GB"/>
              </w:rPr>
            </w:pPr>
            <w:r w:rsidRPr="00455A75">
              <w:rPr>
                <w:rFonts w:eastAsia="Calibri"/>
                <w:lang w:eastAsia="en-GB"/>
              </w:rPr>
              <w:t>N=86 males</w:t>
            </w:r>
          </w:p>
          <w:p w:rsidRPr="00455A75" w:rsidR="00681493" w:rsidP="00681493" w:rsidRDefault="00681493" w14:paraId="6B059667" w14:textId="77777777">
            <w:pPr>
              <w:pStyle w:val="Prrafodelista"/>
              <w:numPr>
                <w:ilvl w:val="0"/>
                <w:numId w:val="8"/>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eastAsia="Calibri" w:cs="Times New Roman"/>
                <w:lang w:eastAsia="en-GB"/>
              </w:rPr>
              <w:t>Athletes: N=40 (28.8±3.8 years and 29.1±3kg/m</w:t>
            </w:r>
            <w:r w:rsidRPr="00455A75">
              <w:rPr>
                <w:rFonts w:ascii="Times New Roman" w:hAnsi="Times New Roman" w:eastAsia="Calibri" w:cs="Times New Roman"/>
                <w:color w:val="000000" w:themeColor="text1"/>
                <w:vertAlign w:val="superscript"/>
                <w:lang w:eastAsia="en-GB"/>
              </w:rPr>
              <w:t>2</w:t>
            </w:r>
            <w:r w:rsidRPr="00455A75">
              <w:rPr>
                <w:rFonts w:ascii="Times New Roman" w:hAnsi="Times New Roman" w:eastAsia="Calibri" w:cs="Times New Roman"/>
                <w:color w:val="000000" w:themeColor="text1"/>
                <w:lang w:eastAsia="en-GB"/>
              </w:rPr>
              <w:t xml:space="preserve">) </w:t>
            </w:r>
          </w:p>
          <w:p w:rsidRPr="00455A75" w:rsidR="00681493" w:rsidP="00681493" w:rsidRDefault="00681493" w14:paraId="5067DC9C" w14:textId="77777777">
            <w:pPr>
              <w:pStyle w:val="Prrafodelista"/>
              <w:numPr>
                <w:ilvl w:val="0"/>
                <w:numId w:val="8"/>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eastAsia="Calibri" w:cs="Times New Roman"/>
                <w:lang w:eastAsia="en-GB"/>
              </w:rPr>
              <w:t>High BMI controls: N=23 (30.8±5.6 years)</w:t>
            </w:r>
          </w:p>
          <w:p w:rsidRPr="00455A75" w:rsidR="00681493" w:rsidP="00681493" w:rsidRDefault="00681493" w14:paraId="3B873BCB" w14:textId="77777777">
            <w:pPr>
              <w:pStyle w:val="Prrafodelista"/>
              <w:numPr>
                <w:ilvl w:val="0"/>
                <w:numId w:val="8"/>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eastAsia="Calibri" w:cs="Times New Roman"/>
                <w:lang w:eastAsia="en-GB"/>
              </w:rPr>
              <w:t>Low BMI controls: N=23 (28.1±5.1 years).</w:t>
            </w:r>
          </w:p>
          <w:p w:rsidRPr="00455A75" w:rsidR="00681493" w:rsidP="00681493" w:rsidRDefault="00681493" w14:paraId="4E0D9C88" w14:textId="77777777">
            <w:pPr>
              <w:pStyle w:val="Prrafodelista"/>
              <w:spacing w:before="144" w:beforeLines="60" w:after="144" w:afterLines="60" w:line="240" w:lineRule="auto"/>
              <w:ind w:left="527"/>
              <w:rPr>
                <w:rFonts w:ascii="Times New Roman" w:hAnsi="Times New Roman" w:cs="Times New Roman"/>
              </w:rPr>
            </w:pPr>
          </w:p>
        </w:tc>
        <w:tc>
          <w:tcPr>
            <w:tcW w:w="3233" w:type="dxa"/>
            <w:tcBorders>
              <w:top w:val="nil"/>
              <w:left w:val="nil"/>
              <w:bottom w:val="single" w:color="auto" w:sz="4" w:space="0"/>
              <w:right w:val="nil"/>
            </w:tcBorders>
          </w:tcPr>
          <w:p w:rsidRPr="00455A75" w:rsidR="00681493" w:rsidP="00681493" w:rsidRDefault="00681493" w14:paraId="7B3AF9AD" w14:textId="77777777">
            <w:pPr>
              <w:spacing w:before="144" w:beforeLines="60" w:after="144" w:afterLines="60"/>
              <w:contextualSpacing/>
              <w:rPr>
                <w:rFonts w:eastAsia="Calibri"/>
                <w:lang w:eastAsia="en-GB"/>
              </w:rPr>
            </w:pPr>
            <w:r w:rsidRPr="00455A75">
              <w:rPr>
                <w:rFonts w:eastAsia="Calibri"/>
                <w:lang w:eastAsia="en-GB"/>
              </w:rPr>
              <w:t>Assessment of physical activity by EPIC-Norfolk questionnaire.</w:t>
            </w:r>
          </w:p>
          <w:p w:rsidRPr="00455A75" w:rsidR="00681493" w:rsidP="00681493" w:rsidRDefault="00681493" w14:paraId="20894DBF" w14:textId="77777777">
            <w:pPr>
              <w:spacing w:before="144" w:beforeLines="60" w:after="144" w:afterLines="60"/>
              <w:contextualSpacing/>
              <w:rPr>
                <w:rFonts w:eastAsia="Calibri"/>
                <w:lang w:eastAsia="en-GB"/>
              </w:rPr>
            </w:pPr>
          </w:p>
        </w:tc>
        <w:tc>
          <w:tcPr>
            <w:tcW w:w="1482" w:type="dxa"/>
            <w:tcBorders>
              <w:top w:val="nil"/>
              <w:left w:val="nil"/>
              <w:bottom w:val="single" w:color="auto" w:sz="4" w:space="0"/>
              <w:right w:val="nil"/>
            </w:tcBorders>
          </w:tcPr>
          <w:p w:rsidRPr="00455A75" w:rsidR="00681493" w:rsidP="00681493" w:rsidRDefault="00681493" w14:paraId="4E786171" w14:textId="77777777">
            <w:pPr>
              <w:spacing w:before="144" w:beforeLines="60" w:after="144" w:afterLines="60"/>
              <w:contextualSpacing/>
            </w:pPr>
            <w:r w:rsidRPr="00455A75">
              <w:t xml:space="preserve">Standardized diet: No </w:t>
            </w:r>
          </w:p>
          <w:p w:rsidRPr="00455A75" w:rsidR="00681493" w:rsidP="00681493" w:rsidRDefault="00681493" w14:paraId="7B3F09B5" w14:textId="77777777">
            <w:pPr>
              <w:spacing w:before="144" w:beforeLines="60" w:after="144" w:afterLines="60"/>
              <w:contextualSpacing/>
            </w:pPr>
          </w:p>
          <w:p w:rsidRPr="00455A75" w:rsidR="00681493" w:rsidP="00681493" w:rsidRDefault="00681493" w14:paraId="3C6466E8" w14:textId="77777777">
            <w:pPr>
              <w:spacing w:before="144" w:beforeLines="60" w:after="144" w:afterLines="60"/>
              <w:contextualSpacing/>
            </w:pPr>
            <w:r w:rsidRPr="00455A75">
              <w:t>Adjusted for diet: No</w:t>
            </w:r>
          </w:p>
          <w:p w:rsidRPr="00455A75" w:rsidR="00681493" w:rsidP="00681493" w:rsidRDefault="00681493" w14:paraId="72CC9963" w14:textId="77777777">
            <w:pPr>
              <w:spacing w:before="144" w:beforeLines="60" w:after="144" w:afterLines="60"/>
              <w:contextualSpacing/>
            </w:pPr>
          </w:p>
        </w:tc>
        <w:tc>
          <w:tcPr>
            <w:tcW w:w="1062" w:type="dxa"/>
            <w:tcBorders>
              <w:top w:val="nil"/>
              <w:left w:val="nil"/>
              <w:bottom w:val="single" w:color="auto" w:sz="4" w:space="0"/>
              <w:right w:val="nil"/>
            </w:tcBorders>
          </w:tcPr>
          <w:p w:rsidRPr="00455A75" w:rsidR="00681493" w:rsidP="00681493" w:rsidRDefault="00681493" w14:paraId="2E255344" w14:textId="77777777">
            <w:pPr>
              <w:spacing w:before="144" w:beforeLines="60" w:after="144" w:afterLines="60"/>
              <w:contextualSpacing/>
            </w:pPr>
            <w:r w:rsidRPr="00455A75">
              <w:t>1</w:t>
            </w:r>
          </w:p>
        </w:tc>
        <w:tc>
          <w:tcPr>
            <w:tcW w:w="1448" w:type="dxa"/>
            <w:tcBorders>
              <w:top w:val="nil"/>
              <w:left w:val="nil"/>
              <w:bottom w:val="single" w:color="auto" w:sz="4" w:space="0"/>
              <w:right w:val="nil"/>
            </w:tcBorders>
          </w:tcPr>
          <w:p w:rsidRPr="00455A75" w:rsidR="00681493" w:rsidP="00681493" w:rsidRDefault="00681493" w14:paraId="68F82B8C" w14:textId="77777777">
            <w:pPr>
              <w:spacing w:before="144" w:beforeLines="60" w:after="144" w:afterLines="60"/>
              <w:contextualSpacing/>
              <w:rPr>
                <w:rFonts w:eastAsia="Calibri"/>
                <w:lang w:eastAsia="en-GB"/>
              </w:rPr>
            </w:pPr>
            <w:r w:rsidRPr="00455A75">
              <w:rPr>
                <w:rFonts w:eastAsia="Calibri"/>
                <w:lang w:eastAsia="en-GB"/>
              </w:rPr>
              <w:t>qPCR: Roche</w:t>
            </w:r>
          </w:p>
          <w:p w:rsidRPr="00455A75" w:rsidR="00681493" w:rsidP="00681493" w:rsidRDefault="00681493" w14:paraId="13AB7D84" w14:textId="77777777">
            <w:pPr>
              <w:spacing w:before="144" w:beforeLines="60" w:after="144" w:afterLines="60"/>
              <w:contextualSpacing/>
              <w:rPr>
                <w:rFonts w:eastAsia="Calibri"/>
                <w:lang w:eastAsia="en-GB"/>
              </w:rPr>
            </w:pPr>
            <w:r w:rsidRPr="00455A75">
              <w:rPr>
                <w:rFonts w:eastAsia="Calibri"/>
                <w:lang w:eastAsia="en-GB"/>
              </w:rPr>
              <w:t>Software: BLAST and QIIME</w:t>
            </w:r>
          </w:p>
          <w:p w:rsidRPr="00455A75" w:rsidR="00681493" w:rsidP="00681493" w:rsidRDefault="00681493" w14:paraId="34FAFAC2" w14:textId="77777777">
            <w:pPr>
              <w:spacing w:before="144" w:beforeLines="60" w:after="144" w:afterLines="60"/>
              <w:contextualSpacing/>
              <w:rPr>
                <w:rFonts w:eastAsia="Calibri"/>
                <w:lang w:eastAsia="en-GB"/>
              </w:rPr>
            </w:pPr>
            <w:r w:rsidRPr="00455A75">
              <w:rPr>
                <w:rFonts w:eastAsia="Calibri"/>
                <w:lang w:eastAsia="en-GB"/>
              </w:rPr>
              <w:t xml:space="preserve">Reference DB: SILVA 16S </w:t>
            </w:r>
            <w:proofErr w:type="spellStart"/>
            <w:r w:rsidRPr="00455A75">
              <w:rPr>
                <w:rFonts w:eastAsia="Calibri"/>
                <w:lang w:eastAsia="en-GB"/>
              </w:rPr>
              <w:t>rRNA</w:t>
            </w:r>
            <w:proofErr w:type="spellEnd"/>
            <w:r w:rsidRPr="00455A75">
              <w:rPr>
                <w:rFonts w:eastAsia="Calibri"/>
                <w:lang w:eastAsia="en-GB"/>
              </w:rPr>
              <w:t xml:space="preserve"> </w:t>
            </w:r>
          </w:p>
          <w:p w:rsidRPr="00455A75" w:rsidR="00681493" w:rsidP="00681493" w:rsidRDefault="00681493" w14:paraId="1B72BB19" w14:textId="77777777">
            <w:pPr>
              <w:spacing w:before="144" w:beforeLines="60" w:after="144" w:afterLines="60"/>
              <w:contextualSpacing/>
            </w:pPr>
            <w:r w:rsidRPr="00455A75">
              <w:rPr>
                <w:rFonts w:eastAsia="Calibri"/>
                <w:lang w:eastAsia="en-GB"/>
              </w:rPr>
              <w:t>Outcome: OTU</w:t>
            </w:r>
          </w:p>
        </w:tc>
        <w:tc>
          <w:tcPr>
            <w:tcW w:w="5252" w:type="dxa"/>
            <w:tcBorders>
              <w:top w:val="nil"/>
              <w:left w:val="nil"/>
              <w:bottom w:val="single" w:color="auto" w:sz="4" w:space="0"/>
              <w:right w:val="nil"/>
            </w:tcBorders>
          </w:tcPr>
          <w:p w:rsidRPr="00455A75" w:rsidR="00681493" w:rsidP="00681493" w:rsidRDefault="00681493" w14:paraId="1B8060A9" w14:textId="77777777">
            <w:pPr>
              <w:spacing w:before="144" w:beforeLines="60" w:after="144" w:afterLines="60"/>
              <w:contextualSpacing/>
              <w:rPr>
                <w:rFonts w:eastAsia="Calibri"/>
                <w:lang w:eastAsia="en-GB"/>
              </w:rPr>
            </w:pPr>
            <w:r w:rsidRPr="00455A75">
              <w:rPr>
                <w:rFonts w:eastAsia="Calibri"/>
                <w:lang w:eastAsia="en-GB"/>
              </w:rPr>
              <w:t xml:space="preserve">Statistical analysis: </w:t>
            </w:r>
            <w:proofErr w:type="spellStart"/>
            <w:r w:rsidRPr="00455A75">
              <w:rPr>
                <w:rFonts w:eastAsia="Calibri"/>
                <w:lang w:eastAsia="en-GB"/>
              </w:rPr>
              <w:t>Kruskal</w:t>
            </w:r>
            <w:proofErr w:type="spellEnd"/>
            <w:r w:rsidRPr="00455A75">
              <w:rPr>
                <w:rFonts w:eastAsia="Calibri"/>
                <w:lang w:eastAsia="en-GB"/>
              </w:rPr>
              <w:t>-Wallis and Mann-Whitney tests</w:t>
            </w:r>
          </w:p>
          <w:p w:rsidRPr="00455A75" w:rsidR="00681493" w:rsidP="00681493" w:rsidRDefault="00681493" w14:paraId="2708FE2D" w14:textId="77777777">
            <w:pPr>
              <w:spacing w:before="144" w:beforeLines="60" w:after="144" w:afterLines="60"/>
              <w:contextualSpacing/>
              <w:rPr>
                <w:rFonts w:eastAsia="Calibri"/>
                <w:lang w:eastAsia="en-GB"/>
              </w:rPr>
            </w:pPr>
            <w:r w:rsidRPr="00455A75">
              <w:rPr>
                <w:rFonts w:eastAsia="Calibri"/>
                <w:b/>
                <w:lang w:eastAsia="en-GB"/>
              </w:rPr>
              <w:t>↑</w:t>
            </w:r>
            <w:r w:rsidRPr="00455A75">
              <w:rPr>
                <w:rFonts w:eastAsia="Calibri"/>
                <w:lang w:eastAsia="en-GB"/>
              </w:rPr>
              <w:t xml:space="preserve"> α-diversity in athlete group</w:t>
            </w:r>
          </w:p>
          <w:p w:rsidRPr="00455A75" w:rsidR="00681493" w:rsidP="00681493" w:rsidRDefault="00681493" w14:paraId="1F0BC277" w14:textId="77777777">
            <w:pPr>
              <w:spacing w:before="144" w:beforeLines="60" w:after="144" w:afterLines="60"/>
              <w:contextualSpacing/>
              <w:rPr>
                <w:rFonts w:eastAsia="Calibri"/>
                <w:lang w:eastAsia="en-GB"/>
              </w:rPr>
            </w:pPr>
            <w:r w:rsidRPr="00455A75">
              <w:rPr>
                <w:rFonts w:eastAsia="Calibri"/>
                <w:lang w:eastAsia="en-GB"/>
              </w:rPr>
              <w:t xml:space="preserve"> Athletes vs high BMI controls: </w:t>
            </w:r>
          </w:p>
          <w:p w:rsidRPr="00455A75" w:rsidR="00681493" w:rsidP="00681493" w:rsidRDefault="00681493" w14:paraId="213018F6" w14:textId="77777777">
            <w:pPr>
              <w:pStyle w:val="Prrafodelista"/>
              <w:numPr>
                <w:ilvl w:val="0"/>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Phylum: </w:t>
            </w:r>
          </w:p>
          <w:p w:rsidRPr="00455A75" w:rsidR="00681493" w:rsidP="00681493" w:rsidRDefault="00681493" w14:paraId="4D3A6504"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Firmicutes</w:t>
            </w:r>
            <w:proofErr w:type="spellEnd"/>
          </w:p>
          <w:p w:rsidRPr="00455A75" w:rsidR="00681493" w:rsidP="00681493" w:rsidRDefault="00681493" w14:paraId="54422783"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Bacteroidetes</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08F2BD5C" w14:textId="77777777">
            <w:pPr>
              <w:pStyle w:val="Prrafodelista"/>
              <w:numPr>
                <w:ilvl w:val="0"/>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Family: </w:t>
            </w:r>
          </w:p>
          <w:p w:rsidRPr="00455A75" w:rsidR="00681493" w:rsidP="00681493" w:rsidRDefault="00681493" w14:paraId="6357340F"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Ruminococcaceae</w:t>
            </w:r>
            <w:proofErr w:type="spellEnd"/>
          </w:p>
          <w:p w:rsidRPr="00455A75" w:rsidR="00681493" w:rsidP="00681493" w:rsidRDefault="00681493" w14:paraId="237501C9"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r w:rsidRPr="002C7CAA">
              <w:rPr>
                <w:rFonts w:ascii="Times New Roman" w:hAnsi="Times New Roman" w:eastAsia="Calibri" w:cs="Times New Roman"/>
                <w:i/>
                <w:lang w:eastAsia="en-GB"/>
              </w:rPr>
              <w:t>S24-7</w:t>
            </w:r>
          </w:p>
          <w:p w:rsidRPr="002C7CAA" w:rsidR="00681493" w:rsidP="00681493" w:rsidRDefault="00681493" w14:paraId="5AD249CB" w14:textId="77777777">
            <w:pPr>
              <w:pStyle w:val="Prrafodelista"/>
              <w:numPr>
                <w:ilvl w:val="1"/>
                <w:numId w:val="4"/>
              </w:numPr>
              <w:spacing w:before="144" w:beforeLines="60" w:after="144" w:afterLines="60" w:line="240" w:lineRule="auto"/>
              <w:rPr>
                <w:rFonts w:ascii="Times New Roman" w:hAnsi="Times New Roman" w:eastAsia="Calibri" w:cs="Times New Roman"/>
                <w:i/>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Succinivibrionaceae</w:t>
            </w:r>
            <w:proofErr w:type="spellEnd"/>
          </w:p>
          <w:p w:rsidRPr="00455A75" w:rsidR="00681493" w:rsidP="00681493" w:rsidRDefault="00681493" w14:paraId="5065DF6A"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2C7CAA">
              <w:rPr>
                <w:rFonts w:ascii="Times New Roman" w:hAnsi="Times New Roman" w:eastAsia="Calibri" w:cs="Times New Roman"/>
                <w:i/>
                <w:lang w:eastAsia="en-GB"/>
              </w:rPr>
              <w:t>Akkermansiaceae</w:t>
            </w:r>
            <w:proofErr w:type="spellEnd"/>
          </w:p>
          <w:p w:rsidRPr="00455A75" w:rsidR="00681493" w:rsidP="00681493" w:rsidRDefault="00681493" w14:paraId="6F38CA35" w14:textId="77777777">
            <w:pPr>
              <w:pStyle w:val="Prrafodelista"/>
              <w:numPr>
                <w:ilvl w:val="0"/>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p>
          <w:p w:rsidRPr="00455A75" w:rsidR="00681493" w:rsidP="00681493" w:rsidRDefault="00681493" w14:paraId="70B25840"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r w:rsidRPr="002C7CAA">
              <w:rPr>
                <w:rFonts w:ascii="Times New Roman" w:hAnsi="Times New Roman" w:eastAsia="Calibri" w:cs="Times New Roman"/>
                <w:i/>
                <w:lang w:eastAsia="en-GB"/>
              </w:rPr>
              <w:t>RC9 gut group</w:t>
            </w:r>
            <w:r w:rsidRPr="00455A75">
              <w:rPr>
                <w:rFonts w:ascii="Times New Roman" w:hAnsi="Times New Roman" w:eastAsia="Calibri" w:cs="Times New Roman"/>
                <w:lang w:eastAsia="en-GB"/>
              </w:rPr>
              <w:t xml:space="preserve"> </w:t>
            </w:r>
          </w:p>
          <w:p w:rsidRPr="00455A75" w:rsidR="00681493" w:rsidP="00681493" w:rsidRDefault="00681493" w14:paraId="04F078FA" w14:textId="77777777">
            <w:pPr>
              <w:pStyle w:val="Prrafodelista"/>
              <w:numPr>
                <w:ilvl w:val="1"/>
                <w:numId w:val="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Succinivibrio</w:t>
            </w:r>
            <w:proofErr w:type="spellEnd"/>
          </w:p>
          <w:p w:rsidRPr="00455A75" w:rsidR="00681493" w:rsidP="00681493" w:rsidRDefault="00681493" w14:paraId="185DCDB0" w14:textId="77777777">
            <w:pPr>
              <w:pStyle w:val="Prrafodelista"/>
              <w:numPr>
                <w:ilvl w:val="1"/>
                <w:numId w:val="4"/>
              </w:numPr>
              <w:spacing w:before="144" w:beforeLines="60" w:after="144" w:afterLines="60" w:line="240" w:lineRule="auto"/>
              <w:rPr>
                <w:rFonts w:ascii="Times New Roman" w:hAnsi="Times New Roman" w:eastAsia="Calibri" w:cs="Times New Roman"/>
                <w:i/>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Akkermansia</w:t>
            </w:r>
            <w:proofErr w:type="spellEnd"/>
          </w:p>
          <w:p w:rsidRPr="00455A75" w:rsidR="00681493" w:rsidP="00681493" w:rsidRDefault="00681493" w14:paraId="61A89B9F" w14:textId="77777777">
            <w:pPr>
              <w:spacing w:before="144" w:beforeLines="60" w:after="144" w:afterLines="60"/>
              <w:contextualSpacing/>
              <w:rPr>
                <w:rFonts w:eastAsia="Calibri"/>
                <w:lang w:eastAsia="en-GB"/>
              </w:rPr>
            </w:pPr>
            <w:r w:rsidRPr="00455A75">
              <w:rPr>
                <w:rFonts w:eastAsia="Calibri"/>
                <w:lang w:eastAsia="en-GB"/>
              </w:rPr>
              <w:t xml:space="preserve"> Athletes vs low BMI controls: </w:t>
            </w:r>
          </w:p>
          <w:p w:rsidRPr="00455A75" w:rsidR="00681493" w:rsidP="00681493" w:rsidRDefault="00681493" w14:paraId="1C6715EE" w14:textId="77777777">
            <w:pPr>
              <w:pStyle w:val="Prrafodelista"/>
              <w:numPr>
                <w:ilvl w:val="0"/>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Family: </w:t>
            </w:r>
          </w:p>
          <w:p w:rsidRPr="00455A75" w:rsidR="00681493" w:rsidP="00681493" w:rsidRDefault="00681493" w14:paraId="39C105E8"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Prevotellaceae</w:t>
            </w:r>
            <w:proofErr w:type="spellEnd"/>
          </w:p>
          <w:p w:rsidRPr="00455A75" w:rsidR="00681493" w:rsidP="00681493" w:rsidRDefault="00681493" w14:paraId="3D0C62D5"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Erysipelotrichaceae</w:t>
            </w:r>
            <w:proofErr w:type="spellEnd"/>
          </w:p>
          <w:p w:rsidRPr="00455A75" w:rsidR="00681493" w:rsidP="00681493" w:rsidRDefault="00681493" w14:paraId="1F385F25"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r w:rsidRPr="002C7CAA">
              <w:rPr>
                <w:rFonts w:ascii="Times New Roman" w:hAnsi="Times New Roman" w:eastAsia="Calibri" w:cs="Times New Roman"/>
                <w:i/>
                <w:lang w:eastAsia="en-GB"/>
              </w:rPr>
              <w:t>S24-7</w:t>
            </w:r>
          </w:p>
          <w:p w:rsidRPr="00455A75" w:rsidR="00681493" w:rsidP="00681493" w:rsidRDefault="00681493" w14:paraId="50A6D925"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2C7CAA">
              <w:rPr>
                <w:rFonts w:ascii="Times New Roman" w:hAnsi="Times New Roman" w:eastAsia="Calibri" w:cs="Times New Roman"/>
                <w:i/>
                <w:lang w:eastAsia="en-GB"/>
              </w:rPr>
              <w:t>Succinivibrionaceae</w:t>
            </w:r>
            <w:proofErr w:type="spellEnd"/>
          </w:p>
          <w:p w:rsidRPr="00455A75" w:rsidR="00681493" w:rsidP="00681493" w:rsidRDefault="00681493" w14:paraId="2BE53DF4"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color w:val="FF0000"/>
                <w:lang w:eastAsia="en-GB"/>
              </w:rPr>
              <w:t xml:space="preserve"> </w:t>
            </w:r>
            <w:proofErr w:type="spellStart"/>
            <w:r w:rsidRPr="002C7CAA">
              <w:rPr>
                <w:rFonts w:ascii="Times New Roman" w:hAnsi="Times New Roman" w:eastAsia="Calibri" w:cs="Times New Roman"/>
                <w:i/>
                <w:lang w:eastAsia="en-GB"/>
              </w:rPr>
              <w:t>Lactobacillaceae</w:t>
            </w:r>
            <w:proofErr w:type="spellEnd"/>
          </w:p>
          <w:p w:rsidRPr="00455A75" w:rsidR="00681493" w:rsidP="00681493" w:rsidRDefault="00681493" w14:paraId="1486877E" w14:textId="77777777">
            <w:pPr>
              <w:pStyle w:val="Prrafodelista"/>
              <w:numPr>
                <w:ilvl w:val="0"/>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lastRenderedPageBreak/>
              <w:t xml:space="preserve">Genus: </w:t>
            </w:r>
          </w:p>
          <w:p w:rsidRPr="00455A75" w:rsidR="00681493" w:rsidP="00681493" w:rsidRDefault="00681493" w14:paraId="0808BC0D"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Prevotella</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5222F8F1"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Succinivibrio</w:t>
            </w:r>
            <w:proofErr w:type="spellEnd"/>
          </w:p>
          <w:p w:rsidRPr="00455A75" w:rsidR="00681493" w:rsidP="00681493" w:rsidRDefault="00681493" w14:paraId="22B51490"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color w:val="FF0000"/>
                <w:lang w:eastAsia="en-GB"/>
              </w:rPr>
              <w:t xml:space="preserve"> </w:t>
            </w:r>
            <w:r w:rsidRPr="00455A75">
              <w:rPr>
                <w:rFonts w:ascii="Times New Roman" w:hAnsi="Times New Roman" w:eastAsia="Calibri" w:cs="Times New Roman"/>
                <w:i/>
                <w:lang w:eastAsia="en-GB"/>
              </w:rPr>
              <w:t>Lactobacillus</w:t>
            </w:r>
          </w:p>
          <w:p w:rsidRPr="00455A75" w:rsidR="00681493" w:rsidP="00681493" w:rsidRDefault="00681493" w14:paraId="17E29814" w14:textId="77777777">
            <w:pPr>
              <w:pStyle w:val="Prrafodelista"/>
              <w:numPr>
                <w:ilvl w:val="1"/>
                <w:numId w:val="3"/>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color w:val="FF0000"/>
                <w:lang w:eastAsia="en-GB"/>
              </w:rPr>
              <w:t xml:space="preserve"> </w:t>
            </w:r>
            <w:proofErr w:type="spellStart"/>
            <w:r w:rsidRPr="00455A75">
              <w:rPr>
                <w:rFonts w:ascii="Times New Roman" w:hAnsi="Times New Roman" w:eastAsia="Calibri" w:cs="Times New Roman"/>
                <w:i/>
                <w:lang w:eastAsia="en-GB"/>
              </w:rPr>
              <w:t>Bacteroides</w:t>
            </w:r>
            <w:proofErr w:type="spellEnd"/>
          </w:p>
        </w:tc>
      </w:tr>
      <w:tr w:rsidRPr="00455A75" w:rsidR="00681493" w:rsidTr="00681493" w14:paraId="53191E3F" w14:textId="77777777">
        <w:trPr>
          <w:jc w:val="center"/>
        </w:trPr>
        <w:tc>
          <w:tcPr>
            <w:tcW w:w="1347" w:type="dxa"/>
            <w:tcBorders>
              <w:top w:val="nil"/>
              <w:left w:val="nil"/>
              <w:bottom w:val="single" w:color="auto" w:sz="4" w:space="0"/>
              <w:right w:val="nil"/>
            </w:tcBorders>
          </w:tcPr>
          <w:p w:rsidRPr="00455A75" w:rsidR="00681493" w:rsidP="00681493" w:rsidRDefault="00681493" w14:paraId="3ABA468B" w14:textId="6E9F13F7">
            <w:pPr>
              <w:spacing w:before="144" w:beforeLines="60" w:after="144" w:afterLines="60"/>
              <w:contextualSpacing/>
              <w:rPr>
                <w:rFonts w:eastAsia="Calibri"/>
                <w:lang w:eastAsia="en-GB"/>
              </w:rPr>
            </w:pPr>
            <w:proofErr w:type="spellStart"/>
            <w:r w:rsidRPr="00455A75">
              <w:rPr>
                <w:rFonts w:eastAsia="Calibri"/>
                <w:lang w:eastAsia="en-GB"/>
              </w:rPr>
              <w:lastRenderedPageBreak/>
              <w:t>Bressa</w:t>
            </w:r>
            <w:proofErr w:type="spellEnd"/>
            <w:r w:rsidRPr="00455A75">
              <w:rPr>
                <w:rFonts w:eastAsia="Calibri"/>
                <w:lang w:eastAsia="en-GB"/>
              </w:rPr>
              <w:t xml:space="preserve"> et al., </w:t>
            </w:r>
            <w:r>
              <w:rPr>
                <w:rFonts w:eastAsia="Calibri"/>
                <w:lang w:eastAsia="en-GB"/>
              </w:rPr>
              <w:t>2017</w:t>
            </w:r>
            <w:r w:rsidRPr="00455A75">
              <w:rPr>
                <w:rFonts w:eastAsia="Calibri"/>
                <w:lang w:eastAsia="en-GB"/>
              </w:rPr>
              <w:fldChar w:fldCharType="begin" w:fldLock="1"/>
            </w:r>
            <w:r>
              <w:rPr>
                <w:rFonts w:eastAsia="Calibri"/>
                <w:lang w:eastAsia="en-GB"/>
              </w:rPr>
              <w:instrText>ADDIN CSL_CITATION {"citationItems":[{"id":"ITEM-1","itemData":{"DOI":"10.1371/journal.pone.0171352","ISBN":"1111111111","ISSN":"19326203","PMID":"28187199","abstract":"Physical exercise is a tool to prevent and treat some of the chronic diseases affecting the world's population. A mechanism through which exercise could exert beneficial effects in the body is by provoking alterations to the gut microbiota, an environmental factor that in recent years has been associated with numerous chronic diseases. Here we show that physical exercise performed by women to at least the degree recommended by the World Health Organization can modify the composition of gut microbiota. Using high-throughput sequencing of the 16s rRNA gene, eleven genera were found to be significantly different between active and sedentary women. Quantitative PCR analysis revealed higher abundance of health-promoting bacterial species in active women, including Faecalibacterium prausnitzii, Roseburia hominis and Akkermansia muciniphila. Moreover, body fat percentage, muscular mass and physical activity significantly correlated with several bacterial populations. In summary, we provide the first demonstration of interdependence between some bacterial genera and sedentary behavior parameters, and show that not only does the dose and type of exercise influence the composition of gut microbiota, but also the breaking of sedentary behavior.","author":[{"dropping-particle":"","family":"Bressa","given":"Carlo","non-dropping-particle":"","parse-names":false,"suffix":""},{"dropping-particle":"","family":"Bailén-Andrino","given":"María","non-dropping-particle":"","parse-names":false,"suffix":""},{"dropping-particle":"","family":"Pérez-Santiago","given":"Jennifer","non-dropping-particle":"","parse-names":false,"suffix":""},{"dropping-particle":"","family":"González-Soltero","given":"Rocío","non-dropping-particle":"","parse-names":false,"suffix":""},{"dropping-particle":"","family":"Pérez","given":"Margarita","non-dropping-particle":"","parse-names":false,"suffix":""},{"dropping-particle":"","family":"Montalvo-Lominchar","given":"Maria Gregoria","non-dropping-particle":"","parse-names":false,"suffix":""},{"dropping-particle":"","family":"Maté-Muñoz","given":"Jose Luis","non-dropping-particle":"","parse-names":false,"suffix":""},{"dropping-particle":"","family":"Domínguez","given":"Raúl","non-dropping-particle":"","parse-names":false,"suffix":""},{"dropping-particle":"","family":"Moreno","given":"Diego","non-dropping-particle":"","parse-names":false,"suffix":""},{"dropping-particle":"","family":"Larrosa","given":"Mar","non-dropping-particle":"","parse-names":false,"suffix":""}],"container-title":"PLoS ONE","id":"ITEM-1","issue":"2","issued":{"date-parts":[["2017"]]},"page":"1-20","title":"Differences in gut microbiota profile between women with active lifestyle and sedentary women","type":"article-journal","volume":"12"},"uris":["http://www.mendeley.com/documents/?uuid=eddb6501-317d-4a69-b07d-e7345ec629d3"]}],"mendeley":{"formattedCitation":"(44)","plainTextFormattedCitation":"(44)","previouslyFormattedCitation":"(44)"},"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(4</w:t>
            </w:r>
            <w:r w:rsidR="002878C0">
              <w:rPr>
                <w:rFonts w:eastAsia="Calibri"/>
                <w:noProof/>
                <w:lang w:eastAsia="en-GB"/>
              </w:rPr>
              <w:t>6</w:t>
            </w:r>
            <w:r w:rsidRPr="003651E8">
              <w:rPr>
                <w:rFonts w:eastAsia="Calibri"/>
                <w:noProof/>
                <w:lang w:eastAsia="en-GB"/>
              </w:rPr>
              <w:t>)</w:t>
            </w:r>
            <w:r w:rsidRPr="00455A75">
              <w:rPr>
                <w:rFonts w:eastAsia="Calibri"/>
                <w:lang w:eastAsia="en-GB"/>
              </w:rPr>
              <w:fldChar w:fldCharType="end"/>
            </w:r>
          </w:p>
        </w:tc>
        <w:tc>
          <w:tcPr>
            <w:tcW w:w="2157" w:type="dxa"/>
            <w:tcBorders>
              <w:top w:val="nil"/>
              <w:left w:val="nil"/>
              <w:bottom w:val="single" w:color="auto" w:sz="4" w:space="0"/>
              <w:right w:val="nil"/>
            </w:tcBorders>
          </w:tcPr>
          <w:p w:rsidRPr="00455A75" w:rsidR="00681493" w:rsidP="00681493" w:rsidRDefault="00681493" w14:paraId="173127E0" w14:textId="77777777">
            <w:pPr>
              <w:spacing w:before="144" w:beforeLines="60" w:after="144" w:afterLines="60"/>
              <w:contextualSpacing/>
              <w:rPr>
                <w:rFonts w:eastAsia="Calibri"/>
                <w:lang w:eastAsia="en-GB"/>
              </w:rPr>
            </w:pPr>
            <w:r w:rsidRPr="00455A75">
              <w:rPr>
                <w:rFonts w:eastAsia="Calibri"/>
                <w:lang w:eastAsia="en-GB"/>
              </w:rPr>
              <w:t>N=40 Females, premenopausal.</w:t>
            </w:r>
          </w:p>
          <w:p w:rsidRPr="00455A75" w:rsidR="00681493" w:rsidP="00681493" w:rsidRDefault="00681493" w14:paraId="53D38CFF" w14:textId="77777777">
            <w:pPr>
              <w:pStyle w:val="Prrafodelista"/>
              <w:numPr>
                <w:ilvl w:val="0"/>
                <w:numId w:val="21"/>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eastAsia="Calibri" w:cs="Times New Roman"/>
                <w:lang w:eastAsia="en-GB"/>
              </w:rPr>
              <w:t>Active (A): N=19 (30.7±5.9 years and 24.4±4.5kg/m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75D4FD8E" w14:textId="77777777">
            <w:pPr>
              <w:pStyle w:val="Prrafodelista"/>
              <w:numPr>
                <w:ilvl w:val="0"/>
                <w:numId w:val="21"/>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eastAsia="Calibri" w:cs="Times New Roman"/>
                <w:lang w:eastAsia="en-GB"/>
              </w:rPr>
              <w:t>Sedentary (S): N=21 (32.2±8.7 years and 22.9±3.0kg/m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07103882" w14:textId="77777777">
            <w:pPr>
              <w:spacing w:before="144" w:beforeLines="60" w:after="144" w:afterLines="60"/>
              <w:contextualSpacing/>
              <w:rPr>
                <w:rFonts w:eastAsia="Calibri"/>
                <w:lang w:eastAsia="en-GB"/>
              </w:rPr>
            </w:pPr>
          </w:p>
        </w:tc>
        <w:tc>
          <w:tcPr>
            <w:tcW w:w="3233" w:type="dxa"/>
            <w:tcBorders>
              <w:top w:val="nil"/>
              <w:left w:val="nil"/>
              <w:bottom w:val="single" w:color="auto" w:sz="4" w:space="0"/>
              <w:right w:val="nil"/>
            </w:tcBorders>
          </w:tcPr>
          <w:p w:rsidRPr="00455A75" w:rsidR="00681493" w:rsidP="00681493" w:rsidRDefault="00681493" w14:paraId="145499E3" w14:textId="77777777">
            <w:pPr>
              <w:spacing w:before="144" w:beforeLines="60" w:after="144" w:afterLines="60"/>
              <w:contextualSpacing/>
              <w:rPr>
                <w:rFonts w:eastAsia="Calibri"/>
                <w:lang w:eastAsia="en-GB"/>
              </w:rPr>
            </w:pPr>
            <w:r w:rsidRPr="00455A75">
              <w:rPr>
                <w:rFonts w:eastAsia="Calibri"/>
                <w:lang w:eastAsia="en-GB"/>
              </w:rPr>
              <w:t xml:space="preserve">7 days of measurement of physical activity by accelerometer. </w:t>
            </w:r>
          </w:p>
          <w:p w:rsidRPr="00455A75" w:rsidR="00681493" w:rsidP="00681493" w:rsidRDefault="00681493" w14:paraId="0CA057F5" w14:textId="77777777">
            <w:pPr>
              <w:spacing w:before="144" w:beforeLines="60" w:after="144" w:afterLines="60"/>
              <w:contextualSpacing/>
              <w:rPr>
                <w:rFonts w:eastAsia="Calibri"/>
                <w:lang w:eastAsia="en-GB"/>
              </w:rPr>
            </w:pPr>
          </w:p>
          <w:p w:rsidRPr="00455A75" w:rsidR="00681493" w:rsidP="00681493" w:rsidRDefault="00681493" w14:paraId="7E5B1835" w14:textId="77777777">
            <w:pPr>
              <w:spacing w:before="144" w:beforeLines="60" w:after="144" w:afterLines="60"/>
              <w:contextualSpacing/>
            </w:pPr>
            <w:r w:rsidRPr="00455A75">
              <w:t xml:space="preserve"> </w:t>
            </w:r>
          </w:p>
          <w:p w:rsidRPr="00455A75" w:rsidR="00681493" w:rsidP="00681493" w:rsidRDefault="00681493" w14:paraId="07BCB107" w14:textId="77777777">
            <w:pPr>
              <w:spacing w:before="144" w:beforeLines="60" w:after="144" w:afterLines="60"/>
              <w:contextualSpacing/>
              <w:rPr>
                <w:rFonts w:eastAsia="Calibri"/>
                <w:lang w:eastAsia="en-GB"/>
              </w:rPr>
            </w:pPr>
          </w:p>
        </w:tc>
        <w:tc>
          <w:tcPr>
            <w:tcW w:w="1482" w:type="dxa"/>
            <w:tcBorders>
              <w:top w:val="nil"/>
              <w:left w:val="nil"/>
              <w:bottom w:val="single" w:color="auto" w:sz="4" w:space="0"/>
              <w:right w:val="nil"/>
            </w:tcBorders>
          </w:tcPr>
          <w:p w:rsidRPr="00455A75" w:rsidR="00681493" w:rsidP="00681493" w:rsidRDefault="00681493" w14:paraId="6CE0121D" w14:textId="77777777">
            <w:pPr>
              <w:spacing w:before="144" w:beforeLines="60" w:after="144" w:afterLines="60"/>
              <w:contextualSpacing/>
              <w:rPr>
                <w:rFonts w:eastAsia="Calibri"/>
                <w:lang w:eastAsia="en-GB"/>
              </w:rPr>
            </w:pPr>
            <w:r w:rsidRPr="00455A75">
              <w:t>Standardized diet: No</w:t>
            </w:r>
          </w:p>
          <w:p w:rsidRPr="00455A75" w:rsidR="00681493" w:rsidP="00681493" w:rsidRDefault="00681493" w14:paraId="6B23C1B1" w14:textId="77777777">
            <w:pPr>
              <w:spacing w:before="144" w:beforeLines="60" w:after="144" w:afterLines="60"/>
              <w:contextualSpacing/>
              <w:rPr>
                <w:rFonts w:eastAsia="Calibri"/>
                <w:lang w:eastAsia="en-GB"/>
              </w:rPr>
            </w:pPr>
          </w:p>
          <w:p w:rsidRPr="00455A75" w:rsidR="00681493" w:rsidP="00681493" w:rsidRDefault="00681493" w14:paraId="55CA9783" w14:textId="77777777">
            <w:pPr>
              <w:spacing w:before="144" w:beforeLines="60" w:after="144" w:afterLines="60"/>
              <w:contextualSpacing/>
            </w:pPr>
            <w:r w:rsidRPr="00455A75">
              <w:rPr>
                <w:rFonts w:eastAsia="Calibri"/>
                <w:lang w:eastAsia="en-GB"/>
              </w:rPr>
              <w:t>Adjusted for diet:  Yes</w:t>
            </w:r>
            <w:r w:rsidRPr="00455A75">
              <w:t xml:space="preserve"> (total energy, protein, carbohydrates, lipids, fiber, ethanol, vegetables, cereals, dairy products, fruits, processed meat, beer and coffee, by food frequency questionnaire)</w:t>
            </w:r>
          </w:p>
        </w:tc>
        <w:tc>
          <w:tcPr>
            <w:tcW w:w="1062" w:type="dxa"/>
            <w:tcBorders>
              <w:top w:val="nil"/>
              <w:left w:val="nil"/>
              <w:bottom w:val="single" w:color="auto" w:sz="4" w:space="0"/>
              <w:right w:val="nil"/>
            </w:tcBorders>
          </w:tcPr>
          <w:p w:rsidRPr="00455A75" w:rsidR="00681493" w:rsidP="00681493" w:rsidRDefault="00681493" w14:paraId="5823724D" w14:textId="77777777">
            <w:pPr>
              <w:spacing w:before="144" w:beforeLines="60" w:after="144" w:afterLines="60"/>
              <w:contextualSpacing/>
            </w:pPr>
            <w:r w:rsidRPr="00455A75">
              <w:t>1</w:t>
            </w:r>
          </w:p>
        </w:tc>
        <w:tc>
          <w:tcPr>
            <w:tcW w:w="1448" w:type="dxa"/>
            <w:tcBorders>
              <w:top w:val="nil"/>
              <w:left w:val="nil"/>
              <w:bottom w:val="single" w:color="auto" w:sz="4" w:space="0"/>
              <w:right w:val="nil"/>
            </w:tcBorders>
          </w:tcPr>
          <w:p w:rsidRPr="00455A75" w:rsidR="00681493" w:rsidP="00681493" w:rsidRDefault="00681493" w14:paraId="62E4DB86" w14:textId="77777777">
            <w:pPr>
              <w:spacing w:before="144" w:beforeLines="60" w:after="144" w:afterLines="60"/>
              <w:contextualSpacing/>
              <w:rPr>
                <w:rFonts w:eastAsia="Calibri"/>
                <w:lang w:eastAsia="en-GB"/>
              </w:rPr>
            </w:pPr>
            <w:r w:rsidRPr="00455A75">
              <w:t xml:space="preserve">qPCR: </w:t>
            </w:r>
            <w:proofErr w:type="spellStart"/>
            <w:r w:rsidRPr="00455A75">
              <w:t>MySeq</w:t>
            </w:r>
            <w:proofErr w:type="spellEnd"/>
            <w:r w:rsidRPr="00455A75">
              <w:t xml:space="preserve"> </w:t>
            </w:r>
            <w:r w:rsidRPr="00455A75">
              <w:rPr>
                <w:rFonts w:eastAsia="Calibri"/>
                <w:lang w:eastAsia="en-GB"/>
              </w:rPr>
              <w:t>Illumina</w:t>
            </w:r>
          </w:p>
          <w:p w:rsidRPr="00455A75" w:rsidR="00681493" w:rsidP="00681493" w:rsidRDefault="00681493" w14:paraId="00C67E92" w14:textId="77777777">
            <w:pPr>
              <w:spacing w:before="144" w:beforeLines="60" w:after="144" w:afterLines="60"/>
              <w:contextualSpacing/>
              <w:rPr>
                <w:rFonts w:eastAsia="Calibri"/>
                <w:lang w:eastAsia="en-GB"/>
              </w:rPr>
            </w:pPr>
            <w:r w:rsidRPr="00455A75">
              <w:rPr>
                <w:rFonts w:eastAsia="Calibri"/>
                <w:lang w:eastAsia="en-GB"/>
              </w:rPr>
              <w:t xml:space="preserve">Software: QIIME </w:t>
            </w:r>
          </w:p>
          <w:p w:rsidRPr="00455A75" w:rsidR="00681493" w:rsidP="00681493" w:rsidRDefault="00681493" w14:paraId="59F2672D" w14:textId="77777777">
            <w:pPr>
              <w:spacing w:before="144" w:beforeLines="60" w:after="144" w:afterLines="60"/>
              <w:contextualSpacing/>
              <w:rPr>
                <w:rFonts w:eastAsia="Calibri"/>
                <w:lang w:eastAsia="en-GB"/>
              </w:rPr>
            </w:pPr>
            <w:r w:rsidRPr="00455A75">
              <w:t xml:space="preserve">Reference DB: </w:t>
            </w:r>
            <w:proofErr w:type="spellStart"/>
            <w:r w:rsidRPr="00455A75">
              <w:rPr>
                <w:rFonts w:eastAsia="Calibri"/>
                <w:lang w:eastAsia="en-GB"/>
              </w:rPr>
              <w:t>Greengenes</w:t>
            </w:r>
            <w:proofErr w:type="spellEnd"/>
            <w:r w:rsidRPr="00455A75">
              <w:rPr>
                <w:rFonts w:eastAsia="Calibri"/>
                <w:lang w:eastAsia="en-GB"/>
              </w:rPr>
              <w:t xml:space="preserve"> </w:t>
            </w:r>
          </w:p>
          <w:p w:rsidRPr="00455A75" w:rsidR="00681493" w:rsidP="00681493" w:rsidRDefault="00681493" w14:paraId="436D15C5" w14:textId="77777777">
            <w:pPr>
              <w:spacing w:before="144" w:beforeLines="60" w:after="144" w:afterLines="60"/>
              <w:contextualSpacing/>
            </w:pPr>
            <w:r w:rsidRPr="00455A75">
              <w:t>Outcome: OTU</w:t>
            </w:r>
          </w:p>
          <w:p w:rsidRPr="00455A75" w:rsidR="00681493" w:rsidP="00681493" w:rsidRDefault="00681493" w14:paraId="4AE90580" w14:textId="77777777">
            <w:pPr>
              <w:spacing w:before="144" w:beforeLines="60" w:after="144" w:afterLines="60"/>
              <w:contextualSpacing/>
              <w:rPr>
                <w:rFonts w:eastAsia="Calibri"/>
                <w:lang w:eastAsia="en-GB"/>
              </w:rPr>
            </w:pPr>
          </w:p>
        </w:tc>
        <w:tc>
          <w:tcPr>
            <w:tcW w:w="5252" w:type="dxa"/>
            <w:tcBorders>
              <w:top w:val="nil"/>
              <w:left w:val="nil"/>
              <w:bottom w:val="single" w:color="auto" w:sz="4" w:space="0"/>
              <w:right w:val="nil"/>
            </w:tcBorders>
          </w:tcPr>
          <w:p w:rsidRPr="00455A75" w:rsidR="00681493" w:rsidP="00681493" w:rsidRDefault="00681493" w14:paraId="6884DEA8" w14:textId="77777777">
            <w:pPr>
              <w:spacing w:before="144" w:beforeLines="60" w:after="144" w:afterLines="60"/>
              <w:contextualSpacing/>
              <w:rPr>
                <w:rFonts w:eastAsia="Calibri"/>
                <w:lang w:eastAsia="en-GB"/>
              </w:rPr>
            </w:pPr>
            <w:r w:rsidRPr="00455A75">
              <w:rPr>
                <w:rFonts w:eastAsia="Calibri"/>
                <w:lang w:eastAsia="en-GB"/>
              </w:rPr>
              <w:t xml:space="preserve">Statistical analysis: Bivariate correlation, Spearman correlation coefficients. </w:t>
            </w:r>
          </w:p>
          <w:p w:rsidRPr="00455A75" w:rsidR="00681493" w:rsidP="00681493" w:rsidRDefault="00681493" w14:paraId="4C5EC718" w14:textId="77777777">
            <w:pPr>
              <w:spacing w:before="144" w:beforeLines="60" w:after="144" w:afterLines="60"/>
              <w:contextualSpacing/>
              <w:rPr>
                <w:rFonts w:eastAsia="Calibri"/>
                <w:lang w:eastAsia="en-GB"/>
              </w:rPr>
            </w:pPr>
            <w:r w:rsidRPr="00455A75">
              <w:rPr>
                <w:rFonts w:eastAsia="Calibri"/>
                <w:lang w:eastAsia="en-GB"/>
              </w:rPr>
              <w:t xml:space="preserve">= α-diversity (A = S) </w:t>
            </w:r>
          </w:p>
          <w:p w:rsidRPr="00455A75" w:rsidR="00681493" w:rsidP="00681493" w:rsidRDefault="00681493" w14:paraId="6B08CB6B" w14:textId="77777777">
            <w:pPr>
              <w:spacing w:before="144" w:beforeLines="60" w:after="144" w:afterLines="60"/>
              <w:contextualSpacing/>
              <w:rPr>
                <w:rFonts w:eastAsia="Calibri"/>
                <w:lang w:eastAsia="en-GB"/>
              </w:rPr>
            </w:pPr>
            <w:proofErr w:type="gramStart"/>
            <w:r w:rsidRPr="00455A75">
              <w:rPr>
                <w:rFonts w:eastAsia="Calibri"/>
                <w:lang w:eastAsia="en-GB"/>
              </w:rPr>
              <w:t>β-diversity</w:t>
            </w:r>
            <w:proofErr w:type="gramEnd"/>
            <w:r w:rsidRPr="00455A75">
              <w:rPr>
                <w:rFonts w:eastAsia="Calibri"/>
                <w:lang w:eastAsia="en-GB"/>
              </w:rPr>
              <w:t>: D</w:t>
            </w:r>
            <w:r w:rsidRPr="00455A75">
              <w:rPr>
                <w:rFonts w:eastAsia="Calibri"/>
                <w:color w:val="000000" w:themeColor="text1"/>
                <w:lang w:eastAsia="en-GB"/>
              </w:rPr>
              <w:t xml:space="preserve">istinctly different </w:t>
            </w:r>
            <w:r w:rsidRPr="00455A75">
              <w:rPr>
                <w:rFonts w:eastAsia="Calibri"/>
                <w:lang w:eastAsia="en-GB"/>
              </w:rPr>
              <w:t>clusters seen according to physical activity.</w:t>
            </w:r>
          </w:p>
          <w:p w:rsidRPr="00455A75" w:rsidR="00681493" w:rsidP="00681493" w:rsidRDefault="00681493" w14:paraId="4B70B0B2" w14:textId="77777777">
            <w:pPr>
              <w:spacing w:before="144" w:beforeLines="60" w:after="144" w:afterLines="60"/>
              <w:contextualSpacing/>
            </w:pPr>
            <w:r w:rsidRPr="00455A75">
              <w:t xml:space="preserve">  </w:t>
            </w:r>
          </w:p>
          <w:p w:rsidRPr="00455A75" w:rsidR="00681493" w:rsidP="00681493" w:rsidRDefault="00681493" w14:paraId="3D377B00" w14:textId="77777777">
            <w:pPr>
              <w:spacing w:before="144" w:beforeLines="60" w:after="144" w:afterLines="60"/>
              <w:contextualSpacing/>
              <w:rPr>
                <w:rFonts w:eastAsia="Calibri"/>
                <w:lang w:eastAsia="en-GB"/>
              </w:rPr>
            </w:pPr>
            <w:r w:rsidRPr="00455A75">
              <w:rPr>
                <w:rFonts w:eastAsia="Calibri"/>
                <w:lang w:eastAsia="en-GB"/>
              </w:rPr>
              <w:t xml:space="preserve">Active vs Sedentary: </w:t>
            </w:r>
          </w:p>
          <w:p w:rsidRPr="00455A75" w:rsidR="00681493" w:rsidP="00681493" w:rsidRDefault="00681493" w14:paraId="14767CC7" w14:textId="77777777">
            <w:pPr>
              <w:pStyle w:val="Prrafodelista"/>
              <w:numPr>
                <w:ilvl w:val="0"/>
                <w:numId w:val="22"/>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Families: </w:t>
            </w:r>
          </w:p>
          <w:p w:rsidRPr="00455A75" w:rsidR="00681493" w:rsidP="00681493" w:rsidRDefault="00681493" w14:paraId="209DA69A" w14:textId="77777777">
            <w:pPr>
              <w:pStyle w:val="Prrafodelista"/>
              <w:numPr>
                <w:ilvl w:val="1"/>
                <w:numId w:val="1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color w:val="FF0000"/>
                <w:lang w:eastAsia="en-GB"/>
              </w:rPr>
              <w:t xml:space="preserve"> </w:t>
            </w:r>
            <w:proofErr w:type="spellStart"/>
            <w:r w:rsidRPr="00824816">
              <w:rPr>
                <w:rFonts w:ascii="Times New Roman" w:hAnsi="Times New Roman" w:eastAsia="Calibri" w:cs="Times New Roman"/>
                <w:i/>
                <w:lang w:eastAsia="en-GB"/>
              </w:rPr>
              <w:t>Barnesiellaceae</w:t>
            </w:r>
            <w:proofErr w:type="spellEnd"/>
            <w:r w:rsidRPr="00455A75">
              <w:rPr>
                <w:rFonts w:ascii="Times New Roman" w:hAnsi="Times New Roman" w:eastAsia="Calibri" w:cs="Times New Roman"/>
                <w:lang w:eastAsia="en-GB"/>
              </w:rPr>
              <w:t xml:space="preserve"> </w:t>
            </w:r>
            <w:r w:rsidRPr="00455A75">
              <w:t>(</w:t>
            </w:r>
            <w:r w:rsidRPr="00455A75">
              <w:rPr>
                <w:rFonts w:ascii="Times New Roman" w:hAnsi="Times New Roman" w:eastAsia="Calibri" w:cs="Times New Roman"/>
                <w:lang w:eastAsia="en-GB"/>
              </w:rPr>
              <w:t xml:space="preserve">0.37±0.35% A; </w:t>
            </w:r>
            <w:r w:rsidRPr="00455A75">
              <w:t xml:space="preserve"> </w:t>
            </w:r>
            <w:r w:rsidRPr="00455A75">
              <w:rPr>
                <w:rFonts w:ascii="Times New Roman" w:hAnsi="Times New Roman" w:eastAsia="Calibri" w:cs="Times New Roman"/>
                <w:lang w:eastAsia="en-GB"/>
              </w:rPr>
              <w:t>0.86±0.65% S)</w:t>
            </w:r>
          </w:p>
          <w:p w:rsidRPr="00455A75" w:rsidR="00681493" w:rsidP="00681493" w:rsidRDefault="00681493" w14:paraId="5B0D2049" w14:textId="77777777">
            <w:pPr>
              <w:pStyle w:val="Prrafodelista"/>
              <w:numPr>
                <w:ilvl w:val="1"/>
                <w:numId w:val="1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824816">
              <w:rPr>
                <w:rFonts w:ascii="Times New Roman" w:hAnsi="Times New Roman" w:eastAsia="Calibri" w:cs="Times New Roman"/>
                <w:i/>
                <w:lang w:eastAsia="en-GB"/>
              </w:rPr>
              <w:t>Odoribacteriaceae</w:t>
            </w:r>
            <w:proofErr w:type="spellEnd"/>
            <w:r w:rsidRPr="00455A75">
              <w:rPr>
                <w:rFonts w:ascii="Times New Roman" w:hAnsi="Times New Roman" w:eastAsia="Calibri" w:cs="Times New Roman"/>
                <w:lang w:eastAsia="en-GB"/>
              </w:rPr>
              <w:t xml:space="preserve"> </w:t>
            </w:r>
            <w:r w:rsidRPr="00455A75">
              <w:t>(</w:t>
            </w:r>
            <w:r w:rsidRPr="00455A75">
              <w:rPr>
                <w:rFonts w:ascii="Times New Roman" w:hAnsi="Times New Roman" w:eastAsia="Calibri" w:cs="Times New Roman"/>
                <w:lang w:eastAsia="en-GB"/>
              </w:rPr>
              <w:t xml:space="preserve">0.44±0.26%A; </w:t>
            </w:r>
            <w:r w:rsidRPr="00455A75">
              <w:t xml:space="preserve"> </w:t>
            </w:r>
            <w:r w:rsidRPr="00455A75">
              <w:rPr>
                <w:rFonts w:ascii="Times New Roman" w:hAnsi="Times New Roman" w:eastAsia="Calibri" w:cs="Times New Roman"/>
                <w:lang w:eastAsia="en-GB"/>
              </w:rPr>
              <w:t>0.66±0.40% S)</w:t>
            </w:r>
          </w:p>
          <w:p w:rsidRPr="00455A75" w:rsidR="00681493" w:rsidP="00681493" w:rsidRDefault="00681493" w14:paraId="219C6F28" w14:textId="77777777">
            <w:pPr>
              <w:pStyle w:val="Prrafodelista"/>
              <w:numPr>
                <w:ilvl w:val="0"/>
                <w:numId w:val="18"/>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p>
          <w:p w:rsidRPr="00455A75" w:rsidR="00681493" w:rsidP="00681493" w:rsidRDefault="00681493" w14:paraId="096114D2"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r w:rsidRPr="00455A75">
              <w:rPr>
                <w:rFonts w:ascii="Times New Roman" w:hAnsi="Times New Roman" w:eastAsia="Calibri" w:cs="Times New Roman"/>
                <w:i/>
                <w:lang w:eastAsia="en-GB"/>
              </w:rPr>
              <w:t>Bifidobacterium</w:t>
            </w:r>
          </w:p>
          <w:p w:rsidRPr="00455A75" w:rsidR="00681493" w:rsidP="00681493" w:rsidRDefault="00681493" w14:paraId="6C68741C"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Haemophilus</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7E3B3C5F"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Paraprevotella</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4187FF6C"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Coprococcus</w:t>
            </w:r>
            <w:proofErr w:type="spellEnd"/>
            <w:r w:rsidRPr="00455A75">
              <w:rPr>
                <w:rFonts w:ascii="Times New Roman" w:hAnsi="Times New Roman" w:eastAsia="Calibri" w:cs="Times New Roman"/>
                <w:i/>
                <w:lang w:eastAsia="en-GB"/>
              </w:rPr>
              <w:t xml:space="preserve"> </w:t>
            </w:r>
            <w:r w:rsidRPr="00455A75">
              <w:rPr>
                <w:rFonts w:ascii="Times New Roman" w:hAnsi="Times New Roman" w:eastAsia="Calibri" w:cs="Times New Roman"/>
                <w:lang w:eastAsia="en-GB"/>
              </w:rPr>
              <w:t xml:space="preserve"> </w:t>
            </w:r>
          </w:p>
          <w:p w:rsidRPr="00455A75" w:rsidR="00681493" w:rsidP="00681493" w:rsidRDefault="00681493" w14:paraId="195EB644"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E227B9">
              <w:rPr>
                <w:rFonts w:ascii="Times New Roman" w:hAnsi="Times New Roman" w:eastAsia="Calibri" w:cs="Times New Roman"/>
                <w:i/>
                <w:lang w:eastAsia="en-GB"/>
              </w:rPr>
              <w:t>Ruminococcacear</w:t>
            </w:r>
            <w:proofErr w:type="spellEnd"/>
            <w:r w:rsidRPr="00E227B9">
              <w:rPr>
                <w:rFonts w:ascii="Times New Roman" w:hAnsi="Times New Roman" w:eastAsia="Calibri" w:cs="Times New Roman"/>
                <w:i/>
                <w:lang w:eastAsia="en-GB"/>
              </w:rPr>
              <w:t xml:space="preserve"> UC 1</w:t>
            </w:r>
            <w:r w:rsidRPr="00455A75">
              <w:rPr>
                <w:rFonts w:ascii="Times New Roman" w:hAnsi="Times New Roman" w:eastAsia="Calibri" w:cs="Times New Roman"/>
                <w:lang w:eastAsia="en-GB"/>
              </w:rPr>
              <w:t xml:space="preserve"> </w:t>
            </w:r>
          </w:p>
          <w:p w:rsidRPr="00455A75" w:rsidR="00681493" w:rsidP="00681493" w:rsidRDefault="00681493" w14:paraId="618314FC"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color w:val="FF0000"/>
                <w:lang w:eastAsia="en-GB"/>
              </w:rPr>
              <w:t xml:space="preserve"> </w:t>
            </w:r>
            <w:proofErr w:type="spellStart"/>
            <w:r w:rsidRPr="00E227B9">
              <w:rPr>
                <w:rFonts w:ascii="Times New Roman" w:hAnsi="Times New Roman" w:eastAsia="Calibri" w:cs="Times New Roman"/>
                <w:i/>
                <w:lang w:eastAsia="en-GB"/>
              </w:rPr>
              <w:t>Desulfovibrionaceae</w:t>
            </w:r>
            <w:proofErr w:type="spellEnd"/>
            <w:r w:rsidRPr="00E227B9">
              <w:rPr>
                <w:rFonts w:ascii="Times New Roman" w:hAnsi="Times New Roman" w:eastAsia="Calibri" w:cs="Times New Roman"/>
                <w:i/>
                <w:lang w:eastAsia="en-GB"/>
              </w:rPr>
              <w:t xml:space="preserve"> UC</w:t>
            </w:r>
            <w:r w:rsidRPr="00455A75">
              <w:rPr>
                <w:rFonts w:ascii="Times New Roman" w:hAnsi="Times New Roman" w:eastAsia="Calibri" w:cs="Times New Roman"/>
                <w:lang w:eastAsia="en-GB"/>
              </w:rPr>
              <w:t xml:space="preserve"> </w:t>
            </w:r>
          </w:p>
          <w:p w:rsidRPr="00455A75" w:rsidR="00681493" w:rsidP="00681493" w:rsidRDefault="00681493" w14:paraId="7CC8EFEB"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Turicibacter</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43A90B8C"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E227B9">
              <w:rPr>
                <w:rFonts w:ascii="Times New Roman" w:hAnsi="Times New Roman" w:eastAsia="Calibri" w:cs="Times New Roman"/>
                <w:i/>
                <w:lang w:eastAsia="en-GB"/>
              </w:rPr>
              <w:t>Barnesiellaceae</w:t>
            </w:r>
            <w:proofErr w:type="spellEnd"/>
            <w:r w:rsidRPr="00E227B9">
              <w:rPr>
                <w:rFonts w:ascii="Times New Roman" w:hAnsi="Times New Roman" w:eastAsia="Calibri" w:cs="Times New Roman"/>
                <w:i/>
                <w:lang w:eastAsia="en-GB"/>
              </w:rPr>
              <w:t xml:space="preserve"> UC</w:t>
            </w:r>
            <w:r w:rsidRPr="00455A75">
              <w:rPr>
                <w:rFonts w:ascii="Times New Roman" w:hAnsi="Times New Roman" w:eastAsia="Calibri" w:cs="Times New Roman"/>
                <w:lang w:eastAsia="en-GB"/>
              </w:rPr>
              <w:t xml:space="preserve"> </w:t>
            </w:r>
          </w:p>
          <w:p w:rsidRPr="00455A75" w:rsidR="00681493" w:rsidP="00681493" w:rsidRDefault="00681493" w14:paraId="472CD965"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Odoribacter</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1E9CC1DF"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E227B9">
              <w:rPr>
                <w:rFonts w:ascii="Times New Roman" w:hAnsi="Times New Roman" w:eastAsia="Calibri" w:cs="Times New Roman"/>
                <w:i/>
                <w:lang w:eastAsia="en-GB"/>
              </w:rPr>
              <w:t>Ruminococcacear</w:t>
            </w:r>
            <w:proofErr w:type="spellEnd"/>
            <w:r w:rsidRPr="00E227B9">
              <w:rPr>
                <w:rFonts w:ascii="Times New Roman" w:hAnsi="Times New Roman" w:eastAsia="Calibri" w:cs="Times New Roman"/>
                <w:i/>
                <w:lang w:eastAsia="en-GB"/>
              </w:rPr>
              <w:t xml:space="preserve"> UC2</w:t>
            </w:r>
            <w:r w:rsidRPr="00455A75">
              <w:rPr>
                <w:rFonts w:ascii="Times New Roman" w:hAnsi="Times New Roman" w:eastAsia="Calibri" w:cs="Times New Roman"/>
                <w:lang w:eastAsia="en-GB"/>
              </w:rPr>
              <w:t xml:space="preserve">  </w:t>
            </w:r>
          </w:p>
          <w:p w:rsidRPr="00455A75" w:rsidR="00681493" w:rsidP="00681493" w:rsidRDefault="00681493" w14:paraId="7EC65B1B" w14:textId="77777777">
            <w:pPr>
              <w:pStyle w:val="Prrafodelista"/>
              <w:numPr>
                <w:ilvl w:val="1"/>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Ruminococcus</w:t>
            </w:r>
            <w:proofErr w:type="spellEnd"/>
            <w:r w:rsidRPr="00455A75">
              <w:rPr>
                <w:rFonts w:ascii="Times New Roman" w:hAnsi="Times New Roman" w:eastAsia="Calibri" w:cs="Times New Roman"/>
                <w:lang w:eastAsia="en-GB"/>
              </w:rPr>
              <w:t xml:space="preserve"> </w:t>
            </w:r>
          </w:p>
          <w:p w:rsidRPr="00455A75" w:rsidR="00681493" w:rsidP="00681493" w:rsidRDefault="00681493" w14:paraId="1AA20582" w14:textId="77777777">
            <w:pPr>
              <w:pStyle w:val="Prrafodelista"/>
              <w:numPr>
                <w:ilvl w:val="0"/>
                <w:numId w:val="19"/>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lastRenderedPageBreak/>
              <w:t xml:space="preserve">Species: </w:t>
            </w:r>
          </w:p>
          <w:p w:rsidRPr="00455A75" w:rsidR="00681493" w:rsidP="00681493" w:rsidRDefault="00681493" w14:paraId="54BA18E1" w14:textId="77777777">
            <w:pPr>
              <w:pStyle w:val="Prrafodelista"/>
              <w:numPr>
                <w:ilvl w:val="1"/>
                <w:numId w:val="20"/>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Faecalibacterium</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prausnitzii</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0259429D" w14:textId="77777777">
            <w:pPr>
              <w:pStyle w:val="Prrafodelista"/>
              <w:numPr>
                <w:ilvl w:val="1"/>
                <w:numId w:val="20"/>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Roseburia</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hominis</w:t>
            </w:r>
            <w:proofErr w:type="spellEnd"/>
            <w:r w:rsidRPr="00455A75">
              <w:rPr>
                <w:rFonts w:ascii="Times New Roman" w:hAnsi="Times New Roman" w:eastAsia="Calibri" w:cs="Times New Roman"/>
                <w:lang w:eastAsia="en-GB"/>
              </w:rPr>
              <w:t xml:space="preserve"> </w:t>
            </w:r>
          </w:p>
          <w:p w:rsidRPr="00455A75" w:rsidR="00681493" w:rsidP="00681493" w:rsidRDefault="00681493" w14:paraId="355D3077" w14:textId="77777777">
            <w:pPr>
              <w:pStyle w:val="Prrafodelista"/>
              <w:numPr>
                <w:ilvl w:val="1"/>
                <w:numId w:val="20"/>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Akkermansia</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muciniphila</w:t>
            </w:r>
            <w:proofErr w:type="spellEnd"/>
            <w:r w:rsidRPr="00455A75">
              <w:rPr>
                <w:rFonts w:ascii="Times New Roman" w:hAnsi="Times New Roman" w:eastAsia="Calibri" w:cs="Times New Roman"/>
                <w:lang w:eastAsia="en-GB"/>
              </w:rPr>
              <w:t xml:space="preserve"> </w:t>
            </w:r>
          </w:p>
        </w:tc>
      </w:tr>
      <w:tr w:rsidRPr="00455A75" w:rsidR="00681493" w:rsidTr="00681493" w14:paraId="7A55237E"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05AA3FA4" w14:textId="77777777">
            <w:pPr>
              <w:spacing w:before="144" w:beforeLines="60" w:after="144" w:afterLines="60"/>
              <w:contextualSpacing/>
              <w:rPr>
                <w:rFonts w:eastAsia="Calibri"/>
                <w:lang w:eastAsia="en-GB"/>
              </w:rPr>
            </w:pPr>
            <w:r>
              <w:rPr>
                <w:rFonts w:eastAsia="Calibri"/>
                <w:lang w:eastAsia="en-GB"/>
              </w:rPr>
              <w:lastRenderedPageBreak/>
              <w:t>Petersen et al., 2017</w:t>
            </w:r>
            <w:r w:rsidRPr="00455A75">
              <w:rPr>
                <w:rFonts w:eastAsia="Calibri"/>
                <w:lang w:eastAsia="en-GB"/>
              </w:rPr>
              <w:fldChar w:fldCharType="begin" w:fldLock="1"/>
            </w:r>
            <w:r>
              <w:rPr>
                <w:rFonts w:eastAsia="Calibri"/>
                <w:lang w:eastAsia="en-GB"/>
              </w:rPr>
              <w:instrText>ADDIN CSL_CITATION {"citationItems":[{"id":"ITEM-1","itemData":{"DOI":"10.1186/s40168-017-0320-4","ISBN":"2049-2618 (Electronic) 2049-2618 (Linking)","ISSN":"20492618","PMID":"28797298","abstract":"Changes in diet and exercise can alter the gut microbiome of humans and mice; however, few studies to date have assessed the microbiomes of highly fit athletes. In this pilot study, we used metagenomic whole genome shotgun (mWGS) and metatranscriptomic (RNA-Seq) sequencing to show what organisms are both present and active in the gut microbiomes of both professional and amateur level competitive cyclists and to determine if any significant differences exist between these two groups. Using mWGS sequencing data, we showed that the gut microbiomes of 33 cyclists split into three taxonomic clusters, characterized by either high Prevotella, high Bacteroides or a mix of many genera including Bacteroides, Prevotella, Eubacterium, Ruminococcus, and Akkermansia. While no significant correlations could be found between taxonomic cluster and being either a professional or amateur level cyclist, high abundance of the genus Prevotella (≥2.5%) was significantly correlated with time reported exercising during an average week. Increased abundance of Prevotella was correlated with a number of amino acid and carbohydrate metabolism pathways, including branched chain amino acid metabolism. Further analysis of the metatranscriptome revealed significant taxonomic differences when compared to the metagenome. There was increased abundance of Methanobrevibacter smithii transcripts in a number of professional cyclists in comparison to amateur cyclists and this archaeon had upregulation of genes involved in the production of methane. Furthermore, when methane metabolism was upregulated, there was similar upregulation of energy and carbohydrate metabolism pathways. These results provide a framework for common constituents of the gut community in individuals who follow an exercise-rich lifestyle. These data also suggest how certain organisms such as M. smithii may beneficially influence the metabolic efficiency of the gut community in professional cyclists due to synergistic metabolic cross-feeding events.","author":[{"dropping-particle":"","family":"Petersen","given":"Lauren M.","non-dropping-particle":"","parse-names":false,"suffix":""},{"dropping-particle":"","family":"Bautista","given":"Eddy J.","non-dropping-particle":"","parse-names":false,"suffix":""},{"dropping-particle":"","family":"Nguyen","given":"Hoan","non-dropping-particle":"","parse-names":false,"suffix":""},{"dropping-particle":"","family":"Hanson","given":"Blake M.","non-dropping-particle":"","parse-names":false,"suffix":""},{"dropping-particle":"","family":"Chen","given":"Lei","non-dropping-particle":"","parse-names":false,"suffix":""},{"dropping-particle":"","family":"Lek","given":"Sai H.","non-dropping-particle":"","parse-names":false,"suffix":""},{"dropping-particle":"","family":"Sodergren","given":"Erica","non-dropping-particle":"","parse-names":false,"suffix":""},{"dropping-particle":"","family":"Weinstock","given":"George M.","non-dropping-particle":"","parse-names":false,"suffix":""}],"container-title":"Microbiome","id":"ITEM-1","issue":"1","issued":{"date-parts":[["2017"]]},"page":"1-13","publisher":"Microbiome","title":"Community characteristics of the gut microbiomes of competitive cyclists","type":"article-journal","volume":"5"},"uris":["http://www.mendeley.com/documents/?uuid=6b66e220-98a1-4a5d-9eaf-22d5fedf4d69"]}],"mendeley":{"formattedCitation":"(27)","plainTextFormattedCitation":"(27)","previouslyFormattedCitation":"(27)"},"properties":{"noteIndex":0},"schema":"https://github.com/citation-style-language/schema/raw/master/csl-citation.json"}</w:instrText>
            </w:r>
            <w:r w:rsidRPr="00455A75">
              <w:rPr>
                <w:rFonts w:eastAsia="Calibri"/>
                <w:lang w:eastAsia="en-GB"/>
              </w:rPr>
              <w:fldChar w:fldCharType="separate"/>
            </w:r>
            <w:r w:rsidRPr="0049036B">
              <w:rPr>
                <w:rFonts w:eastAsia="Calibri"/>
                <w:noProof/>
                <w:lang w:eastAsia="en-GB"/>
              </w:rPr>
              <w:t>(27)</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6F582781" w14:textId="77777777">
            <w:pPr>
              <w:spacing w:before="144" w:beforeLines="60" w:after="144" w:afterLines="60"/>
              <w:contextualSpacing/>
              <w:rPr>
                <w:rFonts w:eastAsia="Calibri"/>
                <w:lang w:eastAsia="en-GB"/>
              </w:rPr>
            </w:pPr>
            <w:r w:rsidRPr="00455A75">
              <w:rPr>
                <w:rFonts w:eastAsia="Calibri"/>
                <w:lang w:eastAsia="en-GB"/>
              </w:rPr>
              <w:t xml:space="preserve">N= 33 cyclists (22 males/11 females; 19-49 years) </w:t>
            </w:r>
          </w:p>
          <w:p w:rsidRPr="00455A75" w:rsidR="00681493" w:rsidP="00681493" w:rsidRDefault="00681493" w14:paraId="23F07128" w14:textId="77777777">
            <w:pPr>
              <w:pStyle w:val="Prrafodelista"/>
              <w:numPr>
                <w:ilvl w:val="0"/>
                <w:numId w:val="24"/>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Professionals: N=22</w:t>
            </w:r>
          </w:p>
          <w:p w:rsidRPr="00455A75" w:rsidR="00681493" w:rsidP="00681493" w:rsidRDefault="00681493" w14:paraId="5A31D795" w14:textId="77777777">
            <w:pPr>
              <w:pStyle w:val="Prrafodelista"/>
              <w:numPr>
                <w:ilvl w:val="0"/>
                <w:numId w:val="24"/>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Amateurs: N=11</w:t>
            </w:r>
          </w:p>
        </w:tc>
        <w:tc>
          <w:tcPr>
            <w:tcW w:w="3233" w:type="dxa"/>
            <w:tcBorders>
              <w:top w:val="single" w:color="auto" w:sz="4" w:space="0"/>
              <w:left w:val="nil"/>
              <w:bottom w:val="single" w:color="auto" w:sz="4" w:space="0"/>
              <w:right w:val="nil"/>
            </w:tcBorders>
          </w:tcPr>
          <w:p w:rsidRPr="00455A75" w:rsidR="00681493" w:rsidP="00681493" w:rsidRDefault="00681493" w14:paraId="452856FB" w14:textId="77777777">
            <w:pPr>
              <w:spacing w:before="144" w:beforeLines="60" w:after="144" w:afterLines="60"/>
              <w:contextualSpacing/>
              <w:rPr>
                <w:rFonts w:eastAsia="Calibri"/>
                <w:lang w:eastAsia="en-GB"/>
              </w:rPr>
            </w:pPr>
            <w:r w:rsidRPr="00455A75">
              <w:rPr>
                <w:rFonts w:eastAsia="Calibri"/>
                <w:lang w:eastAsia="en-GB"/>
              </w:rPr>
              <w:t>Assessment of physical activity levels by questionnaires on the average number of hours of exercise per week (h/</w:t>
            </w:r>
            <w:proofErr w:type="spellStart"/>
            <w:r w:rsidRPr="00455A75">
              <w:rPr>
                <w:rFonts w:eastAsia="Calibri"/>
                <w:lang w:eastAsia="en-GB"/>
              </w:rPr>
              <w:t>wk</w:t>
            </w:r>
            <w:proofErr w:type="spellEnd"/>
            <w:r w:rsidRPr="00455A75">
              <w:rPr>
                <w:rFonts w:eastAsia="Calibri"/>
                <w:lang w:eastAsia="en-GB"/>
              </w:rPr>
              <w:t xml:space="preserve">): </w:t>
            </w:r>
          </w:p>
          <w:p w:rsidRPr="00455A75" w:rsidR="00681493" w:rsidP="00681493" w:rsidRDefault="00681493" w14:paraId="379DAB95" w14:textId="77777777">
            <w:pPr>
              <w:pStyle w:val="Prrafodelista"/>
              <w:numPr>
                <w:ilvl w:val="0"/>
                <w:numId w:val="2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6-10h</w:t>
            </w:r>
          </w:p>
          <w:p w:rsidRPr="00455A75" w:rsidR="00681493" w:rsidP="00681493" w:rsidRDefault="00681493" w14:paraId="36CC4926" w14:textId="77777777">
            <w:pPr>
              <w:pStyle w:val="Prrafodelista"/>
              <w:numPr>
                <w:ilvl w:val="0"/>
                <w:numId w:val="2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11-15h</w:t>
            </w:r>
          </w:p>
          <w:p w:rsidRPr="00455A75" w:rsidR="00681493" w:rsidP="00681493" w:rsidRDefault="00681493" w14:paraId="561EFE5C" w14:textId="77777777">
            <w:pPr>
              <w:pStyle w:val="Prrafodelista"/>
              <w:numPr>
                <w:ilvl w:val="0"/>
                <w:numId w:val="2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16-20h</w:t>
            </w:r>
          </w:p>
          <w:p w:rsidRPr="00455A75" w:rsidR="00681493" w:rsidP="00681493" w:rsidRDefault="00681493" w14:paraId="7E10FB2A" w14:textId="77777777">
            <w:pPr>
              <w:pStyle w:val="Prrafodelista"/>
              <w:numPr>
                <w:ilvl w:val="0"/>
                <w:numId w:val="24"/>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&gt;20h</w:t>
            </w:r>
          </w:p>
        </w:tc>
        <w:tc>
          <w:tcPr>
            <w:tcW w:w="1482" w:type="dxa"/>
            <w:tcBorders>
              <w:top w:val="single" w:color="auto" w:sz="4" w:space="0"/>
              <w:left w:val="nil"/>
              <w:bottom w:val="single" w:color="auto" w:sz="4" w:space="0"/>
              <w:right w:val="nil"/>
            </w:tcBorders>
          </w:tcPr>
          <w:p w:rsidRPr="00455A75" w:rsidR="00681493" w:rsidP="00681493" w:rsidRDefault="00681493" w14:paraId="6C80821A" w14:textId="77777777">
            <w:pPr>
              <w:spacing w:before="144" w:beforeLines="60" w:after="144" w:afterLines="60"/>
              <w:contextualSpacing/>
            </w:pPr>
            <w:r w:rsidRPr="00455A75">
              <w:t xml:space="preserve">Standardized diet: No </w:t>
            </w:r>
          </w:p>
          <w:p w:rsidRPr="00455A75" w:rsidR="00681493" w:rsidP="00681493" w:rsidRDefault="00681493" w14:paraId="190C056D" w14:textId="77777777">
            <w:pPr>
              <w:spacing w:before="144" w:beforeLines="60" w:after="144" w:afterLines="60"/>
              <w:contextualSpacing/>
            </w:pPr>
          </w:p>
          <w:p w:rsidRPr="00455A75" w:rsidR="00681493" w:rsidP="00681493" w:rsidRDefault="00681493" w14:paraId="7D38E250" w14:textId="77777777">
            <w:pPr>
              <w:spacing w:before="144" w:beforeLines="60" w:after="144" w:afterLines="60"/>
              <w:contextualSpacing/>
            </w:pPr>
            <w:r w:rsidRPr="00455A75">
              <w:t>Adjusted for diet: Yes (questionnaire NR)</w:t>
            </w:r>
          </w:p>
        </w:tc>
        <w:tc>
          <w:tcPr>
            <w:tcW w:w="1062" w:type="dxa"/>
            <w:tcBorders>
              <w:top w:val="single" w:color="auto" w:sz="4" w:space="0"/>
              <w:left w:val="nil"/>
              <w:bottom w:val="single" w:color="auto" w:sz="4" w:space="0"/>
              <w:right w:val="nil"/>
            </w:tcBorders>
          </w:tcPr>
          <w:p w:rsidRPr="00455A75" w:rsidR="00681493" w:rsidP="00681493" w:rsidRDefault="00681493" w14:paraId="0A4F0E5A" w14:textId="77777777">
            <w:pPr>
              <w:spacing w:before="144" w:beforeLines="60" w:after="144" w:afterLines="60"/>
              <w:contextualSpacing/>
            </w:pPr>
            <w:r w:rsidRPr="00455A75">
              <w:t>1</w:t>
            </w:r>
          </w:p>
        </w:tc>
        <w:tc>
          <w:tcPr>
            <w:tcW w:w="1448" w:type="dxa"/>
            <w:tcBorders>
              <w:top w:val="single" w:color="auto" w:sz="4" w:space="0"/>
              <w:left w:val="nil"/>
              <w:bottom w:val="single" w:color="auto" w:sz="4" w:space="0"/>
              <w:right w:val="nil"/>
            </w:tcBorders>
          </w:tcPr>
          <w:p w:rsidRPr="00455A75" w:rsidR="00681493" w:rsidP="00681493" w:rsidRDefault="00681493" w14:paraId="15E64CC5" w14:textId="77777777">
            <w:pPr>
              <w:spacing w:before="144" w:beforeLines="60" w:after="144" w:afterLines="60"/>
              <w:contextualSpacing/>
              <w:rPr>
                <w:rFonts w:eastAsia="Calibri"/>
                <w:lang w:eastAsia="en-GB"/>
              </w:rPr>
            </w:pPr>
            <w:r w:rsidRPr="00455A75">
              <w:t xml:space="preserve">qPCR: </w:t>
            </w:r>
            <w:proofErr w:type="spellStart"/>
            <w:r w:rsidRPr="00455A75">
              <w:t>MySeq</w:t>
            </w:r>
            <w:proofErr w:type="spellEnd"/>
            <w:r w:rsidRPr="00455A75">
              <w:t xml:space="preserve"> </w:t>
            </w:r>
            <w:r w:rsidRPr="00455A75">
              <w:rPr>
                <w:rFonts w:eastAsia="Calibri"/>
                <w:lang w:eastAsia="en-GB"/>
              </w:rPr>
              <w:t>Illumina</w:t>
            </w:r>
          </w:p>
          <w:p w:rsidRPr="00455A75" w:rsidR="00681493" w:rsidP="00681493" w:rsidRDefault="00681493" w14:paraId="3F1BCC47" w14:textId="77777777">
            <w:pPr>
              <w:spacing w:before="144" w:beforeLines="60" w:after="144" w:afterLines="60"/>
              <w:contextualSpacing/>
              <w:rPr>
                <w:rFonts w:eastAsia="Calibri"/>
                <w:lang w:eastAsia="en-GB"/>
              </w:rPr>
            </w:pPr>
            <w:r w:rsidRPr="00455A75">
              <w:rPr>
                <w:rFonts w:eastAsia="Calibri"/>
                <w:lang w:eastAsia="en-GB"/>
              </w:rPr>
              <w:t>Software: R studio</w:t>
            </w:r>
          </w:p>
          <w:p w:rsidRPr="00455A75" w:rsidR="00681493" w:rsidP="00681493" w:rsidRDefault="00681493" w14:paraId="287887CD" w14:textId="77777777">
            <w:pPr>
              <w:spacing w:before="144" w:beforeLines="60" w:after="144" w:afterLines="60"/>
              <w:contextualSpacing/>
              <w:rPr>
                <w:rFonts w:eastAsia="Calibri"/>
                <w:lang w:eastAsia="en-GB"/>
              </w:rPr>
            </w:pPr>
            <w:r w:rsidRPr="00455A75">
              <w:rPr>
                <w:rFonts w:eastAsia="Calibri"/>
                <w:lang w:eastAsia="en-GB"/>
              </w:rPr>
              <w:t>References DB: RDP</w:t>
            </w:r>
          </w:p>
          <w:p w:rsidRPr="00455A75" w:rsidR="00681493" w:rsidP="00681493" w:rsidRDefault="00681493" w14:paraId="32FE8C4E" w14:textId="77777777">
            <w:pPr>
              <w:spacing w:before="144" w:beforeLines="60" w:after="144" w:afterLines="60"/>
              <w:contextualSpacing/>
              <w:rPr>
                <w:rFonts w:eastAsia="Calibri"/>
                <w:lang w:eastAsia="en-GB"/>
              </w:rPr>
            </w:pPr>
            <w:r w:rsidRPr="00455A75">
              <w:rPr>
                <w:rFonts w:eastAsia="Calibri"/>
                <w:lang w:eastAsia="en-GB"/>
              </w:rPr>
              <w:t>Outcome: Abundance relative</w:t>
            </w:r>
          </w:p>
        </w:tc>
        <w:tc>
          <w:tcPr>
            <w:tcW w:w="5252" w:type="dxa"/>
            <w:tcBorders>
              <w:top w:val="single" w:color="auto" w:sz="4" w:space="0"/>
              <w:left w:val="nil"/>
              <w:bottom w:val="single" w:color="auto" w:sz="4" w:space="0"/>
              <w:right w:val="nil"/>
            </w:tcBorders>
          </w:tcPr>
          <w:p w:rsidRPr="00455A75" w:rsidR="00681493" w:rsidP="00681493" w:rsidRDefault="00681493" w14:paraId="6A595517" w14:textId="77777777">
            <w:pPr>
              <w:spacing w:before="144" w:beforeLines="60" w:after="144" w:afterLines="60"/>
              <w:contextualSpacing/>
              <w:rPr>
                <w:rFonts w:eastAsia="Calibri"/>
                <w:lang w:eastAsia="en-GB"/>
              </w:rPr>
            </w:pPr>
            <w:r w:rsidRPr="00455A75">
              <w:rPr>
                <w:rFonts w:eastAsia="Calibri"/>
                <w:lang w:eastAsia="en-GB"/>
              </w:rPr>
              <w:t>Statistical analysis: Spearman rank and Fisher correlations</w:t>
            </w:r>
          </w:p>
          <w:p w:rsidRPr="00455A75" w:rsidR="00681493" w:rsidP="00681493" w:rsidRDefault="00681493" w14:paraId="00223B83" w14:textId="77777777">
            <w:pPr>
              <w:spacing w:before="144" w:beforeLines="60" w:after="144" w:afterLines="60"/>
              <w:contextualSpacing/>
              <w:rPr>
                <w:rFonts w:eastAsia="Calibri"/>
                <w:lang w:eastAsia="en-GB"/>
              </w:rPr>
            </w:pPr>
            <w:r w:rsidRPr="00455A75">
              <w:rPr>
                <w:rFonts w:eastAsia="Calibri"/>
                <w:lang w:eastAsia="en-GB"/>
              </w:rPr>
              <w:t xml:space="preserve">No significant differences between professionals and amateurs </w:t>
            </w:r>
          </w:p>
          <w:p w:rsidRPr="00455A75" w:rsidR="00681493" w:rsidP="00681493" w:rsidRDefault="00681493" w14:paraId="3C51B023" w14:textId="77777777">
            <w:pPr>
              <w:spacing w:before="144" w:beforeLines="60" w:after="144" w:afterLines="60"/>
              <w:contextualSpacing/>
              <w:rPr>
                <w:rFonts w:eastAsia="Calibri"/>
                <w:lang w:eastAsia="en-GB"/>
              </w:rPr>
            </w:pPr>
            <w:r w:rsidRPr="00455A75">
              <w:rPr>
                <w:rFonts w:eastAsia="Calibri"/>
                <w:lang w:eastAsia="en-GB"/>
              </w:rPr>
              <w:t xml:space="preserve">According to exercise load: </w:t>
            </w:r>
          </w:p>
          <w:p w:rsidRPr="00455A75" w:rsidR="00681493" w:rsidP="00681493" w:rsidRDefault="00681493" w14:paraId="24DEF440" w14:textId="77777777">
            <w:pPr>
              <w:pStyle w:val="Prrafodelista"/>
              <w:numPr>
                <w:ilvl w:val="0"/>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&gt;20h/w: </w:t>
            </w:r>
          </w:p>
          <w:p w:rsidRPr="00455A75" w:rsidR="00681493" w:rsidP="00681493" w:rsidRDefault="00681493" w14:paraId="184D12B2" w14:textId="77777777">
            <w:pPr>
              <w:pStyle w:val="Prrafodelista"/>
              <w:numPr>
                <w:ilvl w:val="1"/>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Prevotella</w:t>
            </w:r>
            <w:proofErr w:type="spellEnd"/>
            <w:r w:rsidRPr="00455A75">
              <w:rPr>
                <w:rFonts w:ascii="Times New Roman" w:hAnsi="Times New Roman" w:eastAsia="Calibri" w:cs="Times New Roman"/>
                <w:lang w:eastAsia="en-GB"/>
              </w:rPr>
              <w:t xml:space="preserve"> (14.75%)</w:t>
            </w:r>
          </w:p>
          <w:p w:rsidRPr="00455A75" w:rsidR="00681493" w:rsidP="00681493" w:rsidRDefault="00681493" w14:paraId="5FD2E92A" w14:textId="77777777">
            <w:pPr>
              <w:pStyle w:val="Prrafodelista"/>
              <w:numPr>
                <w:ilvl w:val="0"/>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16-20h/w:</w:t>
            </w:r>
          </w:p>
          <w:p w:rsidRPr="00455A75" w:rsidR="00681493" w:rsidP="00681493" w:rsidRDefault="00681493" w14:paraId="3947DA6F" w14:textId="77777777">
            <w:pPr>
              <w:pStyle w:val="Prrafodelista"/>
              <w:numPr>
                <w:ilvl w:val="1"/>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r w:rsidRPr="00455A75">
              <w:rPr>
                <w:rFonts w:ascii="Times New Roman" w:hAnsi="Times New Roman" w:eastAsia="Calibri" w:cs="Times New Roman"/>
                <w:b/>
                <w:sz w:val="24"/>
                <w:lang w:eastAsia="en-GB"/>
              </w:rPr>
              <w:t>↑</w:t>
            </w:r>
            <w:r w:rsidRPr="00455A75">
              <w:rPr>
                <w:rFonts w:ascii="Times New Roman" w:hAnsi="Times New Roman" w:eastAsia="Calibri" w:cs="Times New Roman"/>
                <w:i/>
                <w:color w:val="92D050"/>
                <w:lang w:eastAsia="en-GB"/>
              </w:rPr>
              <w:t xml:space="preserve"> </w:t>
            </w:r>
            <w:proofErr w:type="spellStart"/>
            <w:r w:rsidRPr="00455A75">
              <w:rPr>
                <w:rFonts w:ascii="Times New Roman" w:hAnsi="Times New Roman" w:eastAsia="Calibri" w:cs="Times New Roman"/>
                <w:i/>
                <w:lang w:eastAsia="en-GB"/>
              </w:rPr>
              <w:t>Prevotella</w:t>
            </w:r>
            <w:proofErr w:type="spellEnd"/>
            <w:r w:rsidRPr="00455A75">
              <w:rPr>
                <w:rFonts w:ascii="Times New Roman" w:hAnsi="Times New Roman" w:eastAsia="Calibri" w:cs="Times New Roman"/>
                <w:lang w:eastAsia="en-GB"/>
              </w:rPr>
              <w:t xml:space="preserve"> (12.12%)</w:t>
            </w:r>
          </w:p>
          <w:p w:rsidRPr="00455A75" w:rsidR="00681493" w:rsidP="00681493" w:rsidRDefault="00681493" w14:paraId="14939690" w14:textId="77777777">
            <w:pPr>
              <w:pStyle w:val="Prrafodelista"/>
              <w:numPr>
                <w:ilvl w:val="0"/>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&gt;11h/w:</w:t>
            </w:r>
          </w:p>
          <w:p w:rsidRPr="00455A75" w:rsidR="00681493" w:rsidP="00681493" w:rsidRDefault="00681493" w14:paraId="7D03DBAA" w14:textId="77777777">
            <w:pPr>
              <w:pStyle w:val="Prrafodelista"/>
              <w:numPr>
                <w:ilvl w:val="1"/>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Prevotella</w:t>
            </w:r>
            <w:proofErr w:type="spellEnd"/>
            <w:r w:rsidRPr="00455A75">
              <w:rPr>
                <w:rFonts w:ascii="Times New Roman" w:hAnsi="Times New Roman" w:eastAsia="Calibri" w:cs="Times New Roman"/>
                <w:lang w:eastAsia="en-GB"/>
              </w:rPr>
              <w:t xml:space="preserve"> (≥2.5%)</w:t>
            </w:r>
          </w:p>
          <w:p w:rsidRPr="00455A75" w:rsidR="00681493" w:rsidP="00681493" w:rsidRDefault="00681493" w14:paraId="180F024B" w14:textId="77777777">
            <w:pPr>
              <w:pStyle w:val="Prrafodelista"/>
              <w:numPr>
                <w:ilvl w:val="0"/>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6-10h/w:</w:t>
            </w:r>
          </w:p>
          <w:p w:rsidRPr="00455A75" w:rsidR="00681493" w:rsidP="00681493" w:rsidRDefault="00681493" w14:paraId="12D7C2B4" w14:textId="77777777">
            <w:pPr>
              <w:pStyle w:val="Prrafodelista"/>
              <w:numPr>
                <w:ilvl w:val="1"/>
                <w:numId w:val="25"/>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r w:rsidRPr="00455A75">
              <w:rPr>
                <w:rFonts w:ascii="Times New Roman" w:hAnsi="Times New Roman" w:eastAsia="Calibri" w:cs="Times New Roman"/>
                <w:b/>
                <w:sz w:val="24"/>
                <w:lang w:eastAsia="en-GB"/>
              </w:rPr>
              <w:t>↑</w:t>
            </w:r>
            <w:r w:rsidRPr="00455A75">
              <w:rPr>
                <w:rFonts w:ascii="Times New Roman" w:hAnsi="Times New Roman" w:eastAsia="Calibri" w:cs="Times New Roman"/>
                <w:color w:val="92D050"/>
                <w:lang w:eastAsia="en-GB"/>
              </w:rPr>
              <w:t xml:space="preserve"> </w:t>
            </w:r>
            <w:proofErr w:type="spellStart"/>
            <w:r w:rsidRPr="00455A75">
              <w:rPr>
                <w:rFonts w:ascii="Times New Roman" w:hAnsi="Times New Roman" w:eastAsia="Calibri" w:cs="Times New Roman"/>
                <w:i/>
                <w:lang w:eastAsia="en-GB"/>
              </w:rPr>
              <w:t>Prevotella</w:t>
            </w:r>
            <w:proofErr w:type="spellEnd"/>
            <w:r w:rsidRPr="00455A75">
              <w:rPr>
                <w:rFonts w:ascii="Times New Roman" w:hAnsi="Times New Roman" w:eastAsia="Calibri" w:cs="Times New Roman"/>
                <w:lang w:eastAsia="en-GB"/>
              </w:rPr>
              <w:t xml:space="preserve"> (0.15%)</w:t>
            </w:r>
          </w:p>
        </w:tc>
      </w:tr>
      <w:tr w:rsidRPr="00455A75" w:rsidR="00681493" w:rsidTr="00681493" w14:paraId="4628EA75"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2F3F8A24" w14:textId="77777777">
            <w:pPr>
              <w:spacing w:before="144" w:beforeLines="60" w:after="144" w:afterLines="60"/>
              <w:contextualSpacing/>
              <w:rPr>
                <w:rFonts w:eastAsia="Calibri"/>
                <w:lang w:eastAsia="en-GB"/>
              </w:rPr>
            </w:pPr>
            <w:r>
              <w:rPr>
                <w:rFonts w:eastAsia="Calibri"/>
                <w:lang w:eastAsia="en-GB"/>
              </w:rPr>
              <w:t>Barton et al., 2018</w:t>
            </w:r>
            <w:r w:rsidRPr="00455A75">
              <w:rPr>
                <w:rFonts w:eastAsia="Calibri"/>
                <w:lang w:eastAsia="en-GB"/>
              </w:rPr>
              <w:fldChar w:fldCharType="begin" w:fldLock="1"/>
            </w:r>
            <w:r>
              <w:rPr>
                <w:rFonts w:eastAsia="Calibri"/>
                <w:lang w:eastAsia="en-GB"/>
              </w:rPr>
              <w:instrText>ADDIN CSL_CITATION {"citationItems":[{"id":"ITEM-1","itemData":{"DOI":"10.1136/gutjnl-2016-313627","ISBN":"0017-5749","ISSN":"14683288","PMID":"28360096","abstract":"OBJECTIVE It is evident that the gut microbiota and factors that influence its composition and activity effect human metabolic, immunological and developmental processes. We previously reported that extreme physical activity with associated dietary adaptations, such as that pursued by professional athletes, is associated with changes in faecal microbial diversity and composition relative to that of individuals with a more sedentary lifestyle. Here we address the impact of these factors on the functionality/metabolic activity of the microbiota which reveals even greater separation between exercise and a more sedentary state. DESIGN Metabolic phenotyping and functional metagenomic analysis of the gut microbiome of professional international rugby union players (n=40) and controls (n=46) was carried out and results were correlated with lifestyle parameters and clinical measurements (eg, dietary habit and serum creatine kinase, respectively). RESULTS Athletes had relative increases in pathways (eg, amino acid and antibiotic biosynthesis and carbohydrate metabolism) and faecal metabolites (eg, microbial produced short-chain fatty acids (SCFAs) acetate, propionate and butyrate) associated with enhanced muscle turnover (fitness) and overall health when compared with control groups. CONCLUSIONS Differences in faecal microbiota between athletes and sedentary controls show even greater separation at the metagenomic and metabolomic than at compositional levels and provide added insight into the diet-exercise-gut microbiota paradigm.","author":[{"dropping-particle":"","family":"Barton","given":"Wiley","non-dropping-particle":"","parse-names":false,"suffix":""},{"dropping-particle":"","family":"Penney","given":"Nicholas C.","non-dropping-particle":"","parse-names":false,"suffix":""},{"dropping-particle":"","family":"Cronin","given":"Owen","non-dropping-particle":"","parse-names":false,"suffix":""},{"dropping-particle":"","family":"Garcia-Perez","given":"Isabel","non-dropping-particle":"","parse-names":false,"suffix":""},{"dropping-particle":"","family":"Molloy","given":"Michael G.","non-dropping-particle":"","parse-names":false,"suffix":""},{"dropping-particle":"","family":"Holmes","given":"Elaine","non-dropping-particle":"","parse-names":false,"suffix":""},{"dropping-particle":"","family":"Shanahan","given":"Fergus","non-dropping-particle":"","parse-names":false,"suffix":""},{"dropping-particle":"","family":"Cotter","given":"Paul D.","non-dropping-particle":"","parse-names":false,"suffix":""},{"dropping-particle":"","family":"O'Sullivan","given":"Orla","non-dropping-particle":"","parse-names":false,"suffix":""}],"container-title":"Gut","id":"ITEM-1","issue":"4","issued":{"date-parts":[["2018"]]},"page":"625-633","title":"The microbiome of professional athletes differs from that of more sedentary subjects in composition and particularly at the functional metabolic level","type":"article-journal","volume":"67"},"uris":["http://www.mendeley.com/documents/?uuid=db092a72-24b9-4c01-b5f0-92997b639b0a"]}],"mendeley":{"formattedCitation":"(28)","plainTextFormattedCitation":"(28)","previouslyFormattedCitation":"(28)"},"properties":{"noteIndex":0},"schema":"https://github.com/citation-style-language/schema/raw/master/csl-citation.json"}</w:instrText>
            </w:r>
            <w:r w:rsidRPr="00455A75">
              <w:rPr>
                <w:rFonts w:eastAsia="Calibri"/>
                <w:lang w:eastAsia="en-GB"/>
              </w:rPr>
              <w:fldChar w:fldCharType="separate"/>
            </w:r>
            <w:r w:rsidRPr="0049036B">
              <w:rPr>
                <w:rFonts w:eastAsia="Calibri"/>
                <w:noProof/>
                <w:lang w:eastAsia="en-GB"/>
              </w:rPr>
              <w:t>(28)</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33A35A2D" w14:textId="77777777">
            <w:pPr>
              <w:spacing w:before="144" w:beforeLines="60" w:after="144" w:afterLines="60"/>
              <w:contextualSpacing/>
              <w:rPr>
                <w:rFonts w:eastAsia="Calibri"/>
                <w:lang w:eastAsia="en-GB"/>
              </w:rPr>
            </w:pPr>
            <w:r w:rsidRPr="00455A75">
              <w:rPr>
                <w:rFonts w:eastAsia="Calibri"/>
                <w:lang w:eastAsia="en-GB"/>
              </w:rPr>
              <w:t xml:space="preserve">N=86 males </w:t>
            </w:r>
          </w:p>
          <w:p w:rsidRPr="00455A75" w:rsidR="00681493" w:rsidP="00681493" w:rsidRDefault="00681493" w14:paraId="1CC734AF" w14:textId="77777777">
            <w:pPr>
              <w:pStyle w:val="Prrafodelista"/>
              <w:numPr>
                <w:ilvl w:val="0"/>
                <w:numId w:val="9"/>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Athletes: N=40 (28.8±3.8 years)</w:t>
            </w:r>
          </w:p>
          <w:p w:rsidRPr="00455A75" w:rsidR="00681493" w:rsidP="00681493" w:rsidRDefault="00681493" w14:paraId="213CEA3A" w14:textId="77777777">
            <w:pPr>
              <w:pStyle w:val="Prrafodelista"/>
              <w:numPr>
                <w:ilvl w:val="0"/>
                <w:numId w:val="9"/>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Low BMI control: N=22 (28.1±5.1 years) </w:t>
            </w:r>
          </w:p>
          <w:p w:rsidRPr="00455A75" w:rsidR="00681493" w:rsidP="00681493" w:rsidRDefault="00681493" w14:paraId="38F285F1" w14:textId="77777777">
            <w:pPr>
              <w:pStyle w:val="Prrafodelista"/>
              <w:numPr>
                <w:ilvl w:val="0"/>
                <w:numId w:val="9"/>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High BMI control: N=24 (30.8±5.6 years)</w:t>
            </w:r>
          </w:p>
        </w:tc>
        <w:tc>
          <w:tcPr>
            <w:tcW w:w="3233" w:type="dxa"/>
            <w:tcBorders>
              <w:top w:val="single" w:color="auto" w:sz="4" w:space="0"/>
              <w:left w:val="nil"/>
              <w:bottom w:val="single" w:color="auto" w:sz="4" w:space="0"/>
              <w:right w:val="nil"/>
            </w:tcBorders>
          </w:tcPr>
          <w:p w:rsidRPr="00455A75" w:rsidR="00681493" w:rsidP="00681493" w:rsidRDefault="00681493" w14:paraId="4B094458" w14:textId="77777777">
            <w:pPr>
              <w:spacing w:before="144" w:beforeLines="60" w:after="144" w:afterLines="60"/>
              <w:contextualSpacing/>
              <w:rPr>
                <w:rFonts w:eastAsia="Calibri"/>
                <w:lang w:eastAsia="en-GB"/>
              </w:rPr>
            </w:pPr>
            <w:r w:rsidRPr="00455A75">
              <w:rPr>
                <w:rFonts w:eastAsia="Calibri"/>
                <w:lang w:eastAsia="en-GB"/>
              </w:rPr>
              <w:t>Assessment of physical activity levels by EPIC-Norfolk questionnaire.</w:t>
            </w:r>
          </w:p>
          <w:p w:rsidRPr="00455A75" w:rsidR="00681493" w:rsidP="00681493" w:rsidRDefault="00681493" w14:paraId="3D8FBCFC" w14:textId="77777777">
            <w:pPr>
              <w:spacing w:before="144" w:beforeLines="60" w:after="144" w:afterLines="60"/>
              <w:contextualSpacing/>
              <w:rPr>
                <w:rFonts w:eastAsia="Calibri"/>
                <w:lang w:eastAsia="en-GB"/>
              </w:rPr>
            </w:pPr>
          </w:p>
          <w:p w:rsidRPr="00455A75" w:rsidR="00681493" w:rsidP="00681493" w:rsidRDefault="00681493" w14:paraId="4E51E14B" w14:textId="77777777">
            <w:pPr>
              <w:spacing w:before="144" w:beforeLines="60" w:after="144" w:afterLines="60"/>
              <w:contextualSpacing/>
            </w:pPr>
          </w:p>
        </w:tc>
        <w:tc>
          <w:tcPr>
            <w:tcW w:w="1482" w:type="dxa"/>
            <w:tcBorders>
              <w:top w:val="single" w:color="auto" w:sz="4" w:space="0"/>
              <w:left w:val="nil"/>
              <w:bottom w:val="single" w:color="auto" w:sz="4" w:space="0"/>
              <w:right w:val="nil"/>
            </w:tcBorders>
          </w:tcPr>
          <w:p w:rsidRPr="00455A75" w:rsidR="00681493" w:rsidP="00681493" w:rsidRDefault="00681493" w14:paraId="363CDA9B" w14:textId="77777777">
            <w:pPr>
              <w:spacing w:before="144" w:beforeLines="60" w:after="144" w:afterLines="60"/>
              <w:contextualSpacing/>
            </w:pPr>
            <w:r w:rsidRPr="00455A75">
              <w:t xml:space="preserve">Standardized diet: No </w:t>
            </w:r>
          </w:p>
          <w:p w:rsidRPr="00455A75" w:rsidR="00681493" w:rsidP="00681493" w:rsidRDefault="00681493" w14:paraId="579B3669" w14:textId="77777777">
            <w:pPr>
              <w:spacing w:before="144" w:beforeLines="60" w:after="144" w:afterLines="60"/>
              <w:contextualSpacing/>
            </w:pPr>
          </w:p>
          <w:p w:rsidRPr="00455A75" w:rsidR="00681493" w:rsidP="00681493" w:rsidRDefault="00681493" w14:paraId="78834CA2" w14:textId="77777777">
            <w:pPr>
              <w:spacing w:before="144" w:beforeLines="60" w:after="144" w:afterLines="60"/>
              <w:contextualSpacing/>
            </w:pPr>
            <w:r w:rsidRPr="00455A75">
              <w:t>Adjusted for diet: No</w:t>
            </w:r>
          </w:p>
          <w:p w:rsidRPr="00455A75" w:rsidR="00681493" w:rsidP="00681493" w:rsidRDefault="00681493" w14:paraId="601FD1AB" w14:textId="77777777">
            <w:pPr>
              <w:spacing w:before="144" w:beforeLines="60" w:after="144" w:afterLines="60"/>
              <w:contextualSpacing/>
            </w:pPr>
          </w:p>
        </w:tc>
        <w:tc>
          <w:tcPr>
            <w:tcW w:w="1062" w:type="dxa"/>
            <w:tcBorders>
              <w:top w:val="single" w:color="auto" w:sz="4" w:space="0"/>
              <w:left w:val="nil"/>
              <w:bottom w:val="single" w:color="auto" w:sz="4" w:space="0"/>
              <w:right w:val="nil"/>
            </w:tcBorders>
          </w:tcPr>
          <w:p w:rsidRPr="00455A75" w:rsidR="00681493" w:rsidP="00681493" w:rsidRDefault="00681493" w14:paraId="3FBB7FD6" w14:textId="77777777">
            <w:pPr>
              <w:spacing w:before="144" w:beforeLines="60" w:after="144" w:afterLines="60"/>
              <w:contextualSpacing/>
            </w:pPr>
            <w:r w:rsidRPr="00455A75">
              <w:t>1</w:t>
            </w:r>
          </w:p>
        </w:tc>
        <w:tc>
          <w:tcPr>
            <w:tcW w:w="1448" w:type="dxa"/>
            <w:tcBorders>
              <w:top w:val="single" w:color="auto" w:sz="4" w:space="0"/>
              <w:left w:val="nil"/>
              <w:bottom w:val="single" w:color="auto" w:sz="4" w:space="0"/>
              <w:right w:val="nil"/>
            </w:tcBorders>
          </w:tcPr>
          <w:p w:rsidRPr="00455A75" w:rsidR="00681493" w:rsidP="00681493" w:rsidRDefault="00681493" w14:paraId="1724121B" w14:textId="77777777">
            <w:pPr>
              <w:spacing w:before="144" w:beforeLines="60" w:after="144" w:afterLines="60"/>
              <w:contextualSpacing/>
              <w:rPr>
                <w:rFonts w:eastAsia="Calibri"/>
                <w:lang w:eastAsia="en-GB"/>
              </w:rPr>
            </w:pPr>
            <w:r w:rsidRPr="00455A75">
              <w:rPr>
                <w:rFonts w:eastAsia="Calibri"/>
                <w:lang w:eastAsia="en-GB"/>
              </w:rPr>
              <w:t xml:space="preserve">qPCR:  </w:t>
            </w:r>
            <w:proofErr w:type="spellStart"/>
            <w:r w:rsidRPr="00455A75">
              <w:rPr>
                <w:rFonts w:eastAsia="Calibri"/>
                <w:lang w:eastAsia="en-GB"/>
              </w:rPr>
              <w:t>HiSeq</w:t>
            </w:r>
            <w:proofErr w:type="spellEnd"/>
            <w:r w:rsidRPr="00455A75">
              <w:rPr>
                <w:rFonts w:eastAsia="Calibri"/>
                <w:lang w:eastAsia="en-GB"/>
              </w:rPr>
              <w:t xml:space="preserve"> Illumina </w:t>
            </w:r>
          </w:p>
          <w:p w:rsidRPr="00455A75" w:rsidR="00681493" w:rsidP="00681493" w:rsidRDefault="00681493" w14:paraId="5DD755B9" w14:textId="77777777">
            <w:pPr>
              <w:spacing w:before="144" w:beforeLines="60" w:after="144" w:afterLines="60"/>
              <w:contextualSpacing/>
              <w:rPr>
                <w:rFonts w:eastAsia="Calibri"/>
                <w:lang w:eastAsia="en-GB"/>
              </w:rPr>
            </w:pPr>
            <w:r w:rsidRPr="00455A75">
              <w:rPr>
                <w:rFonts w:eastAsia="Calibri"/>
                <w:lang w:eastAsia="en-GB"/>
              </w:rPr>
              <w:t>Software: HUMAnN2 V.0.5.0 pipeline.</w:t>
            </w:r>
          </w:p>
          <w:p w:rsidRPr="00455A75" w:rsidR="00681493" w:rsidP="00681493" w:rsidRDefault="00681493" w14:paraId="290071BA" w14:textId="77777777">
            <w:pPr>
              <w:spacing w:before="144" w:beforeLines="60" w:after="144" w:afterLines="60"/>
              <w:contextualSpacing/>
              <w:rPr>
                <w:rFonts w:eastAsia="Calibri"/>
                <w:lang w:eastAsia="en-GB"/>
              </w:rPr>
            </w:pPr>
            <w:r w:rsidRPr="00455A75">
              <w:rPr>
                <w:rFonts w:eastAsia="Calibri"/>
                <w:lang w:eastAsia="en-GB"/>
              </w:rPr>
              <w:t xml:space="preserve">References DB: </w:t>
            </w:r>
            <w:proofErr w:type="spellStart"/>
            <w:r w:rsidRPr="00455A75">
              <w:rPr>
                <w:rFonts w:eastAsia="Calibri"/>
                <w:lang w:eastAsia="en-GB"/>
              </w:rPr>
              <w:t>Metacyc</w:t>
            </w:r>
            <w:proofErr w:type="spellEnd"/>
            <w:r w:rsidRPr="00455A75">
              <w:rPr>
                <w:rFonts w:eastAsia="Calibri"/>
                <w:lang w:eastAsia="en-GB"/>
              </w:rPr>
              <w:t xml:space="preserve"> </w:t>
            </w:r>
          </w:p>
          <w:p w:rsidRPr="00455A75" w:rsidR="00681493" w:rsidP="00681493" w:rsidRDefault="00681493" w14:paraId="1117A60B" w14:textId="77777777">
            <w:pPr>
              <w:spacing w:before="144" w:beforeLines="60" w:after="144" w:afterLines="60"/>
              <w:contextualSpacing/>
              <w:rPr>
                <w:rFonts w:eastAsia="Calibri"/>
                <w:lang w:eastAsia="en-GB"/>
              </w:rPr>
            </w:pPr>
            <w:r w:rsidRPr="00455A75">
              <w:rPr>
                <w:rFonts w:eastAsia="Calibri"/>
                <w:lang w:eastAsia="en-GB"/>
              </w:rPr>
              <w:t xml:space="preserve">Outcome: relative </w:t>
            </w:r>
            <w:r w:rsidRPr="00455A75">
              <w:rPr>
                <w:rFonts w:eastAsia="Calibri"/>
                <w:lang w:eastAsia="en-GB"/>
              </w:rPr>
              <w:lastRenderedPageBreak/>
              <w:t xml:space="preserve">abundance </w:t>
            </w:r>
          </w:p>
        </w:tc>
        <w:tc>
          <w:tcPr>
            <w:tcW w:w="5252" w:type="dxa"/>
            <w:tcBorders>
              <w:top w:val="single" w:color="auto" w:sz="4" w:space="0"/>
              <w:left w:val="nil"/>
              <w:bottom w:val="single" w:color="auto" w:sz="4" w:space="0"/>
              <w:right w:val="nil"/>
            </w:tcBorders>
          </w:tcPr>
          <w:p w:rsidRPr="00455A75" w:rsidR="00681493" w:rsidP="00681493" w:rsidRDefault="00681493" w14:paraId="5349B3AF" w14:textId="77777777">
            <w:pPr>
              <w:spacing w:before="144" w:beforeLines="60" w:after="144" w:afterLines="60"/>
              <w:contextualSpacing/>
              <w:rPr>
                <w:rFonts w:eastAsia="Calibri"/>
                <w:lang w:eastAsia="en-GB"/>
              </w:rPr>
            </w:pPr>
            <w:r w:rsidRPr="00455A75">
              <w:rPr>
                <w:rFonts w:eastAsia="Calibri"/>
                <w:lang w:eastAsia="en-GB"/>
              </w:rPr>
              <w:lastRenderedPageBreak/>
              <w:t xml:space="preserve">Statistical analysis: </w:t>
            </w:r>
            <w:proofErr w:type="spellStart"/>
            <w:r w:rsidRPr="00455A75">
              <w:rPr>
                <w:rFonts w:eastAsia="Calibri"/>
                <w:lang w:eastAsia="en-GB"/>
              </w:rPr>
              <w:t>Kruskal</w:t>
            </w:r>
            <w:proofErr w:type="spellEnd"/>
            <w:r w:rsidRPr="00455A75">
              <w:rPr>
                <w:rFonts w:eastAsia="Calibri"/>
                <w:lang w:eastAsia="en-GB"/>
              </w:rPr>
              <w:t>-Wallis test</w:t>
            </w:r>
          </w:p>
          <w:p w:rsidRPr="00455A75" w:rsidR="00681493" w:rsidP="00681493" w:rsidRDefault="00681493" w14:paraId="4D7F298C" w14:textId="77777777">
            <w:pPr>
              <w:spacing w:before="144" w:beforeLines="60" w:after="144" w:afterLines="60"/>
              <w:contextualSpacing/>
              <w:rPr>
                <w:rFonts w:eastAsia="Calibri"/>
                <w:lang w:eastAsia="en-GB"/>
              </w:rPr>
            </w:pPr>
            <w:r w:rsidRPr="00455A75">
              <w:rPr>
                <w:rFonts w:eastAsia="Calibri"/>
                <w:b/>
                <w:lang w:eastAsia="en-GB"/>
              </w:rPr>
              <w:t>↑</w:t>
            </w:r>
            <w:r w:rsidRPr="00455A75">
              <w:rPr>
                <w:rFonts w:eastAsia="Calibri"/>
                <w:lang w:eastAsia="en-GB"/>
              </w:rPr>
              <w:t xml:space="preserve"> α-diversity in athlete group</w:t>
            </w:r>
          </w:p>
          <w:p w:rsidRPr="00455A75" w:rsidR="00681493" w:rsidP="00681493" w:rsidRDefault="00681493" w14:paraId="2269CC0F" w14:textId="77777777">
            <w:pPr>
              <w:spacing w:before="144" w:beforeLines="60" w:after="144" w:afterLines="60"/>
              <w:contextualSpacing/>
              <w:rPr>
                <w:rFonts w:eastAsia="Calibri"/>
                <w:lang w:eastAsia="en-GB"/>
              </w:rPr>
            </w:pPr>
            <w:r w:rsidRPr="00455A75">
              <w:rPr>
                <w:rFonts w:eastAsia="Calibri"/>
                <w:lang w:eastAsia="en-GB"/>
              </w:rPr>
              <w:t>Athletes vs control group:</w:t>
            </w:r>
          </w:p>
          <w:p w:rsidRPr="00455A75" w:rsidR="00681493" w:rsidP="00681493" w:rsidRDefault="00681493" w14:paraId="4FC61A04" w14:textId="77777777">
            <w:pPr>
              <w:pStyle w:val="Prrafodelista"/>
              <w:numPr>
                <w:ilvl w:val="0"/>
                <w:numId w:val="1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SCFAs</w:t>
            </w:r>
          </w:p>
          <w:p w:rsidRPr="00455A75" w:rsidR="00681493" w:rsidP="00681493" w:rsidRDefault="00681493" w14:paraId="7DE0D8A0" w14:textId="77777777">
            <w:pPr>
              <w:pStyle w:val="Prrafodelista"/>
              <w:numPr>
                <w:ilvl w:val="1"/>
                <w:numId w:val="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Propionate </w:t>
            </w:r>
          </w:p>
          <w:p w:rsidRPr="00455A75" w:rsidR="00681493" w:rsidP="00681493" w:rsidRDefault="00681493" w14:paraId="35E375C6" w14:textId="77777777">
            <w:pPr>
              <w:pStyle w:val="Prrafodelista"/>
              <w:numPr>
                <w:ilvl w:val="1"/>
                <w:numId w:val="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Acetate </w:t>
            </w:r>
          </w:p>
          <w:p w:rsidRPr="00455A75" w:rsidR="00681493" w:rsidP="00681493" w:rsidRDefault="00681493" w14:paraId="722A0C50" w14:textId="77777777">
            <w:pPr>
              <w:pStyle w:val="Prrafodelista"/>
              <w:numPr>
                <w:ilvl w:val="1"/>
                <w:numId w:val="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Butyrate </w:t>
            </w:r>
          </w:p>
          <w:p w:rsidRPr="00455A75" w:rsidR="00681493" w:rsidP="00681493" w:rsidRDefault="00681493" w14:paraId="52273BAB" w14:textId="77777777">
            <w:pPr>
              <w:pStyle w:val="Prrafodelista"/>
              <w:numPr>
                <w:ilvl w:val="1"/>
                <w:numId w:val="7"/>
              </w:numPr>
              <w:spacing w:before="144" w:beforeLines="60" w:after="144" w:afterLines="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lang w:eastAsia="en-GB"/>
              </w:rPr>
              <w:t>Valerate</w:t>
            </w:r>
            <w:proofErr w:type="spellEnd"/>
            <w:r w:rsidRPr="00455A75">
              <w:rPr>
                <w:rFonts w:ascii="Times New Roman" w:hAnsi="Times New Roman" w:eastAsia="Calibri" w:cs="Times New Roman"/>
                <w:lang w:eastAsia="en-GB"/>
              </w:rPr>
              <w:t xml:space="preserve"> </w:t>
            </w:r>
          </w:p>
        </w:tc>
      </w:tr>
      <w:tr w:rsidRPr="00455A75" w:rsidR="00681493" w:rsidTr="00681493" w14:paraId="0FE097E8"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2AB77474" w14:textId="77777777">
            <w:pPr>
              <w:spacing w:before="144" w:beforeLines="60" w:after="144" w:afterLines="60"/>
              <w:contextualSpacing/>
              <w:rPr>
                <w:rFonts w:eastAsia="Calibri"/>
                <w:lang w:eastAsia="en-GB"/>
              </w:rPr>
            </w:pPr>
            <w:proofErr w:type="spellStart"/>
            <w:r>
              <w:rPr>
                <w:rFonts w:eastAsia="Calibri"/>
                <w:lang w:eastAsia="en-GB"/>
              </w:rPr>
              <w:lastRenderedPageBreak/>
              <w:t>Durk</w:t>
            </w:r>
            <w:proofErr w:type="spellEnd"/>
            <w:r>
              <w:rPr>
                <w:rFonts w:eastAsia="Calibri"/>
                <w:lang w:eastAsia="en-GB"/>
              </w:rPr>
              <w:t xml:space="preserve"> et al., 2018</w:t>
            </w:r>
            <w:r w:rsidRPr="00455A75">
              <w:rPr>
                <w:rFonts w:eastAsia="Calibri"/>
                <w:lang w:eastAsia="en-GB"/>
              </w:rPr>
              <w:fldChar w:fldCharType="begin" w:fldLock="1"/>
            </w:r>
            <w:r>
              <w:rPr>
                <w:rFonts w:eastAsia="Calibri"/>
                <w:lang w:eastAsia="en-GB"/>
              </w:rPr>
              <w:instrText>ADDIN CSL_CITATION {"citationItems":[{"id":"ITEM-1","itemData":{"DOI":"10.1123/ijsnem.2018-0024","ISBN":"8128562452","ISSN":"1526-484X","PMID":"24911322","abstract":"“Gut Microbiota Composition is Related to Cardiorespiratory Fitness in Healthy Young Adults” by Durk RP et al. International Journal of Sport Nutrition and Exercise Metabolism © 2018 Human Kinetics, Inc. ABSTRACT Bacteria residing in the human gastrointestinal (GI) tract has a symbiotic relationship with its host. Animal models have demonstrated a relationship between exercise and gut microbiota composition. This was the first study to explore the relationship between cardiorespiratory fitness (maximal oxygen consumption, VO2max) and relative gut microbiota composition [Firmicutes to Bacteroidetes ratio (F/B)] in healthy young adults in a free-living environment. Twenty males and 18 females (25.7±2.2 y), who did not take antibiotics in the last 6 months, volunteered for this study. VO2max was measured using a symptom-limited graded treadmill test. Relative microbiota composition was determined by analyzing DNA extracted from stool samples using Quantitative Polymerase Chain Reaction (qPCR) that specifically measured the quantity of a target gene (16s RNA) found in Firmicutes and Bacteroidetes. Relationships between F/B and potentially related dietary, anthropometric, and fitness variables were assessed using correlation analyses with appropriate Bonferroni adjustment (p&lt;0.004). Average F/B ratio in all participants was 0.94±0.03. F/B ratio was significantly correlated to VO2max (r=0.48, p&lt;0.003) but, no other fitness, nutritional intake, or anthropometric variables (p&gt;0.004). VO2max explained ~22% of the variance of an individual’s relative gut bacteria as determined by F/B ratio. These data support animal findings, demonstrating a relationship between relative human gut microbiota composition and cardiorespiratory fitness in healthy young adults. GI bacteria is integral in regulating a myriad of physiological processes, and greater insight regarding ramifications of exercise and nutrition on gut microbial composition may help guide therapies to promote human health.","author":[{"dropping-particle":"","family":"Durk","given":"Ryan P.","non-dropping-particle":"","parse-names":false,"suffix":""},{"dropping-particle":"","family":"Castillo","given":"Esperanza","non-dropping-particle":"","parse-names":false,"suffix":""},{"dropping-particle":"","family":"Márquez-Magaña","given":"Leticia","non-dropping-particle":"","parse-names":false,"suffix":""},{"dropping-particle":"","family":"Grosicki","given":"Gregory J.","non-dropping-particle":"","parse-names":false,"suffix":""},{"dropping-particle":"","family":"Bolter","given":"Nicole D.","non-dropping-particle":"","parse-names":false,"suffix":""},{"dropping-particle":"","family":"Lee","given":"C. Matthew","non-dropping-particle":"","parse-names":false,"suffix":""},{"dropping-particle":"","family":"Bagley","given":"James R.","non-dropping-particle":"","parse-names":false,"suffix":""}],"container-title":"International Journal of Sport Nutrition and Exercise Metabolism","id":"ITEM-1","issue":"July","issued":{"date-parts":[["2018"]]},"page":"1-15","title":"Gut Microbiota Composition is Related to Cardiorespiratory Fitness in Healthy Young Adults","type":"article-journal"},"uris":["http://www.mendeley.com/documents/?uuid=e1a49f45-506e-4043-9d9e-a4243cd86202"]}],"mendeley":{"formattedCitation":"(33)","plainTextFormattedCitation":"(33)","previouslyFormattedCitation":"(33)"},"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(33)</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5AFB59D6" w14:textId="77777777">
            <w:pPr>
              <w:spacing w:before="144" w:beforeLines="60" w:after="144" w:afterLines="60"/>
              <w:contextualSpacing/>
            </w:pPr>
            <w:r w:rsidRPr="00455A75">
              <w:t xml:space="preserve">N=37  </w:t>
            </w:r>
          </w:p>
          <w:p w:rsidRPr="00455A75" w:rsidR="00681493" w:rsidP="00681493" w:rsidRDefault="00681493" w14:paraId="77B23C75" w14:textId="77777777">
            <w:pPr>
              <w:pStyle w:val="Prrafodelista"/>
              <w:numPr>
                <w:ilvl w:val="0"/>
                <w:numId w:val="10"/>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cs="Times New Roman"/>
              </w:rPr>
              <w:t>Males: N=20 (25.9±2.7 years and 24.1±4.0 kg/m</w:t>
            </w:r>
            <w:r w:rsidRPr="00455A75">
              <w:rPr>
                <w:rFonts w:ascii="Times New Roman" w:hAnsi="Times New Roman" w:cs="Times New Roman"/>
                <w:vertAlign w:val="superscript"/>
              </w:rPr>
              <w:t>2</w:t>
            </w:r>
          </w:p>
          <w:p w:rsidRPr="00455A75" w:rsidR="00681493" w:rsidP="00681493" w:rsidRDefault="00681493" w14:paraId="0BC64CEB" w14:textId="77777777">
            <w:pPr>
              <w:pStyle w:val="Prrafodelista"/>
              <w:numPr>
                <w:ilvl w:val="0"/>
                <w:numId w:val="10"/>
              </w:numPr>
              <w:spacing w:before="144" w:beforeLines="60" w:after="144" w:afterLines="60" w:line="240" w:lineRule="auto"/>
              <w:ind w:left="527" w:hanging="357"/>
              <w:rPr>
                <w:rFonts w:ascii="Times New Roman" w:hAnsi="Times New Roman" w:cs="Times New Roman"/>
              </w:rPr>
            </w:pPr>
            <w:r w:rsidRPr="00455A75">
              <w:rPr>
                <w:rFonts w:ascii="Times New Roman" w:hAnsi="Times New Roman" w:cs="Times New Roman"/>
              </w:rPr>
              <w:t>Females: N=17 (25.4±1.8 years and 23.2±3.0 kg/m</w:t>
            </w:r>
            <w:r w:rsidRPr="00455A75">
              <w:rPr>
                <w:rFonts w:ascii="Times New Roman" w:hAnsi="Times New Roman" w:cs="Times New Roman"/>
                <w:vertAlign w:val="superscript"/>
              </w:rPr>
              <w:t>2</w:t>
            </w:r>
            <w:r w:rsidRPr="00455A75">
              <w:rPr>
                <w:rFonts w:ascii="Times New Roman" w:hAnsi="Times New Roman" w:cs="Times New Roman"/>
              </w:rPr>
              <w:t>)</w:t>
            </w:r>
          </w:p>
          <w:p w:rsidRPr="00455A75" w:rsidR="00681493" w:rsidP="00681493" w:rsidRDefault="00681493" w14:paraId="518182F3" w14:textId="77777777">
            <w:pPr>
              <w:spacing w:before="144" w:beforeLines="60" w:after="144" w:afterLines="60"/>
              <w:contextualSpacing/>
            </w:pPr>
          </w:p>
        </w:tc>
        <w:tc>
          <w:tcPr>
            <w:tcW w:w="3233" w:type="dxa"/>
            <w:tcBorders>
              <w:top w:val="single" w:color="auto" w:sz="4" w:space="0"/>
              <w:left w:val="nil"/>
              <w:bottom w:val="single" w:color="auto" w:sz="4" w:space="0"/>
              <w:right w:val="nil"/>
            </w:tcBorders>
          </w:tcPr>
          <w:p w:rsidRPr="00455A75" w:rsidR="00681493" w:rsidP="00681493" w:rsidRDefault="00681493" w14:paraId="70898B3A" w14:textId="77777777">
            <w:pPr>
              <w:spacing w:before="144" w:beforeLines="60" w:after="144" w:afterLines="60"/>
              <w:contextualSpacing/>
            </w:pPr>
            <w:r w:rsidRPr="00455A75">
              <w:t xml:space="preserve">Assessment of cardiorespiratory </w:t>
            </w:r>
            <w:proofErr w:type="gramStart"/>
            <w:r w:rsidRPr="00455A75">
              <w:t>fitness  (</w:t>
            </w:r>
            <w:proofErr w:type="gramEnd"/>
            <w:r w:rsidRPr="00455A75">
              <w:t>VO</w:t>
            </w:r>
            <w:r w:rsidRPr="00455A75">
              <w:rPr>
                <w:vertAlign w:val="subscript"/>
              </w:rPr>
              <w:t>2max</w:t>
            </w:r>
            <w:r w:rsidRPr="00455A75">
              <w:t xml:space="preserve">) by treadmill. </w:t>
            </w:r>
          </w:p>
          <w:p w:rsidRPr="00455A75" w:rsidR="00681493" w:rsidP="00681493" w:rsidRDefault="00681493" w14:paraId="67AF1FF0" w14:textId="77777777">
            <w:pPr>
              <w:pStyle w:val="Prrafodelista"/>
              <w:numPr>
                <w:ilvl w:val="0"/>
                <w:numId w:val="17"/>
              </w:numPr>
              <w:spacing w:before="144" w:beforeLines="60" w:after="144" w:afterLines="60" w:line="240" w:lineRule="auto"/>
              <w:rPr>
                <w:rFonts w:ascii="Times New Roman" w:hAnsi="Times New Roman" w:cs="Times New Roman"/>
              </w:rPr>
            </w:pPr>
            <w:r w:rsidRPr="00455A75">
              <w:rPr>
                <w:rFonts w:ascii="Times New Roman" w:hAnsi="Times New Roman" w:cs="Times New Roman"/>
              </w:rPr>
              <w:t>Incline: increased by 2% every 2 minutes</w:t>
            </w:r>
          </w:p>
          <w:p w:rsidRPr="00455A75" w:rsidR="00681493" w:rsidP="00681493" w:rsidRDefault="00681493" w14:paraId="44691B5F" w14:textId="77777777">
            <w:pPr>
              <w:pStyle w:val="Prrafodelista"/>
              <w:numPr>
                <w:ilvl w:val="0"/>
                <w:numId w:val="17"/>
              </w:numPr>
              <w:spacing w:before="144" w:beforeLines="60" w:after="144" w:afterLines="60" w:line="240" w:lineRule="auto"/>
              <w:rPr>
                <w:rFonts w:ascii="Times New Roman" w:hAnsi="Times New Roman" w:cs="Times New Roman"/>
              </w:rPr>
            </w:pPr>
            <w:r w:rsidRPr="00455A75">
              <w:rPr>
                <w:rFonts w:ascii="Times New Roman" w:hAnsi="Times New Roman" w:cs="Times New Roman"/>
              </w:rPr>
              <w:t xml:space="preserve">Speed: constant </w:t>
            </w:r>
          </w:p>
          <w:p w:rsidRPr="00455A75" w:rsidR="00681493" w:rsidP="00681493" w:rsidRDefault="00681493" w14:paraId="0F4BD58B" w14:textId="77777777">
            <w:pPr>
              <w:pStyle w:val="Prrafodelista"/>
              <w:numPr>
                <w:ilvl w:val="0"/>
                <w:numId w:val="17"/>
              </w:numPr>
              <w:spacing w:before="144" w:beforeLines="60" w:after="144" w:afterLines="60" w:line="240" w:lineRule="auto"/>
              <w:rPr>
                <w:rFonts w:ascii="Times New Roman" w:hAnsi="Times New Roman" w:cs="Times New Roman"/>
              </w:rPr>
            </w:pPr>
            <w:r w:rsidRPr="00455A75">
              <w:rPr>
                <w:rFonts w:ascii="Times New Roman" w:hAnsi="Times New Roman" w:cs="Times New Roman"/>
              </w:rPr>
              <w:t>End: participant reached self-declared exhaustion.</w:t>
            </w:r>
          </w:p>
          <w:p w:rsidRPr="00455A75" w:rsidR="00681493" w:rsidP="00681493" w:rsidRDefault="00681493" w14:paraId="6B4BFAA7" w14:textId="77777777">
            <w:pPr>
              <w:spacing w:before="144" w:beforeLines="60" w:after="144" w:afterLines="60"/>
              <w:contextualSpacing/>
            </w:pPr>
          </w:p>
          <w:p w:rsidRPr="00455A75" w:rsidR="00681493" w:rsidP="00681493" w:rsidRDefault="00681493" w14:paraId="5CDBCB9B" w14:textId="77777777">
            <w:pPr>
              <w:spacing w:before="144" w:beforeLines="60" w:after="144" w:afterLines="60"/>
              <w:contextualSpacing/>
            </w:pPr>
          </w:p>
        </w:tc>
        <w:tc>
          <w:tcPr>
            <w:tcW w:w="1482" w:type="dxa"/>
            <w:tcBorders>
              <w:top w:val="single" w:color="auto" w:sz="4" w:space="0"/>
              <w:left w:val="nil"/>
              <w:bottom w:val="single" w:color="auto" w:sz="4" w:space="0"/>
              <w:right w:val="nil"/>
            </w:tcBorders>
          </w:tcPr>
          <w:p w:rsidRPr="00455A75" w:rsidR="00681493" w:rsidP="00681493" w:rsidRDefault="00681493" w14:paraId="771EEBB9" w14:textId="77777777">
            <w:pPr>
              <w:spacing w:before="144" w:beforeLines="60" w:after="144" w:afterLines="60"/>
              <w:contextualSpacing/>
            </w:pPr>
            <w:r w:rsidRPr="00455A75">
              <w:t xml:space="preserve">Standardized diet: No </w:t>
            </w:r>
          </w:p>
          <w:p w:rsidRPr="00455A75" w:rsidR="00681493" w:rsidP="00681493" w:rsidRDefault="00681493" w14:paraId="7846000E" w14:textId="77777777">
            <w:pPr>
              <w:spacing w:before="144" w:beforeLines="60" w:after="144" w:afterLines="60"/>
              <w:contextualSpacing/>
            </w:pPr>
          </w:p>
          <w:p w:rsidRPr="00455A75" w:rsidR="00681493" w:rsidP="00681493" w:rsidRDefault="00681493" w14:paraId="307D1000" w14:textId="77777777">
            <w:pPr>
              <w:spacing w:before="144" w:beforeLines="60" w:after="144" w:afterLines="60"/>
              <w:contextualSpacing/>
            </w:pPr>
            <w:r w:rsidRPr="00455A75">
              <w:t>Adjusted for diet: No</w:t>
            </w:r>
          </w:p>
        </w:tc>
        <w:tc>
          <w:tcPr>
            <w:tcW w:w="1062" w:type="dxa"/>
            <w:tcBorders>
              <w:top w:val="single" w:color="auto" w:sz="4" w:space="0"/>
              <w:left w:val="nil"/>
              <w:bottom w:val="single" w:color="auto" w:sz="4" w:space="0"/>
              <w:right w:val="nil"/>
            </w:tcBorders>
          </w:tcPr>
          <w:p w:rsidRPr="00455A75" w:rsidR="00681493" w:rsidP="00681493" w:rsidRDefault="00681493" w14:paraId="48DB8DAA" w14:textId="77777777">
            <w:pPr>
              <w:spacing w:before="144" w:beforeLines="60" w:after="144" w:afterLines="60"/>
              <w:contextualSpacing/>
            </w:pPr>
            <w:r w:rsidRPr="00455A75">
              <w:t>1</w:t>
            </w:r>
          </w:p>
        </w:tc>
        <w:tc>
          <w:tcPr>
            <w:tcW w:w="1448" w:type="dxa"/>
            <w:tcBorders>
              <w:top w:val="single" w:color="auto" w:sz="4" w:space="0"/>
              <w:left w:val="nil"/>
              <w:bottom w:val="single" w:color="auto" w:sz="4" w:space="0"/>
              <w:right w:val="nil"/>
            </w:tcBorders>
          </w:tcPr>
          <w:p w:rsidRPr="00455A75" w:rsidR="00681493" w:rsidP="00681493" w:rsidRDefault="00681493" w14:paraId="29D69F68" w14:textId="77777777">
            <w:pPr>
              <w:spacing w:before="144" w:beforeLines="60" w:after="144" w:afterLines="60"/>
              <w:contextualSpacing/>
            </w:pPr>
            <w:r w:rsidRPr="00455A75">
              <w:t>qPCR: FAST SYBR Green</w:t>
            </w:r>
          </w:p>
          <w:p w:rsidRPr="00455A75" w:rsidR="00681493" w:rsidP="00681493" w:rsidRDefault="00681493" w14:paraId="29AE1ACB" w14:textId="77777777">
            <w:pPr>
              <w:spacing w:before="144" w:beforeLines="60" w:after="144" w:afterLines="60"/>
              <w:contextualSpacing/>
            </w:pPr>
            <w:r w:rsidRPr="00455A75">
              <w:t>Software: Master Mix</w:t>
            </w:r>
          </w:p>
          <w:p w:rsidRPr="00455A75" w:rsidR="00681493" w:rsidP="00681493" w:rsidRDefault="00681493" w14:paraId="1746B890" w14:textId="77777777">
            <w:pPr>
              <w:spacing w:before="144" w:beforeLines="60" w:after="144" w:afterLines="60"/>
              <w:contextualSpacing/>
            </w:pPr>
            <w:r w:rsidRPr="00455A75">
              <w:t>Reference DB: NR</w:t>
            </w:r>
          </w:p>
          <w:p w:rsidRPr="00455A75" w:rsidR="00681493" w:rsidP="00681493" w:rsidRDefault="00681493" w14:paraId="0F23257C" w14:textId="77777777">
            <w:pPr>
              <w:spacing w:before="144" w:beforeLines="60" w:after="144" w:afterLines="60"/>
              <w:contextualSpacing/>
              <w:rPr>
                <w:rFonts w:eastAsia="Calibri"/>
                <w:lang w:eastAsia="en-GB"/>
              </w:rPr>
            </w:pPr>
            <w:r w:rsidRPr="00455A75">
              <w:t>Outcome: NR</w:t>
            </w:r>
          </w:p>
          <w:p w:rsidRPr="00455A75" w:rsidR="00681493" w:rsidP="00681493" w:rsidRDefault="00681493" w14:paraId="5261D03A" w14:textId="77777777">
            <w:pPr>
              <w:spacing w:before="144" w:beforeLines="60" w:after="144" w:afterLines="60"/>
              <w:contextualSpacing/>
            </w:pPr>
          </w:p>
        </w:tc>
        <w:tc>
          <w:tcPr>
            <w:tcW w:w="5252" w:type="dxa"/>
            <w:tcBorders>
              <w:top w:val="single" w:color="auto" w:sz="4" w:space="0"/>
              <w:left w:val="nil"/>
              <w:bottom w:val="single" w:color="auto" w:sz="4" w:space="0"/>
              <w:right w:val="nil"/>
            </w:tcBorders>
          </w:tcPr>
          <w:p w:rsidRPr="00455A75" w:rsidR="00681493" w:rsidP="00681493" w:rsidRDefault="00681493" w14:paraId="0D7E142B" w14:textId="77777777">
            <w:pPr>
              <w:spacing w:before="144" w:beforeLines="60" w:after="144" w:afterLines="60"/>
              <w:contextualSpacing/>
            </w:pPr>
            <w:r w:rsidRPr="00455A75">
              <w:t>Statistical analysis:</w:t>
            </w:r>
          </w:p>
          <w:p w:rsidRPr="00455A75" w:rsidR="00681493" w:rsidP="00681493" w:rsidRDefault="00681493" w14:paraId="38D879F5" w14:textId="77777777">
            <w:pPr>
              <w:spacing w:before="144" w:beforeLines="60" w:after="144" w:afterLines="60"/>
              <w:contextualSpacing/>
            </w:pPr>
            <w:r w:rsidRPr="00455A75">
              <w:t>VO</w:t>
            </w:r>
            <w:r w:rsidRPr="00455A75">
              <w:rPr>
                <w:vertAlign w:val="subscript"/>
              </w:rPr>
              <w:t>2max</w:t>
            </w:r>
            <w:r w:rsidRPr="00455A75">
              <w:t xml:space="preserve"> positively correlated with the </w:t>
            </w:r>
            <w:proofErr w:type="spellStart"/>
            <w:r w:rsidRPr="00455A75">
              <w:rPr>
                <w:i/>
              </w:rPr>
              <w:t>Firmicutes</w:t>
            </w:r>
            <w:proofErr w:type="spellEnd"/>
            <w:r w:rsidRPr="00455A75">
              <w:rPr>
                <w:i/>
              </w:rPr>
              <w:t>/</w:t>
            </w:r>
            <w:proofErr w:type="spellStart"/>
            <w:r w:rsidRPr="00455A75">
              <w:rPr>
                <w:i/>
              </w:rPr>
              <w:t>Bacteroidetes</w:t>
            </w:r>
            <w:proofErr w:type="spellEnd"/>
            <w:r w:rsidRPr="00455A75">
              <w:t xml:space="preserve"> ratio (r=0.48) </w:t>
            </w:r>
          </w:p>
          <w:p w:rsidRPr="00455A75" w:rsidR="00681493" w:rsidP="00681493" w:rsidRDefault="00681493" w14:paraId="63CB78A7" w14:textId="77777777">
            <w:pPr>
              <w:spacing w:before="144" w:beforeLines="60" w:after="144" w:afterLines="60"/>
              <w:contextualSpacing/>
              <w:rPr>
                <w:rFonts w:eastAsia="Calibri"/>
                <w:lang w:eastAsia="en-GB"/>
              </w:rPr>
            </w:pPr>
          </w:p>
        </w:tc>
      </w:tr>
      <w:tr w:rsidRPr="00455A75" w:rsidR="00681493" w:rsidTr="00681493" w14:paraId="7537B520" w14:textId="77777777">
        <w:trPr>
          <w:jc w:val="center"/>
        </w:trPr>
        <w:tc>
          <w:tcPr>
            <w:tcW w:w="1347" w:type="dxa"/>
            <w:tcBorders>
              <w:top w:val="single" w:color="auto" w:sz="4" w:space="0"/>
              <w:left w:val="nil"/>
              <w:bottom w:val="single" w:color="auto" w:sz="4" w:space="0"/>
              <w:right w:val="nil"/>
            </w:tcBorders>
          </w:tcPr>
          <w:p w:rsidRPr="00455A75" w:rsidR="00681493" w:rsidP="00681493" w:rsidRDefault="00681493" w14:paraId="36304EB6" w14:textId="77777777">
            <w:pPr>
              <w:spacing w:before="144" w:beforeLines="60" w:after="144" w:afterLines="60"/>
              <w:contextualSpacing/>
              <w:rPr>
                <w:rFonts w:eastAsia="Calibri"/>
                <w:lang w:eastAsia="en-GB"/>
              </w:rPr>
            </w:pPr>
            <w:proofErr w:type="spellStart"/>
            <w:r>
              <w:t>Mörkl</w:t>
            </w:r>
            <w:proofErr w:type="spellEnd"/>
            <w:r>
              <w:t xml:space="preserve"> et al., 2018</w:t>
            </w:r>
            <w:r w:rsidRPr="00455A75">
              <w:fldChar w:fldCharType="begin" w:fldLock="1"/>
            </w:r>
            <w:r>
              <w:instrText>ADDIN CSL_CITATION {"citationItems":[{"id":"ITEM-1","itemData":{"DOI":"10.1002/eat.22801","ISBN":"1098-108X(Electronic),0276-3478(Print)","ISSN":"1098108X","PMID":"29131365","abstract":"OBJECTIVES Anorexia nervosa (AN) is a heterogeneous eating disorder associated with alterations of body structure and the gut microbiome. We aimed to investigate the gut microbiota composition of a large female cohort including different BMI groups and activity levels along with body composition parameters. METHOD 106 female participants were included in this cross-sectional study: AN patients (n = 18), athletes (n = 20), normal weight (n = 26), overweight (n = 22), and obese women (n = 20). DNA was extracted from stool samples and subjected to 16S rRNA gene analysis. The software Quantitative Insights Into Microbial Ecology (QIIME) was used to analyze data. Additionally, we performed anthropometric assessments, ultrasound measurements of subcutaneous adipose tissue thickness, bioimpedance analysis, administered depression inventories, and ascertained laboratory parameters and dietary intakes. RESULTS Alpha diversity was particularly lower in AN patients and obese participants compared to other groups, while athletes showed highest alpha diversity. Several categories significantly associated with community structure were identified: body fat parameters, serum lipids, CRP, depression scales and smoking. Comparative analysis revealed Coriobacteriaceae as the only enriched phylotype in AN compared to other entities (LDA score &gt;3.5). DISCUSSION This study provides further evidence of intestinal dysbiosis in AN and sheds light on characteristics of the gut microbiome in different BMI and physical activity groups. These insights point to new modulation possibilities of the gut microbiota which could improve the standard therapy of AN.","author":[{"dropping-particle":"","family":"Mörkl","given":"Sabrina","non-dropping-particle":"","parse-names":false,"suffix":""},{"dropping-particle":"","family":"Lackner","given":"Sonja","non-dropping-particle":"","parse-names":false,"suffix":""},{"dropping-particle":"","family":"Müller","given":"Wolfram","non-dropping-particle":"","parse-names":false,"suffix":""},{"dropping-particle":"","family":"Gorkiewicz","given":"Gregor","non-dropping-particle":"","parse-names":false,"suffix":""},{"dropping-particle":"","family":"Kashofer","given":"Karl","non-dropping-particle":"","parse-names":false,"suffix":""},{"dropping-particle":"","family":"Oberascher","given":"Andreas","non-dropping-particle":"","parse-names":false,"suffix":""},{"dropping-particle":"","family":"Painold","given":"Annamaria","non-dropping-particle":"","parse-names":false,"suffix":""},{"dropping-particle":"","family":"Holl","given":"Anna","non-dropping-particle":"","parse-names":false,"suffix":""},{"dropping-particle":"","family":"Holzer","given":"Peter","non-dropping-particle":"","parse-names":false,"suffix":""},{"dropping-particle":"","family":"Meinitzer","given":"Andreas","non-dropping-particle":"","parse-names":false,"suffix":""},{"dropping-particle":"","family":"Mangge","given":"Harald","non-dropping-particle":"","parse-names":false,"suffix":""},{"dropping-particle":"","family":"Holasek","given":"Sandra","non-dropping-particle":"","parse-names":false,"suffix":""}],"container-title":"International Journal of Eating Disorders","id":"ITEM-1","issue":"12","issued":{"date-parts":[["2017"]]},"page":"1421-1431","title":"Gut microbiota and body composition in anorexia nervosa inpatients in comparison to athletes, overweight, obese, and normal weight controls","type":"article-journal","volume":"50"},"uris":["http://www.mendeley.com/documents/?uuid=4355b02a-1357-4cd5-a90b-eb25cf3f389c"]}],"mendeley":{"formattedCitation":"(34)","plainTextFormattedCitation":"(34)","previouslyFormattedCitation":"(34)"},"properties":{"noteIndex":0},"schema":"https://github.com/citation-style-language/schema/raw/master/csl-citation.json"}</w:instrText>
            </w:r>
            <w:r w:rsidRPr="00455A75">
              <w:fldChar w:fldCharType="separate"/>
            </w:r>
            <w:r w:rsidRPr="003651E8">
              <w:rPr>
                <w:noProof/>
              </w:rPr>
              <w:t>(34)</w:t>
            </w:r>
            <w:r w:rsidRPr="00455A75">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76487521" w14:textId="77777777">
            <w:pPr>
              <w:spacing w:before="144" w:beforeLines="60" w:after="144" w:afterLines="60"/>
              <w:contextualSpacing/>
            </w:pPr>
            <w:r w:rsidRPr="00455A75">
              <w:t xml:space="preserve">N=88 females </w:t>
            </w:r>
          </w:p>
          <w:p w:rsidRPr="00455A75" w:rsidR="00681493" w:rsidP="00681493" w:rsidRDefault="00681493" w14:paraId="54C26B19" w14:textId="77777777">
            <w:pPr>
              <w:pStyle w:val="Prrafodelista"/>
              <w:numPr>
                <w:ilvl w:val="0"/>
                <w:numId w:val="13"/>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cs="Times New Roman"/>
              </w:rPr>
              <w:t>Athletes: N=20 (22.15±3.86 years)</w:t>
            </w:r>
          </w:p>
          <w:p w:rsidRPr="00455A75" w:rsidR="00681493" w:rsidP="00681493" w:rsidRDefault="00681493" w14:paraId="41937E84" w14:textId="77777777">
            <w:pPr>
              <w:pStyle w:val="Prrafodelista"/>
              <w:numPr>
                <w:ilvl w:val="0"/>
                <w:numId w:val="13"/>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cs="Times New Roman"/>
              </w:rPr>
              <w:t>Normal weight: N=26 (24.93±3.75 years)</w:t>
            </w:r>
          </w:p>
          <w:p w:rsidRPr="00455A75" w:rsidR="00681493" w:rsidP="00681493" w:rsidRDefault="00681493" w14:paraId="52695F06" w14:textId="77777777">
            <w:pPr>
              <w:pStyle w:val="Prrafodelista"/>
              <w:numPr>
                <w:ilvl w:val="0"/>
                <w:numId w:val="13"/>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cs="Times New Roman"/>
              </w:rPr>
              <w:t>Overweight: N=22 (25.32±3.98 years)</w:t>
            </w:r>
          </w:p>
          <w:p w:rsidRPr="00455A75" w:rsidR="00681493" w:rsidP="00681493" w:rsidRDefault="00681493" w14:paraId="2F6F578D" w14:textId="77777777">
            <w:pPr>
              <w:pStyle w:val="Prrafodelista"/>
              <w:numPr>
                <w:ilvl w:val="0"/>
                <w:numId w:val="13"/>
              </w:numPr>
              <w:spacing w:before="144" w:beforeLines="60" w:after="144" w:afterLines="60" w:line="240" w:lineRule="auto"/>
              <w:ind w:left="527" w:hanging="357"/>
              <w:rPr>
                <w:rFonts w:ascii="Times New Roman" w:hAnsi="Times New Roman" w:eastAsia="Calibri" w:cs="Times New Roman"/>
                <w:lang w:eastAsia="en-GB"/>
              </w:rPr>
            </w:pPr>
            <w:r w:rsidRPr="00455A75">
              <w:rPr>
                <w:rFonts w:ascii="Times New Roman" w:hAnsi="Times New Roman" w:cs="Times New Roman"/>
              </w:rPr>
              <w:t>Obese: N=20 (26.9±6.09 years)</w:t>
            </w:r>
          </w:p>
        </w:tc>
        <w:tc>
          <w:tcPr>
            <w:tcW w:w="3233" w:type="dxa"/>
            <w:tcBorders>
              <w:top w:val="single" w:color="auto" w:sz="4" w:space="0"/>
              <w:left w:val="nil"/>
              <w:bottom w:val="single" w:color="auto" w:sz="4" w:space="0"/>
              <w:right w:val="nil"/>
            </w:tcBorders>
          </w:tcPr>
          <w:p w:rsidRPr="00455A75" w:rsidR="00681493" w:rsidP="00681493" w:rsidRDefault="00681493" w14:paraId="5D7E850D" w14:textId="77777777">
            <w:pPr>
              <w:spacing w:before="144" w:beforeLines="60" w:after="144" w:afterLines="60"/>
              <w:contextualSpacing/>
            </w:pPr>
            <w:r w:rsidRPr="00455A75">
              <w:t>Assessment of physical activity levels by IPAQ score.</w:t>
            </w:r>
          </w:p>
          <w:p w:rsidRPr="00455A75" w:rsidR="00681493" w:rsidP="00681493" w:rsidRDefault="00681493" w14:paraId="59C332D7" w14:textId="77777777">
            <w:pPr>
              <w:spacing w:before="144" w:beforeLines="60" w:after="144" w:afterLines="60"/>
              <w:contextualSpacing/>
            </w:pPr>
          </w:p>
          <w:p w:rsidRPr="00455A75" w:rsidR="00681493" w:rsidP="00681493" w:rsidRDefault="00681493" w14:paraId="30824A42" w14:textId="77777777">
            <w:pPr>
              <w:spacing w:before="144" w:beforeLines="60" w:after="144" w:afterLines="60"/>
              <w:contextualSpacing/>
            </w:pPr>
          </w:p>
        </w:tc>
        <w:tc>
          <w:tcPr>
            <w:tcW w:w="1482" w:type="dxa"/>
            <w:tcBorders>
              <w:top w:val="single" w:color="auto" w:sz="4" w:space="0"/>
              <w:left w:val="nil"/>
              <w:bottom w:val="single" w:color="auto" w:sz="4" w:space="0"/>
              <w:right w:val="nil"/>
            </w:tcBorders>
          </w:tcPr>
          <w:p w:rsidRPr="00455A75" w:rsidR="00681493" w:rsidP="00681493" w:rsidRDefault="00681493" w14:paraId="11678BE3" w14:textId="77777777">
            <w:pPr>
              <w:spacing w:before="144" w:beforeLines="60" w:after="144" w:afterLines="60"/>
              <w:contextualSpacing/>
              <w:rPr>
                <w:rFonts w:eastAsia="Calibri"/>
                <w:lang w:eastAsia="en-GB"/>
              </w:rPr>
            </w:pPr>
            <w:r w:rsidRPr="00455A75">
              <w:t>Standardized diet: No</w:t>
            </w:r>
          </w:p>
          <w:p w:rsidRPr="00455A75" w:rsidR="00681493" w:rsidP="00681493" w:rsidRDefault="00681493" w14:paraId="4C6E48FF" w14:textId="77777777">
            <w:pPr>
              <w:spacing w:before="144" w:beforeLines="60" w:after="144" w:afterLines="60"/>
              <w:contextualSpacing/>
              <w:rPr>
                <w:rFonts w:eastAsia="Calibri"/>
                <w:lang w:eastAsia="en-GB"/>
              </w:rPr>
            </w:pPr>
          </w:p>
          <w:p w:rsidRPr="00455A75" w:rsidR="00681493" w:rsidP="00681493" w:rsidRDefault="00681493" w14:paraId="3DF34E0E" w14:textId="77777777">
            <w:pPr>
              <w:spacing w:before="144" w:beforeLines="60" w:after="144" w:afterLines="60"/>
              <w:contextualSpacing/>
              <w:rPr>
                <w:rFonts w:eastAsia="Calibri"/>
                <w:lang w:eastAsia="en-GB"/>
              </w:rPr>
            </w:pPr>
            <w:r w:rsidRPr="00455A75">
              <w:rPr>
                <w:rFonts w:eastAsia="Calibri"/>
                <w:lang w:eastAsia="en-GB"/>
              </w:rPr>
              <w:t>Adjusted for diet: No</w:t>
            </w:r>
          </w:p>
          <w:p w:rsidRPr="00455A75" w:rsidR="00681493" w:rsidP="00681493" w:rsidRDefault="00681493" w14:paraId="3A064CBF" w14:textId="77777777">
            <w:pPr>
              <w:spacing w:before="144" w:beforeLines="60" w:after="144" w:afterLines="60"/>
              <w:contextualSpacing/>
            </w:pPr>
          </w:p>
        </w:tc>
        <w:tc>
          <w:tcPr>
            <w:tcW w:w="1062" w:type="dxa"/>
            <w:tcBorders>
              <w:top w:val="single" w:color="auto" w:sz="4" w:space="0"/>
              <w:left w:val="nil"/>
              <w:bottom w:val="single" w:color="auto" w:sz="4" w:space="0"/>
              <w:right w:val="nil"/>
            </w:tcBorders>
          </w:tcPr>
          <w:p w:rsidRPr="00455A75" w:rsidR="00681493" w:rsidP="00681493" w:rsidRDefault="00681493" w14:paraId="1EBB172D" w14:textId="77777777">
            <w:pPr>
              <w:spacing w:before="144" w:beforeLines="60" w:after="144" w:afterLines="60"/>
              <w:contextualSpacing/>
            </w:pPr>
            <w:r w:rsidRPr="00455A75">
              <w:t>1</w:t>
            </w:r>
          </w:p>
        </w:tc>
        <w:tc>
          <w:tcPr>
            <w:tcW w:w="1448" w:type="dxa"/>
            <w:tcBorders>
              <w:top w:val="single" w:color="auto" w:sz="4" w:space="0"/>
              <w:left w:val="nil"/>
              <w:bottom w:val="single" w:color="auto" w:sz="4" w:space="0"/>
              <w:right w:val="nil"/>
            </w:tcBorders>
          </w:tcPr>
          <w:p w:rsidRPr="00455A75" w:rsidR="00681493" w:rsidP="00681493" w:rsidRDefault="00681493" w14:paraId="0A74E062" w14:textId="77777777">
            <w:pPr>
              <w:spacing w:before="144" w:beforeLines="60" w:after="144" w:afterLines="60"/>
              <w:contextualSpacing/>
            </w:pPr>
            <w:r w:rsidRPr="00455A75">
              <w:t>qPCR: Ion Torrent</w:t>
            </w:r>
          </w:p>
          <w:p w:rsidRPr="00455A75" w:rsidR="00681493" w:rsidP="00681493" w:rsidRDefault="00681493" w14:paraId="40D0CA92" w14:textId="77777777">
            <w:pPr>
              <w:spacing w:before="144" w:beforeLines="60" w:after="144" w:afterLines="60"/>
              <w:contextualSpacing/>
            </w:pPr>
            <w:r w:rsidRPr="00455A75">
              <w:t>Software: QIIME</w:t>
            </w:r>
          </w:p>
          <w:p w:rsidRPr="00455A75" w:rsidR="00681493" w:rsidP="00681493" w:rsidRDefault="00681493" w14:paraId="24F81B02" w14:textId="77777777">
            <w:pPr>
              <w:spacing w:before="144" w:beforeLines="60" w:after="144" w:afterLines="60"/>
              <w:contextualSpacing/>
            </w:pPr>
            <w:r w:rsidRPr="00455A75">
              <w:t>Reference DB: NR</w:t>
            </w:r>
          </w:p>
          <w:p w:rsidRPr="00455A75" w:rsidR="00681493" w:rsidP="00681493" w:rsidRDefault="00681493" w14:paraId="5D30D8A4" w14:textId="77777777">
            <w:pPr>
              <w:spacing w:before="144" w:beforeLines="60" w:after="144" w:afterLines="60"/>
              <w:contextualSpacing/>
            </w:pPr>
            <w:r w:rsidRPr="00455A75">
              <w:t>Outcome: OTU</w:t>
            </w:r>
          </w:p>
          <w:p w:rsidRPr="00455A75" w:rsidR="00681493" w:rsidP="00681493" w:rsidRDefault="00681493" w14:paraId="35F3FF45" w14:textId="77777777">
            <w:pPr>
              <w:spacing w:before="144" w:beforeLines="60" w:after="144" w:afterLines="60"/>
              <w:contextualSpacing/>
            </w:pPr>
          </w:p>
        </w:tc>
        <w:tc>
          <w:tcPr>
            <w:tcW w:w="5252" w:type="dxa"/>
            <w:tcBorders>
              <w:top w:val="single" w:color="auto" w:sz="4" w:space="0"/>
              <w:left w:val="nil"/>
              <w:bottom w:val="single" w:color="auto" w:sz="4" w:space="0"/>
              <w:right w:val="nil"/>
            </w:tcBorders>
          </w:tcPr>
          <w:p w:rsidRPr="00455A75" w:rsidR="00681493" w:rsidP="00681493" w:rsidRDefault="00681493" w14:paraId="6C94BEEC" w14:textId="77777777">
            <w:pPr>
              <w:spacing w:before="144" w:beforeLines="60" w:after="144" w:afterLines="60"/>
              <w:contextualSpacing/>
            </w:pPr>
            <w:r w:rsidRPr="00455A75">
              <w:t>Statistical analysis: ANOSIM y Adonis (QIIME test)</w:t>
            </w:r>
          </w:p>
          <w:p w:rsidRPr="00455A75" w:rsidR="00681493" w:rsidP="00681493" w:rsidRDefault="00681493" w14:paraId="216D612B" w14:textId="77777777">
            <w:pPr>
              <w:spacing w:before="144" w:beforeLines="60" w:after="144" w:afterLines="60"/>
              <w:contextualSpacing/>
            </w:pPr>
            <w:r w:rsidRPr="00455A75">
              <w:rPr>
                <w:rFonts w:eastAsia="Calibri"/>
                <w:b/>
                <w:lang w:eastAsia="en-GB"/>
              </w:rPr>
              <w:t>↑</w:t>
            </w:r>
            <w:r w:rsidRPr="00455A75">
              <w:rPr>
                <w:color w:val="92D050"/>
              </w:rPr>
              <w:t xml:space="preserve"> </w:t>
            </w:r>
            <w:r w:rsidRPr="00455A75">
              <w:t>α-diversity in athlete group</w:t>
            </w:r>
          </w:p>
          <w:p w:rsidRPr="00455A75" w:rsidR="00681493" w:rsidP="00681493" w:rsidRDefault="00681493" w14:paraId="7C3564CA" w14:textId="77777777">
            <w:pPr>
              <w:spacing w:before="144" w:beforeLines="60" w:after="144" w:afterLines="60"/>
              <w:contextualSpacing/>
              <w:rPr>
                <w:rFonts w:eastAsia="Calibri"/>
                <w:lang w:eastAsia="en-GB"/>
              </w:rPr>
            </w:pPr>
            <w:proofErr w:type="gramStart"/>
            <w:r w:rsidRPr="00455A75">
              <w:t>β-diversity</w:t>
            </w:r>
            <w:proofErr w:type="gramEnd"/>
            <w:r w:rsidRPr="00455A75">
              <w:t>: D</w:t>
            </w:r>
            <w:r w:rsidRPr="00455A75">
              <w:rPr>
                <w:rFonts w:eastAsia="Calibri"/>
                <w:color w:val="000000" w:themeColor="text1"/>
                <w:lang w:eastAsia="en-GB"/>
              </w:rPr>
              <w:t xml:space="preserve">istinctly different </w:t>
            </w:r>
            <w:r w:rsidRPr="00455A75">
              <w:rPr>
                <w:rFonts w:eastAsia="Calibri"/>
                <w:lang w:eastAsia="en-GB"/>
              </w:rPr>
              <w:t>clusters seen according to physical activity.</w:t>
            </w:r>
          </w:p>
          <w:p w:rsidRPr="00455A75" w:rsidR="00681493" w:rsidP="00681493" w:rsidRDefault="00681493" w14:paraId="2768A61A" w14:textId="77777777">
            <w:pPr>
              <w:spacing w:before="144" w:beforeLines="60" w:after="144" w:afterLines="60"/>
              <w:contextualSpacing/>
            </w:pPr>
          </w:p>
          <w:p w:rsidRPr="00455A75" w:rsidR="00681493" w:rsidP="00681493" w:rsidRDefault="00681493" w14:paraId="74B8EBB7" w14:textId="77777777">
            <w:pPr>
              <w:spacing w:before="144" w:beforeLines="60" w:after="144" w:afterLines="60"/>
              <w:contextualSpacing/>
            </w:pPr>
          </w:p>
        </w:tc>
      </w:tr>
      <w:tr w:rsidRPr="00455A75" w:rsidR="00681493" w:rsidTr="00681493" w14:paraId="49CFEB01" w14:textId="77777777">
        <w:trPr>
          <w:trHeight w:val="416"/>
          <w:jc w:val="center"/>
        </w:trPr>
        <w:tc>
          <w:tcPr>
            <w:tcW w:w="15981" w:type="dxa"/>
            <w:gridSpan w:val="7"/>
            <w:tcBorders>
              <w:top w:val="single" w:color="auto" w:sz="4" w:space="0"/>
              <w:left w:val="nil"/>
              <w:bottom w:val="nil"/>
              <w:right w:val="nil"/>
            </w:tcBorders>
          </w:tcPr>
          <w:p w:rsidRPr="00455A75" w:rsidR="00681493" w:rsidP="00681493" w:rsidRDefault="00681493" w14:paraId="752C9152" w14:textId="77777777">
            <w:pPr>
              <w:spacing w:before="144" w:beforeLines="60" w:after="144" w:afterLines="60"/>
              <w:contextualSpacing/>
              <w:rPr>
                <w:rFonts w:eastAsia="Calibri"/>
                <w:lang w:eastAsia="en-GB"/>
              </w:rPr>
            </w:pPr>
            <w:r w:rsidRPr="00455A75">
              <w:rPr>
                <w:rFonts w:eastAsia="Calibri"/>
                <w:lang w:eastAsia="en-GB"/>
              </w:rPr>
              <w:t>ANOVA, analysis of variance; BMI, body mass index; DB, database; FISH, fluorescent in-situ hybridization; NR, not reported; OTU, operational taxonomic unit; qPCR, quantitative polymerase chain reaction; RDP, Ribosomal Database Project; RM, repetition maximum; SCFAs, short-chain fatty acids; UC, unclassified; VO</w:t>
            </w:r>
            <w:r w:rsidRPr="00455A75">
              <w:rPr>
                <w:rFonts w:eastAsia="Calibri"/>
                <w:vertAlign w:val="subscript"/>
                <w:lang w:eastAsia="en-GB"/>
              </w:rPr>
              <w:t>2max</w:t>
            </w:r>
            <w:r w:rsidRPr="00455A75">
              <w:rPr>
                <w:rFonts w:eastAsia="Calibri"/>
                <w:lang w:eastAsia="en-GB"/>
              </w:rPr>
              <w:t xml:space="preserve">, maximum volume of oxygen. </w:t>
            </w:r>
            <w:r w:rsidRPr="00455A75">
              <w:t xml:space="preserve"> </w:t>
            </w:r>
            <w:r w:rsidRPr="00455A75">
              <w:rPr>
                <w:rFonts w:eastAsia="Calibri"/>
                <w:lang w:eastAsia="en-GB"/>
              </w:rPr>
              <w:t xml:space="preserve">Standardized diet: participants followed an established standard diet; Adjusted for diet: to statistically adjust the results </w:t>
            </w:r>
            <w:r w:rsidRPr="00455A75">
              <w:rPr>
                <w:rFonts w:eastAsia="Calibri"/>
                <w:lang w:eastAsia="en-GB"/>
              </w:rPr>
              <w:lastRenderedPageBreak/>
              <w:t>based on nutritional questionnaires.</w:t>
            </w:r>
          </w:p>
        </w:tc>
      </w:tr>
    </w:tbl>
    <w:p w:rsidR="00681493" w:rsidP="0034188A" w:rsidRDefault="00681493" w14:paraId="487754B6" w14:textId="77777777"/>
    <w:tbl>
      <w:tblPr>
        <w:tblStyle w:val="Tablaconcuadrcula"/>
        <w:tblW w:w="15981" w:type="dxa"/>
        <w:jc w:val="center"/>
        <w:tblLayout w:type="fixed"/>
        <w:tblLook w:val="04A0" w:firstRow="1" w:lastRow="0" w:firstColumn="1" w:lastColumn="0" w:noHBand="0" w:noVBand="1"/>
      </w:tblPr>
      <w:tblGrid>
        <w:gridCol w:w="1273"/>
        <w:gridCol w:w="74"/>
        <w:gridCol w:w="2157"/>
        <w:gridCol w:w="3233"/>
        <w:gridCol w:w="1623"/>
        <w:gridCol w:w="1134"/>
        <w:gridCol w:w="1418"/>
        <w:gridCol w:w="5069"/>
      </w:tblGrid>
      <w:tr w:rsidRPr="00455A75" w:rsidR="00681493" w:rsidTr="00681493" w14:paraId="1A21C803" w14:textId="77777777">
        <w:trPr>
          <w:jc w:val="center"/>
        </w:trPr>
        <w:tc>
          <w:tcPr>
            <w:tcW w:w="15981" w:type="dxa"/>
            <w:gridSpan w:val="8"/>
            <w:tcBorders>
              <w:top w:val="nil"/>
              <w:left w:val="nil"/>
              <w:bottom w:val="single" w:color="auto" w:sz="4" w:space="0"/>
              <w:right w:val="nil"/>
            </w:tcBorders>
          </w:tcPr>
          <w:p w:rsidRPr="00455A75" w:rsidR="00681493" w:rsidP="00681493" w:rsidRDefault="00681493" w14:paraId="24F9B1AC" w14:textId="77777777">
            <w:pPr>
              <w:spacing w:before="120" w:after="120" w:line="480" w:lineRule="auto"/>
              <w:jc w:val="both"/>
              <w:rPr>
                <w:b/>
              </w:rPr>
            </w:pPr>
            <w:r w:rsidRPr="00455A75">
              <w:rPr>
                <w:b/>
              </w:rPr>
              <w:t xml:space="preserve">Table </w:t>
            </w:r>
            <w:r>
              <w:rPr>
                <w:b/>
              </w:rPr>
              <w:t>S6</w:t>
            </w:r>
            <w:r w:rsidRPr="00455A75">
              <w:rPr>
                <w:b/>
              </w:rPr>
              <w:t xml:space="preserve">. </w:t>
            </w:r>
            <w:r w:rsidRPr="00455A75">
              <w:t xml:space="preserve">Summary of studies that reported very short-term exercise to have an effect on the gut microbiota of healthy adults. </w:t>
            </w:r>
          </w:p>
        </w:tc>
      </w:tr>
      <w:tr w:rsidRPr="00455A75" w:rsidR="00681493" w:rsidTr="00681493" w14:paraId="2B0F5682" w14:textId="77777777">
        <w:trPr>
          <w:jc w:val="center"/>
        </w:trPr>
        <w:tc>
          <w:tcPr>
            <w:tcW w:w="1347" w:type="dxa"/>
            <w:gridSpan w:val="2"/>
            <w:tcBorders>
              <w:top w:val="single" w:color="auto" w:sz="4" w:space="0"/>
              <w:left w:val="nil"/>
              <w:bottom w:val="single" w:color="auto" w:sz="4" w:space="0"/>
              <w:right w:val="nil"/>
            </w:tcBorders>
          </w:tcPr>
          <w:p w:rsidRPr="00455A75" w:rsidR="00681493" w:rsidP="00681493" w:rsidRDefault="00681493" w14:paraId="1D02DB3B" w14:textId="77777777">
            <w:pPr>
              <w:spacing w:before="60" w:after="60"/>
              <w:contextualSpacing/>
              <w:rPr>
                <w:rFonts w:eastAsia="Calibri"/>
                <w:b/>
                <w:lang w:eastAsia="en-GB"/>
              </w:rPr>
            </w:pPr>
            <w:r w:rsidRPr="00455A75">
              <w:rPr>
                <w:rFonts w:eastAsia="Calibri"/>
                <w:b/>
                <w:lang w:eastAsia="en-GB"/>
              </w:rPr>
              <w:t>Study/Year</w:t>
            </w:r>
          </w:p>
        </w:tc>
        <w:tc>
          <w:tcPr>
            <w:tcW w:w="2157" w:type="dxa"/>
            <w:tcBorders>
              <w:top w:val="single" w:color="auto" w:sz="4" w:space="0"/>
              <w:left w:val="nil"/>
              <w:bottom w:val="single" w:color="auto" w:sz="4" w:space="0"/>
              <w:right w:val="nil"/>
            </w:tcBorders>
          </w:tcPr>
          <w:p w:rsidRPr="00455A75" w:rsidR="00681493" w:rsidP="00681493" w:rsidRDefault="00681493" w14:paraId="11A12C7F" w14:textId="77777777">
            <w:pPr>
              <w:spacing w:before="60" w:after="60"/>
              <w:contextualSpacing/>
              <w:rPr>
                <w:rFonts w:eastAsia="Calibri"/>
                <w:b/>
                <w:lang w:eastAsia="en-GB"/>
              </w:rPr>
            </w:pPr>
            <w:r w:rsidRPr="00455A75">
              <w:rPr>
                <w:rFonts w:eastAsia="Calibri"/>
                <w:b/>
                <w:lang w:eastAsia="en-GB"/>
              </w:rPr>
              <w:t>Subjects</w:t>
            </w:r>
          </w:p>
        </w:tc>
        <w:tc>
          <w:tcPr>
            <w:tcW w:w="3233" w:type="dxa"/>
            <w:tcBorders>
              <w:top w:val="single" w:color="auto" w:sz="4" w:space="0"/>
              <w:left w:val="nil"/>
              <w:bottom w:val="single" w:color="auto" w:sz="4" w:space="0"/>
              <w:right w:val="nil"/>
            </w:tcBorders>
          </w:tcPr>
          <w:p w:rsidRPr="00455A75" w:rsidR="00681493" w:rsidP="00681493" w:rsidRDefault="00681493" w14:paraId="6F34B13E" w14:textId="77777777">
            <w:pPr>
              <w:spacing w:before="60" w:after="60"/>
              <w:contextualSpacing/>
              <w:rPr>
                <w:rFonts w:eastAsia="Calibri"/>
                <w:b/>
                <w:lang w:eastAsia="en-GB"/>
              </w:rPr>
            </w:pPr>
            <w:r w:rsidRPr="00455A75">
              <w:rPr>
                <w:rFonts w:eastAsia="Calibri"/>
                <w:b/>
                <w:lang w:eastAsia="en-GB"/>
              </w:rPr>
              <w:t>Exercise Outcomes</w:t>
            </w:r>
          </w:p>
        </w:tc>
        <w:tc>
          <w:tcPr>
            <w:tcW w:w="1623" w:type="dxa"/>
            <w:tcBorders>
              <w:top w:val="single" w:color="auto" w:sz="4" w:space="0"/>
              <w:left w:val="nil"/>
              <w:bottom w:val="single" w:color="auto" w:sz="4" w:space="0"/>
              <w:right w:val="nil"/>
            </w:tcBorders>
          </w:tcPr>
          <w:p w:rsidRPr="00455A75" w:rsidR="00681493" w:rsidP="00681493" w:rsidRDefault="00681493" w14:paraId="53807EB3" w14:textId="77777777">
            <w:pPr>
              <w:spacing w:before="60" w:after="60"/>
              <w:contextualSpacing/>
              <w:rPr>
                <w:rFonts w:eastAsia="Calibri"/>
                <w:b/>
                <w:lang w:eastAsia="en-GB"/>
              </w:rPr>
            </w:pPr>
            <w:r w:rsidRPr="00455A75">
              <w:rPr>
                <w:rFonts w:eastAsia="Calibri"/>
                <w:b/>
                <w:lang w:eastAsia="en-GB"/>
              </w:rPr>
              <w:t>Control Diet</w:t>
            </w:r>
          </w:p>
        </w:tc>
        <w:tc>
          <w:tcPr>
            <w:tcW w:w="1134" w:type="dxa"/>
            <w:tcBorders>
              <w:top w:val="single" w:color="auto" w:sz="4" w:space="0"/>
              <w:left w:val="nil"/>
              <w:bottom w:val="single" w:color="auto" w:sz="4" w:space="0"/>
              <w:right w:val="nil"/>
            </w:tcBorders>
          </w:tcPr>
          <w:p w:rsidRPr="00455A75" w:rsidR="00681493" w:rsidP="00681493" w:rsidRDefault="00681493" w14:paraId="03897784" w14:textId="77777777">
            <w:pPr>
              <w:spacing w:before="60" w:after="60"/>
              <w:contextualSpacing/>
              <w:rPr>
                <w:rFonts w:eastAsia="Calibri"/>
                <w:b/>
                <w:lang w:eastAsia="en-GB"/>
              </w:rPr>
            </w:pPr>
            <w:r w:rsidRPr="00455A75">
              <w:rPr>
                <w:rFonts w:eastAsia="Calibri"/>
                <w:b/>
                <w:lang w:eastAsia="en-GB"/>
              </w:rPr>
              <w:t>Fecal sample collection</w:t>
            </w:r>
          </w:p>
        </w:tc>
        <w:tc>
          <w:tcPr>
            <w:tcW w:w="1418" w:type="dxa"/>
            <w:tcBorders>
              <w:top w:val="single" w:color="auto" w:sz="4" w:space="0"/>
              <w:left w:val="nil"/>
              <w:bottom w:val="single" w:color="auto" w:sz="4" w:space="0"/>
              <w:right w:val="nil"/>
            </w:tcBorders>
          </w:tcPr>
          <w:p w:rsidRPr="00455A75" w:rsidR="00681493" w:rsidP="00681493" w:rsidRDefault="00681493" w14:paraId="4BBAB84D" w14:textId="77777777">
            <w:pPr>
              <w:spacing w:before="60" w:after="60"/>
              <w:contextualSpacing/>
              <w:rPr>
                <w:rFonts w:eastAsia="Calibri"/>
                <w:b/>
                <w:lang w:eastAsia="en-GB"/>
              </w:rPr>
            </w:pPr>
            <w:r w:rsidRPr="00455A75">
              <w:rPr>
                <w:rFonts w:eastAsia="Calibri"/>
                <w:b/>
                <w:lang w:eastAsia="en-GB"/>
              </w:rPr>
              <w:t>Gut microbiota analysis techniques</w:t>
            </w:r>
          </w:p>
        </w:tc>
        <w:tc>
          <w:tcPr>
            <w:tcW w:w="5069" w:type="dxa"/>
            <w:tcBorders>
              <w:top w:val="single" w:color="auto" w:sz="4" w:space="0"/>
              <w:left w:val="nil"/>
              <w:bottom w:val="single" w:color="auto" w:sz="4" w:space="0"/>
              <w:right w:val="nil"/>
            </w:tcBorders>
          </w:tcPr>
          <w:p w:rsidRPr="00455A75" w:rsidR="00681493" w:rsidP="00681493" w:rsidRDefault="00681493" w14:paraId="553D4866" w14:textId="77777777">
            <w:pPr>
              <w:spacing w:before="60" w:after="60"/>
              <w:contextualSpacing/>
              <w:rPr>
                <w:rFonts w:eastAsia="Calibri"/>
                <w:b/>
                <w:lang w:eastAsia="en-GB"/>
              </w:rPr>
            </w:pPr>
            <w:r w:rsidRPr="00455A75">
              <w:rPr>
                <w:rFonts w:eastAsia="Calibri"/>
                <w:b/>
                <w:lang w:eastAsia="en-GB"/>
              </w:rPr>
              <w:t>Main Findings</w:t>
            </w:r>
          </w:p>
        </w:tc>
      </w:tr>
      <w:tr w:rsidRPr="00455A75" w:rsidR="00681493" w:rsidTr="00681493" w14:paraId="2C4BB046" w14:textId="77777777">
        <w:trPr>
          <w:jc w:val="center"/>
        </w:trPr>
        <w:tc>
          <w:tcPr>
            <w:tcW w:w="3504" w:type="dxa"/>
            <w:gridSpan w:val="3"/>
            <w:tcBorders>
              <w:top w:val="single" w:color="auto" w:sz="4" w:space="0"/>
              <w:left w:val="nil"/>
              <w:bottom w:val="single" w:color="auto" w:sz="4" w:space="0"/>
              <w:right w:val="nil"/>
            </w:tcBorders>
          </w:tcPr>
          <w:p w:rsidRPr="00E227B9" w:rsidR="00681493" w:rsidP="00681493" w:rsidRDefault="00681493" w14:paraId="067690D2" w14:textId="77777777">
            <w:pPr>
              <w:spacing w:before="60" w:after="60"/>
              <w:contextualSpacing/>
              <w:rPr>
                <w:rFonts w:eastAsia="Calibri"/>
                <w:lang w:eastAsia="en-GB"/>
              </w:rPr>
            </w:pPr>
            <w:r w:rsidRPr="00E227B9">
              <w:rPr>
                <w:rFonts w:eastAsia="Calibri"/>
                <w:lang w:eastAsia="en-GB"/>
              </w:rPr>
              <w:t>Cohort</w:t>
            </w:r>
          </w:p>
        </w:tc>
        <w:tc>
          <w:tcPr>
            <w:tcW w:w="3233" w:type="dxa"/>
            <w:tcBorders>
              <w:top w:val="single" w:color="auto" w:sz="4" w:space="0"/>
              <w:left w:val="nil"/>
              <w:bottom w:val="single" w:color="auto" w:sz="4" w:space="0"/>
              <w:right w:val="nil"/>
            </w:tcBorders>
          </w:tcPr>
          <w:p w:rsidRPr="00455A75" w:rsidR="00681493" w:rsidP="00681493" w:rsidRDefault="00681493" w14:paraId="0D9E88BB" w14:textId="77777777">
            <w:pPr>
              <w:spacing w:before="60" w:after="60"/>
              <w:contextualSpacing/>
              <w:rPr>
                <w:rFonts w:eastAsia="Calibri"/>
                <w:lang w:eastAsia="en-GB"/>
              </w:rPr>
            </w:pPr>
          </w:p>
        </w:tc>
        <w:tc>
          <w:tcPr>
            <w:tcW w:w="1623" w:type="dxa"/>
            <w:tcBorders>
              <w:top w:val="single" w:color="auto" w:sz="4" w:space="0"/>
              <w:left w:val="nil"/>
              <w:bottom w:val="single" w:color="auto" w:sz="4" w:space="0"/>
              <w:right w:val="nil"/>
            </w:tcBorders>
          </w:tcPr>
          <w:p w:rsidRPr="00455A75" w:rsidR="00681493" w:rsidP="00681493" w:rsidRDefault="00681493" w14:paraId="15F02981" w14:textId="77777777">
            <w:pPr>
              <w:spacing w:before="60" w:after="60"/>
              <w:contextualSpacing/>
              <w:rPr>
                <w:rFonts w:eastAsia="Calibri"/>
                <w:lang w:eastAsia="en-GB"/>
              </w:rPr>
            </w:pPr>
          </w:p>
        </w:tc>
        <w:tc>
          <w:tcPr>
            <w:tcW w:w="1134" w:type="dxa"/>
            <w:tcBorders>
              <w:top w:val="single" w:color="auto" w:sz="4" w:space="0"/>
              <w:left w:val="nil"/>
              <w:bottom w:val="single" w:color="auto" w:sz="4" w:space="0"/>
              <w:right w:val="nil"/>
            </w:tcBorders>
          </w:tcPr>
          <w:p w:rsidRPr="00455A75" w:rsidR="00681493" w:rsidP="00681493" w:rsidRDefault="00681493" w14:paraId="3974FCDA" w14:textId="77777777">
            <w:pPr>
              <w:spacing w:before="60" w:after="60"/>
              <w:contextualSpacing/>
              <w:rPr>
                <w:rFonts w:eastAsia="Calibri"/>
                <w:lang w:eastAsia="en-GB"/>
              </w:rPr>
            </w:pPr>
          </w:p>
        </w:tc>
        <w:tc>
          <w:tcPr>
            <w:tcW w:w="1418" w:type="dxa"/>
            <w:tcBorders>
              <w:top w:val="single" w:color="auto" w:sz="4" w:space="0"/>
              <w:left w:val="nil"/>
              <w:bottom w:val="single" w:color="auto" w:sz="4" w:space="0"/>
              <w:right w:val="nil"/>
            </w:tcBorders>
          </w:tcPr>
          <w:p w:rsidRPr="00455A75" w:rsidR="00681493" w:rsidP="00681493" w:rsidRDefault="00681493" w14:paraId="5814F981" w14:textId="77777777">
            <w:pPr>
              <w:spacing w:before="60" w:after="60"/>
              <w:contextualSpacing/>
            </w:pPr>
          </w:p>
        </w:tc>
        <w:tc>
          <w:tcPr>
            <w:tcW w:w="5069" w:type="dxa"/>
            <w:tcBorders>
              <w:top w:val="single" w:color="auto" w:sz="4" w:space="0"/>
              <w:left w:val="nil"/>
              <w:bottom w:val="single" w:color="auto" w:sz="4" w:space="0"/>
              <w:right w:val="nil"/>
            </w:tcBorders>
          </w:tcPr>
          <w:p w:rsidRPr="00455A75" w:rsidR="00681493" w:rsidP="00681493" w:rsidRDefault="00681493" w14:paraId="37B4C08D" w14:textId="77777777">
            <w:pPr>
              <w:spacing w:before="60" w:after="60"/>
              <w:contextualSpacing/>
              <w:rPr>
                <w:rFonts w:eastAsia="Calibri"/>
                <w:lang w:eastAsia="en-GB"/>
              </w:rPr>
            </w:pPr>
          </w:p>
        </w:tc>
      </w:tr>
      <w:tr w:rsidRPr="00455A75" w:rsidR="00681493" w:rsidTr="00C81275" w14:paraId="6AF2A761" w14:textId="77777777">
        <w:trPr>
          <w:jc w:val="center"/>
        </w:trPr>
        <w:tc>
          <w:tcPr>
            <w:tcW w:w="1273" w:type="dxa"/>
            <w:tcBorders>
              <w:top w:val="single" w:color="auto" w:sz="4" w:space="0"/>
              <w:left w:val="nil"/>
              <w:bottom w:val="single" w:color="auto" w:sz="4" w:space="0"/>
              <w:right w:val="nil"/>
            </w:tcBorders>
          </w:tcPr>
          <w:p w:rsidRPr="00455A75" w:rsidR="00681493" w:rsidP="00681493" w:rsidRDefault="00681493" w14:paraId="6EB6391B" w14:textId="77777777">
            <w:pPr>
              <w:spacing w:before="60" w:after="60"/>
              <w:contextualSpacing/>
              <w:rPr>
                <w:rFonts w:eastAsia="Calibri"/>
                <w:i/>
                <w:lang w:eastAsia="en-GB"/>
              </w:rPr>
            </w:pPr>
            <w:r>
              <w:t>Lundgren-</w:t>
            </w:r>
            <w:proofErr w:type="spellStart"/>
            <w:r>
              <w:t>Kownacki</w:t>
            </w:r>
            <w:proofErr w:type="spellEnd"/>
            <w:r>
              <w:t xml:space="preserve"> et al., 2018</w:t>
            </w:r>
            <w:r w:rsidRPr="00455A75">
              <w:fldChar w:fldCharType="begin" w:fldLock="1"/>
            </w:r>
            <w:r>
              <w:instrText>ADDIN CSL_CITATION {"citationItems":[{"id":"ITEM-1","itemData":{"DOI":"10.2486/indhealth.2017-0030","ISBN":"0019-8366","ISSN":"0019-8366","PMID":"29057769","abstract":"It is common practice in India to consume the dairy drink buttermilk as a way of mitigat-ing occupational heat strain. This paper explores the thermoregulatory and hydration benefits of drinking buttermilk but also the impacts of work in a hot environment on the gut microbiota, renal and cognitive function. Twelve healthy participants were subjected to a 3-h period of medium load physical intermittent work in a climatic chamber (34°C, 60% RH). The subjects were given water, buttermilk (700 ml) or no rehydration at random. Mean body temperatures when no rehydration was given were significantly higher (p ≤ 0.001). When subjects drank water or buttermilk they had a lower sweat rate than with no rehydration (p ≤ 0.05) and the perception of feeling hot, uncomfort-able, thirsty and physically exerted was significantly reduced (p ≤ 0.05). A hormonal stress response at the end of the exposure was seen when not drinking (p ≤ 0.05). No differences in cognitive abili-ties and gut microbiota were found. The exposure lowered the renal blood flow suggesting an acute impact of short term heat exposure. It was also found that buttermilk has a protective effect on this impact. Our results demonstrated that keeping hydrated by water/buttermilk consumption miti-gates heat strain in well-nourished subjects.","author":[{"dropping-particle":"","family":"Lundgren-Kownacki","given":"Karin","non-dropping-particle":"","parse-names":false,"suffix":""},{"dropping-particle":"","family":"Dahl","given":"Mats","non-dropping-particle":"","parse-names":false,"suffix":""},{"dropping-particle":"","family":"Gao","given":"Chuansi","non-dropping-particle":"","parse-names":false,"suffix":""},{"dropping-particle":"","family":"Jakobsson","given":"Kristina","non-dropping-particle":"","parse-names":false,"suffix":""},{"dropping-particle":"","family":"Linninge","given":"Caroline","non-dropping-particle":"","parse-names":false,"suffix":""},{"dropping-particle":"","family":"Song","given":"Danping","non-dropping-particle":"","parse-names":false,"suffix":""},{"dropping-particle":"","family":"Kuklane","given":"Kalev","non-dropping-particle":"","parse-names":false,"suffix":""}],"container-title":"Industrial Health","id":"ITEM-1","issued":{"date-parts":[["2017"]]},"page":"106-121","title":"Exploring how a traditional diluted yoghurt drink may mitigate heat strain during medium-intensity intermittent work. – A multidisciplinary study of occupational heat strain","type":"article-journal"},"uris":["http://www.mendeley.com/documents/?uuid=5806e0ee-a225-4e47-94b4-fa0365b52903"]}],"mendeley":{"formattedCitation":"(38)","plainTextFormattedCitation":"(38)","previouslyFormattedCitation":"(38)"},"properties":{"noteIndex":0},"schema":"https://github.com/citation-style-language/schema/raw/master/csl-citation.json"}</w:instrText>
            </w:r>
            <w:r w:rsidRPr="00455A75">
              <w:fldChar w:fldCharType="separate"/>
            </w:r>
            <w:r w:rsidRPr="003651E8">
              <w:rPr>
                <w:noProof/>
              </w:rPr>
              <w:t>(38)</w:t>
            </w:r>
            <w:r w:rsidRPr="00455A75">
              <w:fldChar w:fldCharType="end"/>
            </w:r>
          </w:p>
        </w:tc>
        <w:tc>
          <w:tcPr>
            <w:tcW w:w="2231" w:type="dxa"/>
            <w:gridSpan w:val="2"/>
            <w:tcBorders>
              <w:top w:val="single" w:color="auto" w:sz="4" w:space="0"/>
              <w:left w:val="nil"/>
              <w:bottom w:val="single" w:color="auto" w:sz="4" w:space="0"/>
              <w:right w:val="nil"/>
            </w:tcBorders>
          </w:tcPr>
          <w:p w:rsidRPr="00455A75" w:rsidR="00681493" w:rsidP="00681493" w:rsidRDefault="00681493" w14:paraId="5FB9AC2E" w14:textId="77777777">
            <w:pPr>
              <w:spacing w:before="60" w:after="60"/>
              <w:contextualSpacing/>
            </w:pPr>
            <w:r w:rsidRPr="00455A75">
              <w:t xml:space="preserve">N=12 </w:t>
            </w:r>
          </w:p>
          <w:p w:rsidRPr="00455A75" w:rsidR="00681493" w:rsidP="00681493" w:rsidRDefault="00681493" w14:paraId="710F45C9" w14:textId="77777777">
            <w:pPr>
              <w:pStyle w:val="Prrafodelista"/>
              <w:numPr>
                <w:ilvl w:val="0"/>
                <w:numId w:val="13"/>
              </w:numPr>
              <w:spacing w:before="60" w:after="60" w:line="240" w:lineRule="auto"/>
              <w:ind w:left="544" w:hanging="357"/>
              <w:rPr>
                <w:rFonts w:ascii="Times New Roman" w:hAnsi="Times New Roman" w:cs="Times New Roman"/>
              </w:rPr>
            </w:pPr>
            <w:r w:rsidRPr="00455A75">
              <w:rPr>
                <w:rFonts w:ascii="Times New Roman" w:hAnsi="Times New Roman" w:cs="Times New Roman"/>
              </w:rPr>
              <w:t>Males: N=6 (27.2±2.8 years and 24.0±2.0 kg/m</w:t>
            </w:r>
            <w:r w:rsidRPr="00455A75">
              <w:rPr>
                <w:rFonts w:ascii="Times New Roman" w:hAnsi="Times New Roman" w:cs="Times New Roman"/>
                <w:vertAlign w:val="superscript"/>
              </w:rPr>
              <w:t>2</w:t>
            </w:r>
            <w:r w:rsidRPr="00455A75">
              <w:rPr>
                <w:rFonts w:ascii="Times New Roman" w:hAnsi="Times New Roman" w:cs="Times New Roman"/>
              </w:rPr>
              <w:t>)</w:t>
            </w:r>
          </w:p>
          <w:p w:rsidRPr="00455A75" w:rsidR="00681493" w:rsidP="00681493" w:rsidRDefault="00681493" w14:paraId="71F5317E" w14:textId="77777777">
            <w:pPr>
              <w:pStyle w:val="Prrafodelista"/>
              <w:numPr>
                <w:ilvl w:val="0"/>
                <w:numId w:val="13"/>
              </w:numPr>
              <w:spacing w:before="60" w:after="60" w:line="240" w:lineRule="auto"/>
              <w:ind w:left="544" w:hanging="357"/>
              <w:rPr>
                <w:rFonts w:ascii="Times New Roman" w:hAnsi="Times New Roman" w:cs="Times New Roman"/>
              </w:rPr>
            </w:pPr>
            <w:r w:rsidRPr="00455A75">
              <w:rPr>
                <w:rFonts w:ascii="Times New Roman" w:hAnsi="Times New Roman" w:cs="Times New Roman"/>
              </w:rPr>
              <w:t>Females: N=6 (24.0±3.7 years and 23.8±1.1 kg/m</w:t>
            </w:r>
            <w:r w:rsidRPr="00455A75">
              <w:rPr>
                <w:rFonts w:ascii="Times New Roman" w:hAnsi="Times New Roman" w:cs="Times New Roman"/>
                <w:vertAlign w:val="superscript"/>
              </w:rPr>
              <w:t>2</w:t>
            </w:r>
            <w:r w:rsidRPr="00455A75">
              <w:rPr>
                <w:rFonts w:ascii="Times New Roman" w:hAnsi="Times New Roman" w:cs="Times New Roman"/>
              </w:rPr>
              <w:t>)</w:t>
            </w:r>
          </w:p>
          <w:p w:rsidRPr="00455A75" w:rsidR="00681493" w:rsidP="00681493" w:rsidRDefault="00681493" w14:paraId="6678AA2E" w14:textId="77777777">
            <w:pPr>
              <w:spacing w:before="60" w:after="60"/>
              <w:contextualSpacing/>
              <w:rPr>
                <w:rFonts w:eastAsia="Calibri"/>
                <w:i/>
                <w:lang w:eastAsia="en-GB"/>
              </w:rPr>
            </w:pPr>
          </w:p>
        </w:tc>
        <w:tc>
          <w:tcPr>
            <w:tcW w:w="3233" w:type="dxa"/>
            <w:tcBorders>
              <w:top w:val="single" w:color="auto" w:sz="4" w:space="0"/>
              <w:left w:val="nil"/>
              <w:bottom w:val="single" w:color="auto" w:sz="4" w:space="0"/>
              <w:right w:val="nil"/>
            </w:tcBorders>
          </w:tcPr>
          <w:p w:rsidRPr="00455A75" w:rsidR="00681493" w:rsidP="00681493" w:rsidRDefault="00681493" w14:paraId="3E2586D8" w14:textId="77777777">
            <w:pPr>
              <w:spacing w:before="60" w:after="60"/>
              <w:contextualSpacing/>
            </w:pPr>
            <w:r w:rsidRPr="00455A75">
              <w:t xml:space="preserve">2 days of physical work: day 1 with water for rehydration and day 2 without rehydration (3h/d-34ºC, 60%RH). </w:t>
            </w:r>
          </w:p>
          <w:p w:rsidRPr="00455A75" w:rsidR="00681493" w:rsidP="00681493" w:rsidRDefault="00681493" w14:paraId="40B2E808" w14:textId="77777777">
            <w:pPr>
              <w:pStyle w:val="Prrafodelista"/>
              <w:numPr>
                <w:ilvl w:val="0"/>
                <w:numId w:val="29"/>
              </w:numPr>
              <w:spacing w:before="60" w:after="60" w:line="240" w:lineRule="auto"/>
              <w:rPr>
                <w:rFonts w:ascii="Times New Roman" w:hAnsi="Times New Roman" w:cs="Times New Roman"/>
              </w:rPr>
            </w:pPr>
            <w:r w:rsidRPr="00455A75">
              <w:rPr>
                <w:rFonts w:ascii="Times New Roman" w:hAnsi="Times New Roman" w:cs="Times New Roman"/>
              </w:rPr>
              <w:t xml:space="preserve">Activities involved: </w:t>
            </w:r>
            <w:r w:rsidRPr="00BD1AED">
              <w:rPr>
                <w:rFonts w:ascii="Times New Roman" w:hAnsi="Times New Roman" w:cs="Times New Roman"/>
              </w:rPr>
              <w:t>bricks, stepping</w:t>
            </w:r>
            <w:r w:rsidRPr="00455A75">
              <w:rPr>
                <w:rFonts w:ascii="Times New Roman" w:hAnsi="Times New Roman" w:cs="Times New Roman"/>
              </w:rPr>
              <w:t xml:space="preserve">, biking and arm crank at rotating intervals every 20 min </w:t>
            </w:r>
          </w:p>
          <w:p w:rsidRPr="00455A75" w:rsidR="00681493" w:rsidP="00681493" w:rsidRDefault="00681493" w14:paraId="2A7C5366" w14:textId="77777777">
            <w:pPr>
              <w:spacing w:before="60" w:after="60"/>
              <w:contextualSpacing/>
            </w:pPr>
          </w:p>
          <w:p w:rsidRPr="00455A75" w:rsidR="00681493" w:rsidP="00681493" w:rsidRDefault="00681493" w14:paraId="7E983762" w14:textId="77777777">
            <w:pPr>
              <w:spacing w:before="60" w:after="60"/>
              <w:contextualSpacing/>
              <w:rPr>
                <w:rFonts w:eastAsia="Calibri"/>
                <w:lang w:eastAsia="en-GB"/>
              </w:rPr>
            </w:pPr>
            <w:r w:rsidRPr="00455A75">
              <w:t xml:space="preserve"> </w:t>
            </w:r>
          </w:p>
        </w:tc>
        <w:tc>
          <w:tcPr>
            <w:tcW w:w="1623" w:type="dxa"/>
            <w:tcBorders>
              <w:top w:val="single" w:color="auto" w:sz="4" w:space="0"/>
              <w:left w:val="nil"/>
              <w:bottom w:val="single" w:color="auto" w:sz="4" w:space="0"/>
              <w:right w:val="nil"/>
            </w:tcBorders>
          </w:tcPr>
          <w:p w:rsidRPr="00455A75" w:rsidR="00681493" w:rsidP="00681493" w:rsidRDefault="00681493" w14:paraId="3091A7CF" w14:textId="77777777">
            <w:pPr>
              <w:spacing w:before="60" w:after="60"/>
              <w:contextualSpacing/>
            </w:pPr>
            <w:r w:rsidRPr="00455A75">
              <w:t>Standardized diet: Yes</w:t>
            </w:r>
          </w:p>
          <w:p w:rsidRPr="00455A75" w:rsidR="00681493" w:rsidP="00681493" w:rsidRDefault="00681493" w14:paraId="5EDF77C1" w14:textId="77777777">
            <w:pPr>
              <w:spacing w:before="60" w:after="60"/>
              <w:contextualSpacing/>
            </w:pPr>
            <w:r w:rsidRPr="00455A75">
              <w:t>(</w:t>
            </w:r>
            <w:proofErr w:type="gramStart"/>
            <w:r w:rsidRPr="00455A75">
              <w:t>dinner</w:t>
            </w:r>
            <w:proofErr w:type="gramEnd"/>
            <w:r w:rsidRPr="00455A75">
              <w:t xml:space="preserve"> the evening before each test day and standardized breakfast of an egg sandwich each test day.)</w:t>
            </w:r>
          </w:p>
          <w:p w:rsidRPr="00455A75" w:rsidR="00681493" w:rsidP="00681493" w:rsidRDefault="00681493" w14:paraId="3E0212DC" w14:textId="77777777">
            <w:pPr>
              <w:spacing w:before="60" w:after="60"/>
              <w:contextualSpacing/>
              <w:rPr>
                <w:rFonts w:eastAsia="Calibri"/>
                <w:lang w:eastAsia="en-GB"/>
              </w:rPr>
            </w:pPr>
          </w:p>
          <w:p w:rsidRPr="00455A75" w:rsidR="00681493" w:rsidP="00681493" w:rsidRDefault="00681493" w14:paraId="709A6367" w14:textId="77777777">
            <w:pPr>
              <w:spacing w:before="60" w:after="60"/>
              <w:contextualSpacing/>
              <w:rPr>
                <w:rFonts w:eastAsia="Calibri"/>
                <w:lang w:eastAsia="en-GB"/>
              </w:rPr>
            </w:pPr>
            <w:r w:rsidRPr="00455A75">
              <w:rPr>
                <w:rFonts w:eastAsia="Calibri"/>
                <w:lang w:eastAsia="en-GB"/>
              </w:rPr>
              <w:t>Adjusted for diet:  No</w:t>
            </w:r>
          </w:p>
        </w:tc>
        <w:tc>
          <w:tcPr>
            <w:tcW w:w="1134" w:type="dxa"/>
            <w:tcBorders>
              <w:top w:val="single" w:color="auto" w:sz="4" w:space="0"/>
              <w:left w:val="nil"/>
              <w:bottom w:val="single" w:color="auto" w:sz="4" w:space="0"/>
              <w:right w:val="nil"/>
            </w:tcBorders>
          </w:tcPr>
          <w:p w:rsidRPr="00455A75" w:rsidR="00681493" w:rsidP="00681493" w:rsidRDefault="00681493" w14:paraId="6DE44C51" w14:textId="77777777">
            <w:pPr>
              <w:spacing w:before="60" w:after="60"/>
              <w:contextualSpacing/>
              <w:rPr>
                <w:rFonts w:eastAsia="Calibri"/>
                <w:lang w:eastAsia="en-GB"/>
              </w:rPr>
            </w:pPr>
            <w:r w:rsidRPr="00455A75">
              <w:t>1 sample after each day</w:t>
            </w:r>
          </w:p>
        </w:tc>
        <w:tc>
          <w:tcPr>
            <w:tcW w:w="1418" w:type="dxa"/>
            <w:tcBorders>
              <w:top w:val="single" w:color="auto" w:sz="4" w:space="0"/>
              <w:left w:val="nil"/>
              <w:bottom w:val="single" w:color="auto" w:sz="4" w:space="0"/>
              <w:right w:val="nil"/>
            </w:tcBorders>
          </w:tcPr>
          <w:p w:rsidRPr="00455A75" w:rsidR="00681493" w:rsidP="00681493" w:rsidRDefault="00681493" w14:paraId="6A50C0D3" w14:textId="77777777">
            <w:pPr>
              <w:spacing w:before="60" w:after="60"/>
              <w:contextualSpacing/>
            </w:pPr>
            <w:r w:rsidRPr="00455A75">
              <w:t>qPCR: NR</w:t>
            </w:r>
          </w:p>
          <w:p w:rsidRPr="00455A75" w:rsidR="00681493" w:rsidP="00681493" w:rsidRDefault="00681493" w14:paraId="3702532B" w14:textId="77777777">
            <w:pPr>
              <w:spacing w:before="60" w:after="60"/>
              <w:contextualSpacing/>
            </w:pPr>
            <w:r w:rsidRPr="00455A75">
              <w:t xml:space="preserve">Software: </w:t>
            </w:r>
            <w:proofErr w:type="spellStart"/>
            <w:r w:rsidRPr="00455A75">
              <w:t>GeneMapper</w:t>
            </w:r>
            <w:proofErr w:type="spellEnd"/>
            <w:r w:rsidRPr="00455A75">
              <w:t xml:space="preserve"> and R </w:t>
            </w:r>
          </w:p>
          <w:p w:rsidRPr="00455A75" w:rsidR="00681493" w:rsidP="00681493" w:rsidRDefault="00681493" w14:paraId="6F3D5D67" w14:textId="77777777">
            <w:pPr>
              <w:spacing w:before="60" w:after="60"/>
              <w:contextualSpacing/>
            </w:pPr>
            <w:r w:rsidRPr="00455A75">
              <w:t xml:space="preserve">Outcome: 16S </w:t>
            </w:r>
            <w:proofErr w:type="spellStart"/>
            <w:r w:rsidRPr="00455A75">
              <w:t>rRNA</w:t>
            </w:r>
            <w:proofErr w:type="spellEnd"/>
            <w:r w:rsidRPr="00455A75">
              <w:t xml:space="preserve"> gene copies/g samples </w:t>
            </w:r>
          </w:p>
        </w:tc>
        <w:tc>
          <w:tcPr>
            <w:tcW w:w="5069" w:type="dxa"/>
            <w:tcBorders>
              <w:top w:val="single" w:color="auto" w:sz="4" w:space="0"/>
              <w:left w:val="nil"/>
              <w:bottom w:val="single" w:color="auto" w:sz="4" w:space="0"/>
              <w:right w:val="nil"/>
            </w:tcBorders>
          </w:tcPr>
          <w:p w:rsidRPr="00455A75" w:rsidR="00681493" w:rsidP="00681493" w:rsidRDefault="00681493" w14:paraId="20352EE2" w14:textId="77777777">
            <w:pPr>
              <w:spacing w:before="60" w:after="60"/>
              <w:contextualSpacing/>
            </w:pPr>
            <w:r w:rsidRPr="00455A75">
              <w:t xml:space="preserve">Statistical analysis: </w:t>
            </w:r>
            <w:proofErr w:type="spellStart"/>
            <w:r w:rsidRPr="00455A75">
              <w:rPr>
                <w:rFonts w:eastAsia="Calibri"/>
                <w:lang w:eastAsia="en-GB"/>
              </w:rPr>
              <w:t>Kruskal</w:t>
            </w:r>
            <w:proofErr w:type="spellEnd"/>
            <w:r w:rsidRPr="00455A75">
              <w:rPr>
                <w:rFonts w:eastAsia="Calibri"/>
                <w:lang w:eastAsia="en-GB"/>
              </w:rPr>
              <w:t>-Wallis test</w:t>
            </w:r>
          </w:p>
          <w:p w:rsidRPr="00455A75" w:rsidR="00681493" w:rsidP="00681493" w:rsidRDefault="00681493" w14:paraId="33544E52" w14:textId="77777777">
            <w:pPr>
              <w:spacing w:before="60" w:after="60"/>
              <w:contextualSpacing/>
              <w:rPr>
                <w:rFonts w:eastAsia="Calibri"/>
                <w:lang w:eastAsia="en-GB"/>
              </w:rPr>
            </w:pPr>
            <w:r w:rsidRPr="00455A75">
              <w:rPr>
                <w:rFonts w:eastAsia="Calibri"/>
                <w:lang w:eastAsia="en-GB"/>
              </w:rPr>
              <w:t xml:space="preserve">α-diversity: there were no differences between days </w:t>
            </w:r>
          </w:p>
          <w:p w:rsidRPr="00455A75" w:rsidR="00681493" w:rsidP="00681493" w:rsidRDefault="00681493" w14:paraId="444D7ECC" w14:textId="77777777">
            <w:pPr>
              <w:spacing w:before="60" w:after="60"/>
              <w:contextualSpacing/>
              <w:rPr>
                <w:rFonts w:eastAsia="Calibri"/>
                <w:lang w:eastAsia="en-GB"/>
              </w:rPr>
            </w:pPr>
            <w:r w:rsidRPr="00455A75">
              <w:rPr>
                <w:rFonts w:eastAsia="Calibri"/>
                <w:lang w:eastAsia="en-GB"/>
              </w:rPr>
              <w:t xml:space="preserve">Day 1 vs day 2: </w:t>
            </w:r>
          </w:p>
          <w:p w:rsidRPr="00455A75" w:rsidR="00681493" w:rsidP="00681493" w:rsidRDefault="00681493" w14:paraId="6C063E3C" w14:textId="77777777">
            <w:pPr>
              <w:pStyle w:val="Prrafodelista"/>
              <w:numPr>
                <w:ilvl w:val="0"/>
                <w:numId w:val="29"/>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Family: </w:t>
            </w:r>
          </w:p>
          <w:p w:rsidRPr="00455A75" w:rsidR="00681493" w:rsidP="00681493" w:rsidRDefault="00681493" w14:paraId="468E73BD" w14:textId="77777777">
            <w:pPr>
              <w:pStyle w:val="Prrafodelista"/>
              <w:numPr>
                <w:ilvl w:val="1"/>
                <w:numId w:val="29"/>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 </w:t>
            </w:r>
            <w:proofErr w:type="spellStart"/>
            <w:r w:rsidRPr="00E227B9">
              <w:rPr>
                <w:rFonts w:ascii="Times New Roman" w:hAnsi="Times New Roman" w:eastAsia="Calibri" w:cs="Times New Roman"/>
                <w:i/>
                <w:lang w:eastAsia="en-GB"/>
              </w:rPr>
              <w:t>Enterobacteriaceae</w:t>
            </w:r>
            <w:proofErr w:type="spellEnd"/>
            <w:r w:rsidRPr="00455A75">
              <w:rPr>
                <w:rFonts w:ascii="Times New Roman" w:hAnsi="Times New Roman" w:eastAsia="Calibri" w:cs="Times New Roman"/>
                <w:lang w:eastAsia="en-GB"/>
              </w:rPr>
              <w:t xml:space="preserve"> </w:t>
            </w:r>
          </w:p>
          <w:p w:rsidRPr="00455A75" w:rsidR="00681493" w:rsidP="00681493" w:rsidRDefault="00681493" w14:paraId="61FB01E2" w14:textId="77777777">
            <w:pPr>
              <w:pStyle w:val="Prrafodelista"/>
              <w:numPr>
                <w:ilvl w:val="0"/>
                <w:numId w:val="29"/>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p>
          <w:p w:rsidRPr="00455A75" w:rsidR="00681493" w:rsidP="00681493" w:rsidRDefault="00681493" w14:paraId="75842E57" w14:textId="77777777">
            <w:pPr>
              <w:pStyle w:val="Prrafodelista"/>
              <w:numPr>
                <w:ilvl w:val="1"/>
                <w:numId w:val="29"/>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 </w:t>
            </w:r>
            <w:r w:rsidRPr="00455A75">
              <w:rPr>
                <w:rFonts w:ascii="Times New Roman" w:hAnsi="Times New Roman" w:eastAsia="Calibri" w:cs="Times New Roman"/>
                <w:i/>
                <w:lang w:eastAsia="en-GB"/>
              </w:rPr>
              <w:t xml:space="preserve">Lactobacillus </w:t>
            </w:r>
          </w:p>
        </w:tc>
      </w:tr>
      <w:tr w:rsidRPr="00455A75" w:rsidR="00681493" w:rsidTr="00C81275" w14:paraId="0FEA0A5B" w14:textId="77777777">
        <w:trPr>
          <w:jc w:val="center"/>
        </w:trPr>
        <w:tc>
          <w:tcPr>
            <w:tcW w:w="1273" w:type="dxa"/>
            <w:tcBorders>
              <w:top w:val="single" w:color="auto" w:sz="4" w:space="0"/>
              <w:left w:val="nil"/>
              <w:bottom w:val="single" w:color="auto" w:sz="4" w:space="0"/>
              <w:right w:val="nil"/>
            </w:tcBorders>
          </w:tcPr>
          <w:p w:rsidRPr="00455A75" w:rsidR="00681493" w:rsidP="00681493" w:rsidRDefault="00681493" w14:paraId="7A0C241A" w14:textId="3CE40C9E">
            <w:pPr>
              <w:spacing w:before="60" w:after="60"/>
              <w:contextualSpacing/>
              <w:rPr>
                <w:rFonts w:eastAsia="Calibri"/>
                <w:i/>
                <w:lang w:eastAsia="en-GB"/>
              </w:rPr>
            </w:pPr>
            <w:r>
              <w:t>Zhao et al.</w:t>
            </w:r>
            <w:r w:rsidR="002E53E3">
              <w:t>,</w:t>
            </w:r>
            <w:r>
              <w:t xml:space="preserve"> 2018</w:t>
            </w:r>
            <w:r w:rsidRPr="00455A75">
              <w:fldChar w:fldCharType="begin" w:fldLock="1"/>
            </w:r>
            <w:r>
              <w:instrText>ADDIN CSL_CITATION {"citationItems":[{"id":"ITEM-1","itemData":{"DOI":"10.3389/fmicb.2018.00765","ISBN":"1664-302X (Print)\r1664-302X (Linking)","ISSN":"1664302X","PMID":"29731746","abstract":"A few animal studies have shown that wheel running could reverse an unhealthy status by shifting the gut microbial composition, but no investigations have studied the effect of endurance running, such as marathon running, on human gut microbial communities. Since many findings have shown that marathon running immediately causes metabolic changes in blood, urine, muscles and lymph that potentially impact the gut microbiota (GM) within several hours. Here, we investigated whether the GM immediately responds to the enteric changes in amateur half-marathon runners. Alterations in the metabolic profile and microbiota were investigated in fecal samples based on an untargeted metabolomics methodology and 16S rDNA sequencing analysis. A total of 40 fecal metabolites were found significantly changed after finishing a half-marathon race. The most significantly different metabolites were organic acids (the major increased metabolites) and nucleic acid components (the major decreased metabolites). The enteric changes induced by running did not affect the α-diversity of the GM, but the abundances of certain microbiota members were shown to be significantly different before and after running. The family Coriobacteriaceae was identified as a potential biomarker that links exercise with health improvement. Functional prediction showed a significantly activated \"Cell motility\" function of GM within participants after running. Correlation analysis indicated that the observed differential GM in our study might have been the shared outcome of running and diet. This study provided knowledge regarding the health impacts of marathon running from the perspective of GM for the first time. Our data indicated that long-distance endurance running can immediately cause striking metabolic changes in the gut environment. Gut microbes can rapidly respond to the altered fecal metabolites by adjusting certain bacterial taxa. These findings highlighted the health-promoting benefits of exercise from the perspective of GM.","author":[{"dropping-particle":"","family":"Zhao","given":"Xia","non-dropping-particle":"","parse-names":false,"suffix":""},{"dropping-particle":"","family":"Zhang","given":"Zhujun","non-dropping-particle":"","parse-names":false,"suffix":""},{"dropping-particle":"","family":"Hu","given":"Bin","non-dropping-particle":"","parse-names":false,"suffix":""},{"dropping-particle":"","family":"Huang","given":"Wei","non-dropping-particle":"","parse-names":false,"suffix":""},{"dropping-particle":"","family":"Yuan","given":"Chao","non-dropping-particle":"","parse-names":false,"suffix":""},{"dropping-particle":"","family":"Zou","given":"Lingyun","non-dropping-particle":"","parse-names":false,"suffix":""}],"container-title":"Frontiers in Microbiology","id":"ITEM-1","issue":"APR","issued":{"date-parts":[["2018"]]},"page":"1-11","title":"Response of gut microbiota to metabolite changes induced by endurance exercise","type":"article-journal","volume":"9"},"uris":["http://www.mendeley.com/documents/?uuid=65f44baf-e7c6-44d2-ba91-c26207d2c5b5"]}],"mendeley":{"formattedCitation":"(39)","plainTextFormattedCitation":"(39)","previouslyFormattedCitation":"(39)"},"properties":{"noteIndex":0},"schema":"https://github.com/citation-style-language/schema/raw/master/csl-citation.json"}</w:instrText>
            </w:r>
            <w:r w:rsidRPr="00455A75">
              <w:fldChar w:fldCharType="separate"/>
            </w:r>
            <w:r w:rsidRPr="003651E8">
              <w:rPr>
                <w:noProof/>
              </w:rPr>
              <w:t>(39)</w:t>
            </w:r>
            <w:r w:rsidRPr="00455A75">
              <w:fldChar w:fldCharType="end"/>
            </w:r>
          </w:p>
        </w:tc>
        <w:tc>
          <w:tcPr>
            <w:tcW w:w="2231" w:type="dxa"/>
            <w:gridSpan w:val="2"/>
            <w:tcBorders>
              <w:top w:val="single" w:color="auto" w:sz="4" w:space="0"/>
              <w:left w:val="nil"/>
              <w:bottom w:val="single" w:color="auto" w:sz="4" w:space="0"/>
              <w:right w:val="nil"/>
            </w:tcBorders>
          </w:tcPr>
          <w:p w:rsidRPr="00455A75" w:rsidR="00681493" w:rsidP="00681493" w:rsidRDefault="00681493" w14:paraId="3ED200FE" w14:textId="77777777">
            <w:pPr>
              <w:spacing w:before="60" w:after="60"/>
              <w:contextualSpacing/>
              <w:rPr>
                <w:rFonts w:eastAsia="Calibri"/>
                <w:i/>
                <w:lang w:eastAsia="en-GB"/>
              </w:rPr>
            </w:pPr>
            <w:r w:rsidRPr="00455A75">
              <w:t>N=20 runners (16 males; 4 females)</w:t>
            </w:r>
            <w:r w:rsidRPr="00455A75" w:rsidDel="000854DC">
              <w:t xml:space="preserve"> </w:t>
            </w:r>
            <w:r w:rsidRPr="00455A75">
              <w:t>(31.3±6.1 years and 22.6±2.1kg/m</w:t>
            </w:r>
            <w:r w:rsidRPr="00455A75">
              <w:rPr>
                <w:vertAlign w:val="superscript"/>
              </w:rPr>
              <w:t>2</w:t>
            </w:r>
            <w:r w:rsidRPr="00455A75">
              <w:t>)</w:t>
            </w:r>
          </w:p>
        </w:tc>
        <w:tc>
          <w:tcPr>
            <w:tcW w:w="3233" w:type="dxa"/>
            <w:tcBorders>
              <w:top w:val="single" w:color="auto" w:sz="4" w:space="0"/>
              <w:left w:val="nil"/>
              <w:bottom w:val="single" w:color="auto" w:sz="4" w:space="0"/>
              <w:right w:val="nil"/>
            </w:tcBorders>
          </w:tcPr>
          <w:p w:rsidRPr="00455A75" w:rsidR="00681493" w:rsidP="00681493" w:rsidRDefault="00681493" w14:paraId="197CDA61" w14:textId="77777777">
            <w:pPr>
              <w:pStyle w:val="Prrafodelista"/>
              <w:numPr>
                <w:ilvl w:val="1"/>
                <w:numId w:val="31"/>
              </w:numPr>
              <w:spacing w:before="60" w:after="60" w:line="240" w:lineRule="auto"/>
              <w:rPr>
                <w:rFonts w:ascii="Times New Roman" w:hAnsi="Times New Roman" w:cs="Times New Roman"/>
              </w:rPr>
            </w:pPr>
            <w:r w:rsidRPr="00455A75">
              <w:rPr>
                <w:rFonts w:ascii="Times New Roman" w:hAnsi="Times New Roman" w:cs="Times New Roman"/>
              </w:rPr>
              <w:t xml:space="preserve">km of half-marathon </w:t>
            </w:r>
          </w:p>
          <w:p w:rsidRPr="00455A75" w:rsidR="00681493" w:rsidP="00681493" w:rsidRDefault="00681493" w14:paraId="65D2875D" w14:textId="77777777">
            <w:pPr>
              <w:spacing w:before="60" w:after="60"/>
              <w:contextualSpacing/>
            </w:pPr>
          </w:p>
          <w:p w:rsidRPr="00455A75" w:rsidR="00681493" w:rsidP="00681493" w:rsidRDefault="00681493" w14:paraId="589FE99A" w14:textId="77777777">
            <w:pPr>
              <w:spacing w:before="60" w:after="60"/>
              <w:contextualSpacing/>
              <w:rPr>
                <w:rFonts w:eastAsia="Calibri"/>
                <w:lang w:eastAsia="en-GB"/>
              </w:rPr>
            </w:pPr>
          </w:p>
        </w:tc>
        <w:tc>
          <w:tcPr>
            <w:tcW w:w="1623" w:type="dxa"/>
            <w:tcBorders>
              <w:top w:val="single" w:color="auto" w:sz="4" w:space="0"/>
              <w:left w:val="nil"/>
              <w:bottom w:val="single" w:color="auto" w:sz="4" w:space="0"/>
              <w:right w:val="nil"/>
            </w:tcBorders>
          </w:tcPr>
          <w:p w:rsidRPr="00455A75" w:rsidR="00681493" w:rsidP="00681493" w:rsidRDefault="00681493" w14:paraId="09D1AB97" w14:textId="77777777">
            <w:pPr>
              <w:spacing w:before="60" w:after="60"/>
              <w:contextualSpacing/>
            </w:pPr>
            <w:r w:rsidRPr="00455A75">
              <w:t>Standardized diet: Yes</w:t>
            </w:r>
          </w:p>
          <w:p w:rsidRPr="00455A75" w:rsidR="00681493" w:rsidP="00681493" w:rsidRDefault="00681493" w14:paraId="4BB06FE2" w14:textId="77777777">
            <w:pPr>
              <w:spacing w:before="60" w:after="60"/>
              <w:contextualSpacing/>
            </w:pPr>
            <w:r w:rsidRPr="00455A75">
              <w:t xml:space="preserve">(same kind of food during the two sample time </w:t>
            </w:r>
            <w:r w:rsidRPr="00455A75">
              <w:lastRenderedPageBreak/>
              <w:t>periods)</w:t>
            </w:r>
          </w:p>
          <w:p w:rsidRPr="00455A75" w:rsidR="00681493" w:rsidP="00681493" w:rsidRDefault="00681493" w14:paraId="4AC11B80" w14:textId="77777777">
            <w:pPr>
              <w:spacing w:before="60" w:after="60"/>
              <w:contextualSpacing/>
            </w:pPr>
            <w:r w:rsidRPr="00455A75">
              <w:t xml:space="preserve"> </w:t>
            </w:r>
          </w:p>
          <w:p w:rsidRPr="00455A75" w:rsidR="00681493" w:rsidP="00681493" w:rsidRDefault="00681493" w14:paraId="6D48D4A4" w14:textId="77777777">
            <w:pPr>
              <w:spacing w:before="60" w:after="60"/>
              <w:contextualSpacing/>
            </w:pPr>
            <w:r w:rsidRPr="00455A75">
              <w:rPr>
                <w:rFonts w:eastAsia="Calibri"/>
                <w:lang w:eastAsia="en-GB"/>
              </w:rPr>
              <w:t>Adjusted for diet:  No</w:t>
            </w:r>
          </w:p>
          <w:p w:rsidRPr="00455A75" w:rsidR="00681493" w:rsidP="00681493" w:rsidRDefault="00681493" w14:paraId="1E127AEF" w14:textId="77777777">
            <w:pPr>
              <w:spacing w:before="60" w:after="60"/>
              <w:contextualSpacing/>
              <w:rPr>
                <w:rFonts w:eastAsia="Calibri"/>
                <w:lang w:eastAsia="en-GB"/>
              </w:rPr>
            </w:pPr>
          </w:p>
        </w:tc>
        <w:tc>
          <w:tcPr>
            <w:tcW w:w="1134" w:type="dxa"/>
            <w:tcBorders>
              <w:top w:val="single" w:color="auto" w:sz="4" w:space="0"/>
              <w:left w:val="nil"/>
              <w:bottom w:val="single" w:color="auto" w:sz="4" w:space="0"/>
              <w:right w:val="nil"/>
            </w:tcBorders>
          </w:tcPr>
          <w:p w:rsidRPr="00455A75" w:rsidR="00681493" w:rsidP="00681493" w:rsidRDefault="00681493" w14:paraId="4602F745" w14:textId="77777777">
            <w:pPr>
              <w:spacing w:before="60" w:after="60"/>
              <w:contextualSpacing/>
              <w:rPr>
                <w:rFonts w:eastAsia="Calibri"/>
                <w:lang w:eastAsia="en-GB"/>
              </w:rPr>
            </w:pPr>
            <w:r w:rsidRPr="00455A75">
              <w:lastRenderedPageBreak/>
              <w:t>2 samples: before and after marathon</w:t>
            </w:r>
          </w:p>
        </w:tc>
        <w:tc>
          <w:tcPr>
            <w:tcW w:w="1418" w:type="dxa"/>
            <w:tcBorders>
              <w:top w:val="single" w:color="auto" w:sz="4" w:space="0"/>
              <w:left w:val="nil"/>
              <w:bottom w:val="single" w:color="auto" w:sz="4" w:space="0"/>
              <w:right w:val="nil"/>
            </w:tcBorders>
          </w:tcPr>
          <w:p w:rsidRPr="00455A75" w:rsidR="00681493" w:rsidP="00681493" w:rsidRDefault="00681493" w14:paraId="7AD4E0BD" w14:textId="77777777">
            <w:pPr>
              <w:spacing w:before="60" w:after="60"/>
              <w:contextualSpacing/>
            </w:pPr>
            <w:r w:rsidRPr="00455A75">
              <w:t xml:space="preserve">qPCR:  </w:t>
            </w:r>
            <w:proofErr w:type="spellStart"/>
            <w:r w:rsidRPr="00455A75">
              <w:t>HiSeq</w:t>
            </w:r>
            <w:proofErr w:type="spellEnd"/>
            <w:r w:rsidRPr="00455A75">
              <w:t xml:space="preserve"> Illumina </w:t>
            </w:r>
          </w:p>
          <w:p w:rsidRPr="00455A75" w:rsidR="00681493" w:rsidP="00681493" w:rsidRDefault="00681493" w14:paraId="53BEA839" w14:textId="77777777">
            <w:pPr>
              <w:spacing w:before="60" w:after="60"/>
              <w:contextualSpacing/>
            </w:pPr>
            <w:r w:rsidRPr="00455A75">
              <w:t>Software: QIIME</w:t>
            </w:r>
          </w:p>
          <w:p w:rsidRPr="00455A75" w:rsidR="00681493" w:rsidP="00681493" w:rsidRDefault="00681493" w14:paraId="54486C65" w14:textId="77777777">
            <w:pPr>
              <w:spacing w:before="60" w:after="60"/>
              <w:contextualSpacing/>
            </w:pPr>
            <w:r w:rsidRPr="00455A75">
              <w:t xml:space="preserve">Reference </w:t>
            </w:r>
            <w:r w:rsidRPr="00455A75">
              <w:lastRenderedPageBreak/>
              <w:t>DB: RDP</w:t>
            </w:r>
          </w:p>
          <w:p w:rsidRPr="00455A75" w:rsidR="00681493" w:rsidP="00681493" w:rsidRDefault="00681493" w14:paraId="797348C9" w14:textId="77777777">
            <w:pPr>
              <w:spacing w:before="60" w:after="60"/>
              <w:contextualSpacing/>
            </w:pPr>
            <w:r w:rsidRPr="00455A75">
              <w:t>Outcome: OTU</w:t>
            </w:r>
          </w:p>
        </w:tc>
        <w:tc>
          <w:tcPr>
            <w:tcW w:w="5069" w:type="dxa"/>
            <w:tcBorders>
              <w:top w:val="single" w:color="auto" w:sz="4" w:space="0"/>
              <w:left w:val="nil"/>
              <w:bottom w:val="single" w:color="auto" w:sz="4" w:space="0"/>
              <w:right w:val="nil"/>
            </w:tcBorders>
          </w:tcPr>
          <w:p w:rsidRPr="00455A75" w:rsidR="00681493" w:rsidP="00681493" w:rsidRDefault="00681493" w14:paraId="56BC4F03" w14:textId="77777777">
            <w:pPr>
              <w:spacing w:before="60" w:after="60"/>
              <w:contextualSpacing/>
            </w:pPr>
            <w:r w:rsidRPr="00455A75">
              <w:lastRenderedPageBreak/>
              <w:t>Statistical analysis: linear discriminant analysis, effect size analysis</w:t>
            </w:r>
          </w:p>
          <w:p w:rsidRPr="00455A75" w:rsidR="00681493" w:rsidP="00681493" w:rsidRDefault="00681493" w14:paraId="11301A02" w14:textId="77777777">
            <w:pPr>
              <w:spacing w:before="60" w:after="60"/>
              <w:contextualSpacing/>
            </w:pPr>
            <w:r w:rsidRPr="00455A75">
              <w:t>= α-diversity between after and before the marathon</w:t>
            </w:r>
          </w:p>
          <w:p w:rsidRPr="00455A75" w:rsidR="00681493" w:rsidP="00681493" w:rsidRDefault="00681493" w14:paraId="7D627220" w14:textId="77777777">
            <w:pPr>
              <w:spacing w:before="60" w:after="60"/>
              <w:contextualSpacing/>
            </w:pPr>
            <w:r w:rsidRPr="00455A75">
              <w:t xml:space="preserve">After vs before marathon: </w:t>
            </w:r>
          </w:p>
          <w:p w:rsidRPr="00455A75" w:rsidR="00681493" w:rsidP="00681493" w:rsidRDefault="00681493" w14:paraId="44C126B1"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 xml:space="preserve">Phylum: </w:t>
            </w:r>
          </w:p>
          <w:p w:rsidRPr="00455A75" w:rsidR="00681493" w:rsidP="00681493" w:rsidRDefault="00681493" w14:paraId="40F631E3"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lastRenderedPageBreak/>
              <w:t>↑</w:t>
            </w:r>
            <w:r w:rsidRPr="00455A75">
              <w:rPr>
                <w:rFonts w:ascii="Times New Roman" w:hAnsi="Times New Roman" w:cs="Times New Roman"/>
              </w:rPr>
              <w:t xml:space="preserve"> </w:t>
            </w:r>
            <w:proofErr w:type="spellStart"/>
            <w:r w:rsidRPr="00455A75">
              <w:rPr>
                <w:rFonts w:ascii="Times New Roman" w:hAnsi="Times New Roman" w:cs="Times New Roman"/>
                <w:i/>
              </w:rPr>
              <w:t>Actinobacteria</w:t>
            </w:r>
            <w:proofErr w:type="spellEnd"/>
          </w:p>
          <w:p w:rsidRPr="00455A75" w:rsidR="00681493" w:rsidP="00681493" w:rsidRDefault="00681493" w14:paraId="3FE4A649"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 xml:space="preserve">Class:  </w:t>
            </w:r>
          </w:p>
          <w:p w:rsidRPr="00455A75" w:rsidR="00681493" w:rsidP="00681493" w:rsidRDefault="00681493" w14:paraId="41CC09AC"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E227B9">
              <w:rPr>
                <w:rFonts w:ascii="Times New Roman" w:hAnsi="Times New Roman" w:cs="Times New Roman"/>
                <w:i/>
              </w:rPr>
              <w:t>Coriobacteria</w:t>
            </w:r>
            <w:proofErr w:type="spellEnd"/>
          </w:p>
          <w:p w:rsidRPr="00455A75" w:rsidR="00681493" w:rsidP="00681493" w:rsidRDefault="00681493" w14:paraId="4B9BEC71"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Order:</w:t>
            </w:r>
          </w:p>
          <w:p w:rsidRPr="00455A75" w:rsidR="00681493" w:rsidP="00681493" w:rsidRDefault="00681493" w14:paraId="37CA868A"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E227B9">
              <w:rPr>
                <w:rFonts w:ascii="Times New Roman" w:hAnsi="Times New Roman" w:cs="Times New Roman"/>
                <w:i/>
              </w:rPr>
              <w:t>Coriobacteriales</w:t>
            </w:r>
            <w:proofErr w:type="spellEnd"/>
          </w:p>
          <w:p w:rsidRPr="00455A75" w:rsidR="00681493" w:rsidP="00681493" w:rsidRDefault="00681493" w14:paraId="6F982DA7"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 xml:space="preserve">Family: </w:t>
            </w:r>
          </w:p>
          <w:p w:rsidRPr="00455A75" w:rsidR="00681493" w:rsidP="00681493" w:rsidRDefault="00681493" w14:paraId="3C1C517C"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E227B9">
              <w:rPr>
                <w:rFonts w:ascii="Times New Roman" w:hAnsi="Times New Roman" w:cs="Times New Roman"/>
                <w:i/>
              </w:rPr>
              <w:t>Coriobacteriaceae</w:t>
            </w:r>
            <w:proofErr w:type="spellEnd"/>
          </w:p>
          <w:p w:rsidRPr="00455A75" w:rsidR="00681493" w:rsidP="00681493" w:rsidRDefault="00681493" w14:paraId="256ED897"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E227B9">
              <w:rPr>
                <w:rFonts w:ascii="Times New Roman" w:hAnsi="Times New Roman" w:cs="Times New Roman"/>
                <w:i/>
              </w:rPr>
              <w:t>Succinivibrionaceae</w:t>
            </w:r>
            <w:proofErr w:type="spellEnd"/>
          </w:p>
          <w:p w:rsidRPr="00455A75" w:rsidR="00681493" w:rsidP="00681493" w:rsidRDefault="00681493" w14:paraId="2877EAD4"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 xml:space="preserve">Genus: </w:t>
            </w:r>
          </w:p>
          <w:p w:rsidRPr="00455A75" w:rsidR="00681493" w:rsidP="00681493" w:rsidRDefault="00681493" w14:paraId="1B7895EB"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455A75">
              <w:rPr>
                <w:rFonts w:ascii="Times New Roman" w:hAnsi="Times New Roman" w:cs="Times New Roman"/>
                <w:i/>
              </w:rPr>
              <w:t>Actinobacillus</w:t>
            </w:r>
            <w:proofErr w:type="spellEnd"/>
          </w:p>
          <w:p w:rsidRPr="00455A75" w:rsidR="00681493" w:rsidP="00681493" w:rsidRDefault="00681493" w14:paraId="7C1C161C"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i/>
                <w:sz w:val="24"/>
                <w:lang w:eastAsia="en-GB"/>
              </w:rPr>
              <w:t>↑</w:t>
            </w:r>
            <w:r w:rsidRPr="00455A75">
              <w:rPr>
                <w:rFonts w:ascii="Times New Roman" w:hAnsi="Times New Roman" w:cs="Times New Roman"/>
                <w:i/>
              </w:rPr>
              <w:t xml:space="preserve"> </w:t>
            </w:r>
            <w:proofErr w:type="spellStart"/>
            <w:r w:rsidRPr="00455A75">
              <w:rPr>
                <w:rFonts w:ascii="Times New Roman" w:hAnsi="Times New Roman" w:cs="Times New Roman"/>
                <w:i/>
              </w:rPr>
              <w:t>Pseudobutyrivibrio</w:t>
            </w:r>
            <w:proofErr w:type="spellEnd"/>
          </w:p>
          <w:p w:rsidRPr="00455A75" w:rsidR="00681493" w:rsidP="00681493" w:rsidRDefault="00681493" w14:paraId="5C8923C9"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i/>
                <w:sz w:val="24"/>
                <w:lang w:eastAsia="en-GB"/>
              </w:rPr>
              <w:t>↑</w:t>
            </w:r>
            <w:r w:rsidRPr="00455A75">
              <w:rPr>
                <w:rFonts w:ascii="Times New Roman" w:hAnsi="Times New Roman" w:cs="Times New Roman"/>
                <w:i/>
              </w:rPr>
              <w:t xml:space="preserve"> </w:t>
            </w:r>
            <w:proofErr w:type="spellStart"/>
            <w:r w:rsidRPr="00455A75">
              <w:rPr>
                <w:rFonts w:ascii="Times New Roman" w:hAnsi="Times New Roman" w:cs="Times New Roman"/>
                <w:i/>
              </w:rPr>
              <w:t>Collinsella</w:t>
            </w:r>
            <w:proofErr w:type="spellEnd"/>
            <w:r w:rsidRPr="00455A75">
              <w:rPr>
                <w:rFonts w:ascii="Times New Roman" w:hAnsi="Times New Roman" w:cs="Times New Roman"/>
                <w:i/>
              </w:rPr>
              <w:t xml:space="preserve"> </w:t>
            </w:r>
          </w:p>
          <w:p w:rsidRPr="00455A75" w:rsidR="00681493" w:rsidP="00681493" w:rsidRDefault="00681493" w14:paraId="142EBA5A"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i/>
                <w:sz w:val="24"/>
                <w:lang w:eastAsia="en-GB"/>
              </w:rPr>
              <w:t>↑</w:t>
            </w:r>
            <w:r w:rsidRPr="00455A75">
              <w:rPr>
                <w:rFonts w:ascii="Times New Roman" w:hAnsi="Times New Roman" w:cs="Times New Roman"/>
                <w:i/>
              </w:rPr>
              <w:t xml:space="preserve"> </w:t>
            </w:r>
            <w:proofErr w:type="spellStart"/>
            <w:r w:rsidRPr="00455A75">
              <w:rPr>
                <w:rFonts w:ascii="Times New Roman" w:hAnsi="Times New Roman" w:cs="Times New Roman"/>
                <w:i/>
              </w:rPr>
              <w:t>Mitsuokella</w:t>
            </w:r>
            <w:proofErr w:type="spellEnd"/>
          </w:p>
          <w:p w:rsidRPr="00455A75" w:rsidR="00681493" w:rsidP="00681493" w:rsidRDefault="00681493" w14:paraId="5FAFCA7D"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i/>
                <w:sz w:val="24"/>
                <w:lang w:eastAsia="en-GB"/>
              </w:rPr>
              <w:t>↑</w:t>
            </w:r>
            <w:r w:rsidRPr="00455A75">
              <w:rPr>
                <w:rFonts w:ascii="Times New Roman" w:hAnsi="Times New Roman" w:cs="Times New Roman"/>
                <w:i/>
              </w:rPr>
              <w:t xml:space="preserve"> </w:t>
            </w:r>
            <w:proofErr w:type="spellStart"/>
            <w:r w:rsidRPr="00455A75">
              <w:rPr>
                <w:rFonts w:ascii="Times New Roman" w:hAnsi="Times New Roman" w:cs="Times New Roman"/>
                <w:i/>
              </w:rPr>
              <w:t>Ruminiclostridium</w:t>
            </w:r>
            <w:proofErr w:type="spellEnd"/>
          </w:p>
          <w:p w:rsidRPr="00455A75" w:rsidR="00681493" w:rsidP="00681493" w:rsidRDefault="00681493" w14:paraId="75F7F54C" w14:textId="77777777">
            <w:pPr>
              <w:pStyle w:val="Prrafodelista"/>
              <w:numPr>
                <w:ilvl w:val="0"/>
                <w:numId w:val="30"/>
              </w:numPr>
              <w:spacing w:before="60" w:after="60" w:line="240" w:lineRule="auto"/>
              <w:rPr>
                <w:rFonts w:ascii="Times New Roman" w:hAnsi="Times New Roman" w:cs="Times New Roman"/>
              </w:rPr>
            </w:pPr>
            <w:r w:rsidRPr="00455A75">
              <w:rPr>
                <w:rFonts w:ascii="Times New Roman" w:hAnsi="Times New Roman" w:cs="Times New Roman"/>
              </w:rPr>
              <w:t xml:space="preserve">Species: </w:t>
            </w:r>
          </w:p>
          <w:p w:rsidRPr="00455A75" w:rsidR="00681493" w:rsidP="00681493" w:rsidRDefault="00681493" w14:paraId="448A6749"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r w:rsidRPr="00E227B9">
              <w:rPr>
                <w:rFonts w:ascii="Times New Roman" w:hAnsi="Times New Roman" w:cs="Times New Roman"/>
                <w:i/>
              </w:rPr>
              <w:t>Coprococcus_2</w:t>
            </w:r>
          </w:p>
          <w:p w:rsidRPr="00455A75" w:rsidR="00681493" w:rsidP="00681493" w:rsidRDefault="00681493" w14:paraId="0CA92CF8" w14:textId="77777777">
            <w:pPr>
              <w:pStyle w:val="Prrafodelista"/>
              <w:numPr>
                <w:ilvl w:val="1"/>
                <w:numId w:val="30"/>
              </w:numPr>
              <w:spacing w:before="60" w:after="60" w:line="240" w:lineRule="auto"/>
              <w:rPr>
                <w:rFonts w:ascii="Times New Roman" w:hAnsi="Times New Roman" w:cs="Times New Roman"/>
                <w:i/>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455A75">
              <w:rPr>
                <w:rFonts w:ascii="Times New Roman" w:hAnsi="Times New Roman" w:cs="Times New Roman"/>
                <w:i/>
              </w:rPr>
              <w:t>Ruminococcus</w:t>
            </w:r>
            <w:proofErr w:type="spellEnd"/>
            <w:r w:rsidRPr="00455A75">
              <w:rPr>
                <w:rFonts w:ascii="Times New Roman" w:hAnsi="Times New Roman" w:cs="Times New Roman"/>
                <w:i/>
              </w:rPr>
              <w:t xml:space="preserve"> </w:t>
            </w:r>
            <w:proofErr w:type="spellStart"/>
            <w:r w:rsidRPr="00455A75">
              <w:rPr>
                <w:rFonts w:ascii="Times New Roman" w:hAnsi="Times New Roman" w:cs="Times New Roman"/>
                <w:i/>
              </w:rPr>
              <w:t>bicirculans</w:t>
            </w:r>
            <w:proofErr w:type="spellEnd"/>
          </w:p>
          <w:p w:rsidRPr="00455A75" w:rsidR="00681493" w:rsidP="00681493" w:rsidRDefault="00681493" w14:paraId="512EEA94" w14:textId="77777777">
            <w:pPr>
              <w:pStyle w:val="Prrafodelista"/>
              <w:numPr>
                <w:ilvl w:val="1"/>
                <w:numId w:val="30"/>
              </w:numPr>
              <w:spacing w:before="60" w:after="60" w:line="240" w:lineRule="auto"/>
              <w:rPr>
                <w:rFonts w:ascii="Times New Roman" w:hAnsi="Times New Roman" w:cs="Times New Roman"/>
              </w:rPr>
            </w:pPr>
            <w:r w:rsidRPr="00455A75">
              <w:rPr>
                <w:rFonts w:ascii="Times New Roman" w:hAnsi="Times New Roman" w:eastAsia="Calibri" w:cs="Times New Roman"/>
                <w:b/>
                <w:i/>
                <w:sz w:val="24"/>
                <w:lang w:eastAsia="en-GB"/>
              </w:rPr>
              <w:t xml:space="preserve">↑ </w:t>
            </w:r>
            <w:proofErr w:type="spellStart"/>
            <w:r w:rsidRPr="00455A75">
              <w:rPr>
                <w:rFonts w:ascii="Times New Roman" w:hAnsi="Times New Roman" w:cs="Times New Roman"/>
                <w:i/>
              </w:rPr>
              <w:t>Collinsella</w:t>
            </w:r>
            <w:proofErr w:type="spellEnd"/>
            <w:r w:rsidRPr="00455A75">
              <w:rPr>
                <w:rFonts w:ascii="Times New Roman" w:hAnsi="Times New Roman" w:cs="Times New Roman"/>
                <w:i/>
              </w:rPr>
              <w:t xml:space="preserve"> </w:t>
            </w:r>
            <w:proofErr w:type="spellStart"/>
            <w:r w:rsidRPr="00455A75">
              <w:rPr>
                <w:rFonts w:ascii="Times New Roman" w:hAnsi="Times New Roman" w:cs="Times New Roman"/>
                <w:i/>
              </w:rPr>
              <w:t>aerofaciens</w:t>
            </w:r>
            <w:proofErr w:type="spellEnd"/>
          </w:p>
        </w:tc>
      </w:tr>
      <w:tr w:rsidRPr="00455A75" w:rsidR="00681493" w:rsidTr="00681493" w14:paraId="70368D59" w14:textId="77777777">
        <w:trPr>
          <w:jc w:val="center"/>
        </w:trPr>
        <w:tc>
          <w:tcPr>
            <w:tcW w:w="3504" w:type="dxa"/>
            <w:gridSpan w:val="3"/>
            <w:tcBorders>
              <w:top w:val="single" w:color="auto" w:sz="4" w:space="0"/>
              <w:left w:val="nil"/>
              <w:bottom w:val="single" w:color="auto" w:sz="4" w:space="0"/>
              <w:right w:val="nil"/>
            </w:tcBorders>
          </w:tcPr>
          <w:p w:rsidRPr="005632FD" w:rsidR="00681493" w:rsidP="00681493" w:rsidRDefault="00681493" w14:paraId="209C0FB0" w14:textId="77777777">
            <w:pPr>
              <w:spacing w:before="60" w:after="60"/>
              <w:contextualSpacing/>
              <w:rPr>
                <w:rFonts w:eastAsia="Calibri"/>
                <w:lang w:eastAsia="en-GB"/>
              </w:rPr>
            </w:pPr>
            <w:r w:rsidRPr="005632FD">
              <w:rPr>
                <w:rFonts w:eastAsia="Calibri"/>
                <w:lang w:eastAsia="en-GB"/>
              </w:rPr>
              <w:lastRenderedPageBreak/>
              <w:t xml:space="preserve">Case and control </w:t>
            </w:r>
          </w:p>
        </w:tc>
        <w:tc>
          <w:tcPr>
            <w:tcW w:w="3233" w:type="dxa"/>
            <w:tcBorders>
              <w:top w:val="single" w:color="auto" w:sz="4" w:space="0"/>
              <w:left w:val="nil"/>
              <w:bottom w:val="single" w:color="auto" w:sz="4" w:space="0"/>
              <w:right w:val="nil"/>
            </w:tcBorders>
          </w:tcPr>
          <w:p w:rsidRPr="00455A75" w:rsidR="00681493" w:rsidP="00681493" w:rsidRDefault="00681493" w14:paraId="1E12A97B" w14:textId="77777777">
            <w:pPr>
              <w:spacing w:before="60" w:after="60"/>
              <w:contextualSpacing/>
              <w:rPr>
                <w:rFonts w:eastAsia="Calibri"/>
                <w:lang w:eastAsia="en-GB"/>
              </w:rPr>
            </w:pPr>
          </w:p>
        </w:tc>
        <w:tc>
          <w:tcPr>
            <w:tcW w:w="1623" w:type="dxa"/>
            <w:tcBorders>
              <w:top w:val="single" w:color="auto" w:sz="4" w:space="0"/>
              <w:left w:val="nil"/>
              <w:bottom w:val="single" w:color="auto" w:sz="4" w:space="0"/>
              <w:right w:val="nil"/>
            </w:tcBorders>
          </w:tcPr>
          <w:p w:rsidRPr="00455A75" w:rsidR="00681493" w:rsidP="00681493" w:rsidRDefault="00681493" w14:paraId="4CFCA5A8" w14:textId="77777777">
            <w:pPr>
              <w:spacing w:before="60" w:after="60"/>
              <w:contextualSpacing/>
              <w:rPr>
                <w:rFonts w:eastAsia="Calibri"/>
                <w:lang w:eastAsia="en-GB"/>
              </w:rPr>
            </w:pPr>
          </w:p>
        </w:tc>
        <w:tc>
          <w:tcPr>
            <w:tcW w:w="1134" w:type="dxa"/>
            <w:tcBorders>
              <w:top w:val="single" w:color="auto" w:sz="4" w:space="0"/>
              <w:left w:val="nil"/>
              <w:bottom w:val="single" w:color="auto" w:sz="4" w:space="0"/>
              <w:right w:val="nil"/>
            </w:tcBorders>
          </w:tcPr>
          <w:p w:rsidRPr="00455A75" w:rsidR="00681493" w:rsidP="00681493" w:rsidRDefault="00681493" w14:paraId="136BECEF" w14:textId="77777777">
            <w:pPr>
              <w:spacing w:before="60" w:after="60"/>
              <w:contextualSpacing/>
              <w:rPr>
                <w:rFonts w:eastAsia="Calibri"/>
                <w:lang w:eastAsia="en-GB"/>
              </w:rPr>
            </w:pPr>
          </w:p>
        </w:tc>
        <w:tc>
          <w:tcPr>
            <w:tcW w:w="1418" w:type="dxa"/>
            <w:tcBorders>
              <w:top w:val="single" w:color="auto" w:sz="4" w:space="0"/>
              <w:left w:val="nil"/>
              <w:bottom w:val="single" w:color="auto" w:sz="4" w:space="0"/>
              <w:right w:val="nil"/>
            </w:tcBorders>
          </w:tcPr>
          <w:p w:rsidRPr="00455A75" w:rsidR="00681493" w:rsidP="00681493" w:rsidRDefault="00681493" w14:paraId="2E6D4A91" w14:textId="77777777">
            <w:pPr>
              <w:spacing w:before="60" w:after="60"/>
              <w:contextualSpacing/>
            </w:pPr>
          </w:p>
        </w:tc>
        <w:tc>
          <w:tcPr>
            <w:tcW w:w="5069" w:type="dxa"/>
            <w:tcBorders>
              <w:top w:val="single" w:color="auto" w:sz="4" w:space="0"/>
              <w:left w:val="nil"/>
              <w:bottom w:val="single" w:color="auto" w:sz="4" w:space="0"/>
              <w:right w:val="nil"/>
            </w:tcBorders>
          </w:tcPr>
          <w:p w:rsidRPr="00455A75" w:rsidR="00681493" w:rsidP="00681493" w:rsidRDefault="00681493" w14:paraId="31D269EE" w14:textId="77777777">
            <w:pPr>
              <w:spacing w:before="60" w:after="60"/>
              <w:contextualSpacing/>
              <w:rPr>
                <w:rFonts w:eastAsia="Calibri"/>
                <w:lang w:eastAsia="en-GB"/>
              </w:rPr>
            </w:pPr>
          </w:p>
        </w:tc>
      </w:tr>
      <w:tr w:rsidRPr="00455A75" w:rsidR="00681493" w:rsidTr="00681493" w14:paraId="36584FE1" w14:textId="77777777">
        <w:trPr>
          <w:jc w:val="center"/>
        </w:trPr>
        <w:tc>
          <w:tcPr>
            <w:tcW w:w="1347" w:type="dxa"/>
            <w:gridSpan w:val="2"/>
            <w:tcBorders>
              <w:top w:val="single" w:color="auto" w:sz="4" w:space="0"/>
              <w:left w:val="nil"/>
              <w:bottom w:val="single" w:color="auto" w:sz="4" w:space="0"/>
              <w:right w:val="nil"/>
            </w:tcBorders>
          </w:tcPr>
          <w:p w:rsidRPr="00455A75" w:rsidR="00681493" w:rsidP="00681493" w:rsidRDefault="00681493" w14:paraId="77D990E1" w14:textId="77777777">
            <w:pPr>
              <w:spacing w:before="60" w:after="60"/>
              <w:contextualSpacing/>
            </w:pPr>
            <w:r>
              <w:rPr>
                <w:rFonts w:eastAsia="Calibri"/>
                <w:lang w:eastAsia="en-GB"/>
              </w:rPr>
              <w:t>Shukla et al., 2015</w:t>
            </w:r>
            <w:r w:rsidRPr="00455A75">
              <w:rPr>
                <w:rFonts w:eastAsia="Calibri"/>
                <w:lang w:eastAsia="en-GB"/>
              </w:rPr>
              <w:fldChar w:fldCharType="begin" w:fldLock="1"/>
            </w:r>
            <w:r>
              <w:rPr>
                <w:rFonts w:eastAsia="Calibri"/>
                <w:lang w:eastAsia="en-GB"/>
              </w:rPr>
              <w:instrText>ADDIN CSL_CITATION {"citationItems":[{"id":"ITEM-1","itemData":{"DOI":"10.1371/journal.pone.0145453","ISBN":"1932-6203","ISSN":"19326203","PMID":"26683192","abstract":"Myalgic encephalomyelitis/chronic fatigue syndrome (ME/CFS) is a disease characterized by intense and debilitating fatigue not due to physical activity that has persisted for at least 6 months, post-exertional malaise, unrefreshing sleep, and accompanied by a number of secondary symptoms, including sore throat, memory and concentration impairment, headache, and muscle/joint pain. In patients with post-exertional malaise, significant worsening of symptoms occurs following physical exertion and exercise challenge serves as a useful method for identifying biomarkers for exertion intolerance. Evidence suggests that intestinal dysbiosis and systemic responses to gut microorganisms may play a role in the symptomology of ME/CFS. As such, we hypothesized that post-exertion worsening of ME/CFS symptoms could be due to increased bacterial translocation from the intestine into the systemic circulation. To test this hypothesis, we collected symptom reports and blood and stool samples from ten clinically characterized ME/CFS patients and ten matched healthy controls before and 15 minutes, 48 hours, and 72 hours after a maximal exercise challenge. Microbiomes of blood and stool samples were examined. Stool sample microbiomes differed between ME/CFS patients and healthy controls in the abundance of several major bacterial phyla. Following maximal exercise challenge, there was an increase in relative abundance of 6 of the 9 major bacterial phyla/genera in ME/CFS patients from baseline to 72 hours post-exercise compared to only 2 of the 9 phyla/genera in controls (p = 0.005). There was also a significant difference in clearance of specific bacterial phyla from blood following exercise with high levels of bacterial sequences maintained at 72 hours post-exercise in ME/CFS patients versus clearance in the controls. These results provide evidence for a systemic effect of an altered gut microbiome in ME/CFS patients compared to controls. Upon exercise challenge, there were significant changes in the abundance of major bacterial phyla in the gut in ME/CFS patients not observed in healthy controls. In addition, compared to controls clearance of bacteria from the blood was delayed in ME/CFS patients following exercise. These findings suggest a role for an altered gut microbiome and increased bacterial translocation following exercise in ME/CFS patients that may account for the profound post-exertional malaise experienced by ME/CFS patients.","author":[{"dropping-particle":"","family":"Shukla","given":"Sanjay K.","non-dropping-particle":"","parse-names":false,"suffix":""},{"dropping-particle":"","family":"Cook","given":"Dane","non-dropping-particle":"","parse-names":false,"suffix":""},{"dropping-particle":"","family":"Meyer","given":"Jacob","non-dropping-particle":"","parse-names":false,"suffix":""},{"dropping-particle":"","family":"Vernon","given":"Suzanne D.","non-dropping-particle":"","parse-names":false,"suffix":""},{"dropping-particle":"","family":"Le","given":"Thao","non-dropping-particle":"","parse-names":false,"suffix":""},{"dropping-particle":"","family":"Clevidence","given":"Derek","non-dropping-particle":"","parse-names":false,"suffix":""},{"dropping-particle":"","family":"Robertson","given":"Charles E.","non-dropping-particle":"","parse-names":false,"suffix":""},{"dropping-particle":"","family":"Schrodi","given":"Steven J.","non-dropping-particle":"","parse-names":false,"suffix":""},{"dropping-particle":"","family":"Yale","given":"Steven","non-dropping-particle":"","parse-names":false,"suffix":""},{"dropping-particle":"","family":"Frank","given":"Daniel N.","non-dropping-particle":"","parse-names":false,"suffix":""}],"container-title":"PLoS ONE","id":"ITEM-1","issue":"12","issued":{"date-parts":[["2015"]]},"page":"1-15","title":"Changes in gut and plasma Microbiome following exercise challenge in Myalgic encephalomyelitis/chronic fatigue syndrome (ME/CFS)","type":"article-journal","volume":"10"},"uris":["http://www.mendeley.com/documents/?uuid=6a323ab0-a2d3-4d5f-9898-9c191fc198c5"]}],"mendeley":{"formattedCitation":"(37)","plainTextFormattedCitation":"(37)","previouslyFormattedCitation":"(37)"},"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(37)</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70980A30" w14:textId="77777777">
            <w:pPr>
              <w:spacing w:before="60" w:after="60"/>
              <w:contextualSpacing/>
              <w:rPr>
                <w:rFonts w:eastAsia="Calibri"/>
                <w:lang w:eastAsia="en-GB"/>
              </w:rPr>
            </w:pPr>
            <w:r w:rsidRPr="00455A75">
              <w:rPr>
                <w:rFonts w:eastAsia="Calibri"/>
                <w:lang w:eastAsia="en-GB"/>
              </w:rPr>
              <w:t>N=10 (46.5±13 years, 24.6±3.3kg/m</w:t>
            </w:r>
            <w:r w:rsidRPr="00455A75">
              <w:rPr>
                <w:rFonts w:eastAsia="Calibri"/>
                <w:vertAlign w:val="superscript"/>
                <w:lang w:eastAsia="en-GB"/>
              </w:rPr>
              <w:t xml:space="preserve">2 </w:t>
            </w:r>
            <w:r w:rsidRPr="00455A75">
              <w:rPr>
                <w:rFonts w:eastAsia="Calibri"/>
                <w:lang w:eastAsia="en-GB"/>
              </w:rPr>
              <w:t>and 28.2±9.6 VO</w:t>
            </w:r>
            <w:r w:rsidRPr="00455A75">
              <w:rPr>
                <w:rFonts w:eastAsia="Calibri"/>
                <w:vertAlign w:val="subscript"/>
                <w:lang w:eastAsia="en-GB"/>
              </w:rPr>
              <w:t>2max</w:t>
            </w:r>
            <w:r w:rsidRPr="00455A75">
              <w:rPr>
                <w:rFonts w:eastAsia="Calibri"/>
                <w:lang w:eastAsia="en-GB"/>
              </w:rPr>
              <w:t>)</w:t>
            </w:r>
          </w:p>
        </w:tc>
        <w:tc>
          <w:tcPr>
            <w:tcW w:w="3233" w:type="dxa"/>
            <w:tcBorders>
              <w:top w:val="single" w:color="auto" w:sz="4" w:space="0"/>
              <w:left w:val="nil"/>
              <w:bottom w:val="single" w:color="auto" w:sz="4" w:space="0"/>
              <w:right w:val="nil"/>
            </w:tcBorders>
          </w:tcPr>
          <w:p w:rsidRPr="00455A75" w:rsidR="00681493" w:rsidP="00681493" w:rsidRDefault="00681493" w14:paraId="13CBB66C" w14:textId="77777777">
            <w:pPr>
              <w:spacing w:before="60" w:after="60"/>
              <w:contextualSpacing/>
              <w:rPr>
                <w:rFonts w:eastAsia="Calibri"/>
                <w:lang w:eastAsia="en-GB"/>
              </w:rPr>
            </w:pPr>
            <w:r w:rsidRPr="00455A75">
              <w:rPr>
                <w:rFonts w:eastAsia="Calibri"/>
                <w:lang w:eastAsia="en-GB"/>
              </w:rPr>
              <w:t>Assessment of cardiorespiratory fitness (VO</w:t>
            </w:r>
            <w:r w:rsidRPr="00455A75">
              <w:rPr>
                <w:rFonts w:eastAsia="Calibri"/>
                <w:vertAlign w:val="subscript"/>
                <w:lang w:eastAsia="en-GB"/>
              </w:rPr>
              <w:t>2max</w:t>
            </w:r>
            <w:r w:rsidRPr="00455A75">
              <w:rPr>
                <w:rFonts w:eastAsia="Calibri"/>
                <w:lang w:eastAsia="en-GB"/>
              </w:rPr>
              <w:t xml:space="preserve">) by cycle test: </w:t>
            </w:r>
          </w:p>
          <w:p w:rsidRPr="004336B1" w:rsidR="00681493" w:rsidP="00681493" w:rsidRDefault="00681493" w14:paraId="0921FEC4" w14:textId="77777777">
            <w:pPr>
              <w:pStyle w:val="Prrafodelista"/>
              <w:numPr>
                <w:ilvl w:val="0"/>
                <w:numId w:val="27"/>
              </w:numPr>
              <w:spacing w:before="60" w:after="60" w:line="240" w:lineRule="auto"/>
              <w:rPr>
                <w:rFonts w:ascii="Times New Roman" w:hAnsi="Times New Roman" w:eastAsia="Calibri" w:cs="Times New Roman"/>
                <w:lang w:eastAsia="en-GB"/>
              </w:rPr>
            </w:pPr>
            <w:r w:rsidRPr="004336B1">
              <w:rPr>
                <w:rFonts w:ascii="Times New Roman" w:hAnsi="Times New Roman" w:eastAsia="Calibri" w:cs="Times New Roman"/>
                <w:lang w:eastAsia="en-GB"/>
              </w:rPr>
              <w:t>Speed</w:t>
            </w:r>
            <w:r w:rsidRPr="00BD1AED">
              <w:rPr>
                <w:rFonts w:ascii="Times New Roman" w:hAnsi="Times New Roman" w:eastAsia="Calibri" w:cs="Times New Roman"/>
                <w:lang w:eastAsia="en-GB"/>
              </w:rPr>
              <w:t>: 60-70 rpm. Power increased 5 W each 20 s.</w:t>
            </w:r>
            <w:r w:rsidRPr="004336B1">
              <w:rPr>
                <w:rFonts w:ascii="Times New Roman" w:hAnsi="Times New Roman" w:eastAsia="Calibri" w:cs="Times New Roman"/>
                <w:lang w:eastAsia="en-GB"/>
              </w:rPr>
              <w:t xml:space="preserve"> </w:t>
            </w:r>
          </w:p>
          <w:p w:rsidRPr="00455A75" w:rsidR="00681493" w:rsidP="00681493" w:rsidRDefault="00681493" w14:paraId="78375B26" w14:textId="77777777">
            <w:pPr>
              <w:pStyle w:val="Prrafodelista"/>
              <w:numPr>
                <w:ilvl w:val="0"/>
                <w:numId w:val="27"/>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End:  participant reached self-declared exhaustion</w:t>
            </w:r>
          </w:p>
          <w:p w:rsidRPr="00455A75" w:rsidR="00681493" w:rsidP="00681493" w:rsidRDefault="00681493" w14:paraId="7EB0B89D" w14:textId="77777777">
            <w:pPr>
              <w:pStyle w:val="Prrafodelista"/>
              <w:numPr>
                <w:ilvl w:val="0"/>
                <w:numId w:val="27"/>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Min: 13.1±3.4</w:t>
            </w:r>
          </w:p>
          <w:p w:rsidRPr="00455A75" w:rsidR="00681493" w:rsidP="00681493" w:rsidRDefault="00681493" w14:paraId="5CA749F5" w14:textId="77777777">
            <w:pPr>
              <w:spacing w:before="60" w:after="60"/>
              <w:contextualSpacing/>
              <w:rPr>
                <w:rFonts w:eastAsia="Calibri"/>
                <w:lang w:eastAsia="en-GB"/>
              </w:rPr>
            </w:pPr>
          </w:p>
        </w:tc>
        <w:tc>
          <w:tcPr>
            <w:tcW w:w="1623" w:type="dxa"/>
            <w:tcBorders>
              <w:top w:val="single" w:color="auto" w:sz="4" w:space="0"/>
              <w:left w:val="nil"/>
              <w:bottom w:val="single" w:color="auto" w:sz="4" w:space="0"/>
              <w:right w:val="nil"/>
            </w:tcBorders>
          </w:tcPr>
          <w:p w:rsidRPr="00455A75" w:rsidR="00681493" w:rsidP="00681493" w:rsidRDefault="00681493" w14:paraId="18CD1DA3" w14:textId="77777777">
            <w:pPr>
              <w:spacing w:before="60" w:after="60"/>
              <w:contextualSpacing/>
            </w:pPr>
            <w:r w:rsidRPr="00455A75">
              <w:t xml:space="preserve">Standardized diet: No </w:t>
            </w:r>
          </w:p>
          <w:p w:rsidRPr="00455A75" w:rsidR="00681493" w:rsidP="00681493" w:rsidRDefault="00681493" w14:paraId="0FF6C3B2" w14:textId="77777777">
            <w:pPr>
              <w:spacing w:before="60" w:after="60"/>
              <w:contextualSpacing/>
            </w:pPr>
          </w:p>
          <w:p w:rsidRPr="00455A75" w:rsidR="00681493" w:rsidP="00681493" w:rsidRDefault="00681493" w14:paraId="08BE301A" w14:textId="77777777">
            <w:pPr>
              <w:spacing w:before="60" w:after="60"/>
              <w:contextualSpacing/>
            </w:pPr>
            <w:r w:rsidRPr="00455A75">
              <w:t>Adjusted for diet: No</w:t>
            </w:r>
          </w:p>
          <w:p w:rsidRPr="00455A75" w:rsidR="00681493" w:rsidP="00681493" w:rsidRDefault="00681493" w14:paraId="0347FDE9" w14:textId="77777777">
            <w:pPr>
              <w:spacing w:before="60" w:after="60"/>
              <w:contextualSpacing/>
              <w:rPr>
                <w:rFonts w:eastAsia="Calibri"/>
                <w:lang w:eastAsia="en-GB"/>
              </w:rPr>
            </w:pPr>
          </w:p>
        </w:tc>
        <w:tc>
          <w:tcPr>
            <w:tcW w:w="1134" w:type="dxa"/>
            <w:tcBorders>
              <w:top w:val="single" w:color="auto" w:sz="4" w:space="0"/>
              <w:left w:val="nil"/>
              <w:bottom w:val="single" w:color="auto" w:sz="4" w:space="0"/>
              <w:right w:val="nil"/>
            </w:tcBorders>
          </w:tcPr>
          <w:p w:rsidRPr="00455A75" w:rsidR="00681493" w:rsidP="00681493" w:rsidRDefault="00681493" w14:paraId="7BE48A6A" w14:textId="77777777">
            <w:pPr>
              <w:spacing w:before="60" w:after="60"/>
              <w:contextualSpacing/>
            </w:pPr>
            <w:r w:rsidRPr="00455A75">
              <w:rPr>
                <w:rFonts w:eastAsia="Calibri"/>
                <w:lang w:eastAsia="en-GB"/>
              </w:rPr>
              <w:t>3 samples (baseline, and 48 and 72h post-exercise)</w:t>
            </w:r>
          </w:p>
        </w:tc>
        <w:tc>
          <w:tcPr>
            <w:tcW w:w="1418" w:type="dxa"/>
            <w:tcBorders>
              <w:top w:val="single" w:color="auto" w:sz="4" w:space="0"/>
              <w:left w:val="nil"/>
              <w:bottom w:val="single" w:color="auto" w:sz="4" w:space="0"/>
              <w:right w:val="nil"/>
            </w:tcBorders>
          </w:tcPr>
          <w:p w:rsidRPr="00455A75" w:rsidR="00681493" w:rsidP="00681493" w:rsidRDefault="00681493" w14:paraId="099EFC40" w14:textId="77777777">
            <w:pPr>
              <w:spacing w:before="60" w:after="60"/>
              <w:contextualSpacing/>
              <w:rPr>
                <w:rFonts w:eastAsia="Calibri"/>
                <w:lang w:eastAsia="en-GB"/>
              </w:rPr>
            </w:pPr>
            <w:r w:rsidRPr="00455A75">
              <w:rPr>
                <w:rFonts w:eastAsia="Calibri"/>
                <w:lang w:eastAsia="en-GB"/>
              </w:rPr>
              <w:t xml:space="preserve">qPCR: Roche </w:t>
            </w:r>
          </w:p>
          <w:p w:rsidRPr="00455A75" w:rsidR="00681493" w:rsidP="00681493" w:rsidRDefault="00681493" w14:paraId="333FD17B" w14:textId="77777777">
            <w:pPr>
              <w:spacing w:before="60" w:after="60"/>
              <w:contextualSpacing/>
              <w:rPr>
                <w:rFonts w:eastAsia="Calibri"/>
                <w:lang w:eastAsia="en-GB"/>
              </w:rPr>
            </w:pPr>
            <w:r w:rsidRPr="00455A75">
              <w:rPr>
                <w:rFonts w:eastAsia="Calibri"/>
                <w:lang w:eastAsia="en-GB"/>
              </w:rPr>
              <w:t xml:space="preserve">Software: </w:t>
            </w:r>
            <w:proofErr w:type="spellStart"/>
            <w:r w:rsidRPr="00455A75">
              <w:rPr>
                <w:rFonts w:eastAsia="Calibri"/>
                <w:lang w:eastAsia="en-GB"/>
              </w:rPr>
              <w:t>Explicet</w:t>
            </w:r>
            <w:proofErr w:type="spellEnd"/>
            <w:r w:rsidRPr="00455A75">
              <w:rPr>
                <w:rFonts w:eastAsia="Calibri"/>
                <w:lang w:eastAsia="en-GB"/>
              </w:rPr>
              <w:t xml:space="preserve"> </w:t>
            </w:r>
          </w:p>
          <w:p w:rsidRPr="00455A75" w:rsidR="00681493" w:rsidP="00681493" w:rsidRDefault="00681493" w14:paraId="3254384C" w14:textId="77777777">
            <w:pPr>
              <w:spacing w:before="60" w:after="60"/>
              <w:contextualSpacing/>
              <w:rPr>
                <w:rFonts w:eastAsia="Calibri"/>
                <w:lang w:eastAsia="en-GB"/>
              </w:rPr>
            </w:pPr>
            <w:r w:rsidRPr="00455A75">
              <w:rPr>
                <w:rFonts w:eastAsia="Calibri"/>
                <w:lang w:eastAsia="en-GB"/>
              </w:rPr>
              <w:t>Reference DB: RDP</w:t>
            </w:r>
          </w:p>
          <w:p w:rsidRPr="00455A75" w:rsidR="00681493" w:rsidP="00681493" w:rsidRDefault="00681493" w14:paraId="64008291" w14:textId="77777777">
            <w:pPr>
              <w:spacing w:before="60" w:after="60"/>
              <w:contextualSpacing/>
            </w:pPr>
            <w:r w:rsidRPr="00455A75">
              <w:rPr>
                <w:rFonts w:eastAsia="Calibri"/>
                <w:lang w:eastAsia="en-GB"/>
              </w:rPr>
              <w:t xml:space="preserve">Outcome: OTU. </w:t>
            </w:r>
          </w:p>
        </w:tc>
        <w:tc>
          <w:tcPr>
            <w:tcW w:w="5069" w:type="dxa"/>
            <w:tcBorders>
              <w:top w:val="single" w:color="auto" w:sz="4" w:space="0"/>
              <w:left w:val="nil"/>
              <w:bottom w:val="single" w:color="auto" w:sz="4" w:space="0"/>
              <w:right w:val="nil"/>
            </w:tcBorders>
          </w:tcPr>
          <w:p w:rsidRPr="00455A75" w:rsidR="00681493" w:rsidP="00681493" w:rsidRDefault="00681493" w14:paraId="029DCF0B" w14:textId="77777777">
            <w:pPr>
              <w:spacing w:before="60" w:after="60"/>
              <w:contextualSpacing/>
              <w:rPr>
                <w:rFonts w:eastAsia="Calibri"/>
                <w:lang w:eastAsia="en-GB"/>
              </w:rPr>
            </w:pPr>
            <w:r w:rsidRPr="00455A75">
              <w:rPr>
                <w:rFonts w:eastAsia="Calibri"/>
                <w:lang w:eastAsia="en-GB"/>
              </w:rPr>
              <w:t xml:space="preserve">Statistical analysis: ANOVA, Fisher test </w:t>
            </w:r>
          </w:p>
          <w:p w:rsidRPr="00455A75" w:rsidR="00681493" w:rsidP="00681493" w:rsidRDefault="00681493" w14:paraId="7B1C8EB7" w14:textId="77777777">
            <w:pPr>
              <w:spacing w:before="60" w:after="60"/>
              <w:contextualSpacing/>
              <w:rPr>
                <w:rFonts w:eastAsia="Calibri"/>
                <w:lang w:eastAsia="en-GB"/>
              </w:rPr>
            </w:pPr>
            <w:r w:rsidRPr="00455A75">
              <w:rPr>
                <w:rFonts w:eastAsia="Calibri"/>
                <w:lang w:eastAsia="en-GB"/>
              </w:rPr>
              <w:t>72 h-post exercise vs baseline:</w:t>
            </w:r>
          </w:p>
          <w:p w:rsidRPr="00455A75" w:rsidR="00681493" w:rsidP="00681493" w:rsidRDefault="00681493" w14:paraId="119C0BC1" w14:textId="77777777">
            <w:pPr>
              <w:pStyle w:val="Prrafodelista"/>
              <w:numPr>
                <w:ilvl w:val="0"/>
                <w:numId w:val="28"/>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Phylum</w:t>
            </w:r>
          </w:p>
          <w:p w:rsidRPr="00455A75" w:rsidR="00681493" w:rsidP="00681493" w:rsidRDefault="00681493" w14:paraId="2A7BACAD" w14:textId="77777777">
            <w:pPr>
              <w:pStyle w:val="Prrafodelista"/>
              <w:numPr>
                <w:ilvl w:val="1"/>
                <w:numId w:val="28"/>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 xml:space="preserve">↑ </w:t>
            </w:r>
            <w:proofErr w:type="spellStart"/>
            <w:r w:rsidRPr="00455A75">
              <w:rPr>
                <w:rFonts w:ascii="Times New Roman" w:hAnsi="Times New Roman" w:eastAsia="Calibri" w:cs="Times New Roman"/>
                <w:i/>
                <w:lang w:eastAsia="en-GB"/>
              </w:rPr>
              <w:t>Bacteroidetes</w:t>
            </w:r>
            <w:proofErr w:type="spellEnd"/>
          </w:p>
          <w:p w:rsidRPr="00455A75" w:rsidR="00681493" w:rsidP="00681493" w:rsidRDefault="00681493" w14:paraId="659C4036" w14:textId="77777777">
            <w:pPr>
              <w:pStyle w:val="Prrafodelista"/>
              <w:numPr>
                <w:ilvl w:val="1"/>
                <w:numId w:val="26"/>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Others (NR)</w:t>
            </w:r>
          </w:p>
        </w:tc>
      </w:tr>
      <w:tr w:rsidRPr="00455A75" w:rsidR="00681493" w:rsidTr="00681493" w14:paraId="7C3D16F1" w14:textId="77777777">
        <w:trPr>
          <w:jc w:val="center"/>
        </w:trPr>
        <w:tc>
          <w:tcPr>
            <w:tcW w:w="1347" w:type="dxa"/>
            <w:gridSpan w:val="2"/>
            <w:tcBorders>
              <w:top w:val="single" w:color="auto" w:sz="4" w:space="0"/>
              <w:left w:val="nil"/>
              <w:bottom w:val="single" w:color="auto" w:sz="4" w:space="0"/>
              <w:right w:val="nil"/>
            </w:tcBorders>
          </w:tcPr>
          <w:p w:rsidRPr="00455A75" w:rsidR="00681493" w:rsidP="00681493" w:rsidRDefault="00681493" w14:paraId="74FD32AB" w14:textId="77777777">
            <w:pPr>
              <w:spacing w:before="60" w:after="60"/>
              <w:contextualSpacing/>
              <w:rPr>
                <w:rFonts w:eastAsia="Calibri"/>
                <w:lang w:eastAsia="en-GB"/>
              </w:rPr>
            </w:pPr>
            <w:proofErr w:type="spellStart"/>
            <w:r>
              <w:rPr>
                <w:rFonts w:eastAsia="Calibri"/>
                <w:lang w:eastAsia="en-GB"/>
              </w:rPr>
              <w:t>Scheiman</w:t>
            </w:r>
            <w:proofErr w:type="spellEnd"/>
            <w:r>
              <w:rPr>
                <w:rFonts w:eastAsia="Calibri"/>
                <w:lang w:eastAsia="en-GB"/>
              </w:rPr>
              <w:t xml:space="preserve"> et al., </w:t>
            </w:r>
            <w:r>
              <w:rPr>
                <w:rFonts w:eastAsia="Calibri"/>
                <w:lang w:eastAsia="en-GB"/>
              </w:rPr>
              <w:lastRenderedPageBreak/>
              <w:t>2019</w:t>
            </w:r>
            <w:r>
              <w:rPr>
                <w:rFonts w:eastAsia="Calibri"/>
                <w:lang w:eastAsia="en-GB"/>
              </w:rPr>
              <w:fldChar w:fldCharType="begin" w:fldLock="1"/>
            </w:r>
            <w:r>
              <w:rPr>
                <w:rFonts w:eastAsia="Calibri"/>
                <w:lang w:eastAsia="en-GB"/>
              </w:rPr>
              <w:instrText>ADDIN CSL_CITATION {"citationItems":[{"id":"ITEM-1","itemData":{"DOI":"10.1038/s41591-019-0485-4","ISSN":"1078-8956","abstract":"The human gut microbiome is linked to many states of human health and disease 1. The metabolic repertoire of the gut micro-biome is vast, but the health implications of these bacterial pathways are poorly understood. In this study, we identify a link between members of the genus Veillonella and exercise performance. We observed an increase in Veillonella relative abundance in marathon runners postmarathon and isolated a strain of Veillonella atypica from stool samples. Inoculation of this strain into mice significantly increased exhaustive tread-mill run time. Veillonella utilize lactate as their sole carbon source, which prompted us to perform a shotgun metage-nomic analysis in a cohort of elite athletes, finding that every gene in a major pathway metabolizing lactate to propionate is at higher relative abundance postexercise. Using 13 C 3-labeled lactate in mice, we demonstrate that serum lactate crosses the epithelial barrier into the lumen of the gut. We also show that intrarectal instillation of propionate is sufficient to reproduce the increased treadmill run time performance observed with V. atypica gavage. Taken together, these studies reveal that V. atypica improves run time via its metabolic conversion of exercise-induced lactate into propionate, thereby identifying a natural, microbiome-encoded enzymatic process that enhances athletic performance. Human microbiome studies have generally examined individuals who are 'healthy' or diseased and identified features of the microbiome associated with these states 2-4. Athlete microbi-omes have been found to contain distinct microbial compositions defined by elevated abundances of Veillonellaceae, Bacteroides, Prevotella, Methanobrevibacter or Akkermansia 5,6. These studies show that exercise is associated with changes in microbiome composition , although the effects of these microbial genera on phenotype remain unknown. To identify gut bacteria associated with athletic performance and recovery states, we recruited athletes (n = 15) who ran in the 2015 Boston Marathon, along with a set of sedentary controls (n = 10), and conducted 16S ribosomal DNA (rDNA) sequencing on approximately daily samples collected up to one week before and one week after marathon day (n = 209 samples; Supplementary Tables 1 and 2). Phylum-level relative abundance partitioned by individual, time (−5 to +5 d in relation to running the marathon), and whether the participant was an athlete (Fig. 1a) showed that, at this high-lev…","author":[{"dropping-particle":"","family":"Scheiman","given":"Jonathan","non-dropping-particle":"","parse-names":false,"suffix":""},{"dropping-particle":"","family":"Luber","given":"Jacob M","non-dropping-particle":"","parse-names":false,"suffix":""},{"dropping-particle":"","family":"Chavkin","given":"Theodore A","non-dropping-particle":"","parse-names":false,"suffix":""},{"dropping-particle":"","family":"MacDonald","given":"Tara","non-dropping-particle":"","parse-names":false,"suffix":""},{"dropping-particle":"","family":"Tung","given":"Angela","non-dropping-particle":"","parse-names":false,"suffix":""},{"dropping-particle":"","family":"Pham","given":"Loc-Duyen","non-dropping-particle":"","parse-names":false,"suffix":""},{"dropping-particle":"","family":"Wibowo","given":"Marsha C","non-dropping-particle":"","parse-names":false,"suffix":""},{"dropping-particle":"","family":"Wurth","given":"Renee C","non-dropping-particle":"","parse-names":false,"suffix":""},{"dropping-particle":"","family":"Punthambaker","given":"Sukanya","non-dropping-particle":"","parse-names":false,"suffix":""},{"dropping-particle":"","family":"Tierney","given":"Braden T","non-dropping-particle":"","parse-names":false,"suffix":""},{"dropping-particle":"","family":"Yang","given":"Zhen","non-dropping-particle":"","parse-names":false,"suffix":""},{"dropping-particle":"","family":"Hattab","given":"Mohammad W","non-dropping-particle":"","parse-names":false,"suffix":""},{"dropping-particle":"","family":"Avila-Pacheco","given":"Julian","non-dropping-particle":"","parse-names":false,"suffix":""},{"dropping-particle":"","family":"Clish","given":"Clary B","non-dropping-particle":"","parse-names":false,"suffix":""},{"dropping-particle":"","family":"Lessard","given":"Sarah","non-dropping-particle":"","parse-names":false,"suffix":""},{"dropping-particle":"","family":"Church","given":"George M","non-dropping-particle":"","parse-names":false,"suffix":""},{"dropping-particle":"","family":"Kostic","given":"Aleksandar D","non-dropping-particle":"","parse-names":false,"suffix":""}],"container-title":"Nature Medicine","id":"ITEM-1","issued":{"date-parts":[["2019","6","24"]]},"title":"Meta-omics analysis of elite athletes identifies a performance-enhancing microbe that functions via lactate metabolism","type":"article-journal"},"uris":["http://www.mendeley.com/documents/?uuid=89198671-df3b-4b42-b9e4-371f20b67c9b"]}],"mendeley":{"formattedCitation":"(32)","plainTextFormattedCitation":"(32)","previouslyFormattedCitation":"(32)"},"properties":{"noteIndex":0},"schema":"https://github.com/citation-style-language/schema/raw/master/csl-citation.json"}</w:instrText>
            </w:r>
            <w:r>
              <w:rPr>
                <w:rFonts w:eastAsia="Calibri"/>
                <w:lang w:eastAsia="en-GB"/>
              </w:rPr>
              <w:fldChar w:fldCharType="separate"/>
            </w:r>
            <w:r w:rsidRPr="003651E8">
              <w:rPr>
                <w:rFonts w:eastAsia="Calibri"/>
                <w:noProof/>
                <w:lang w:eastAsia="en-GB"/>
              </w:rPr>
              <w:t>(32)</w:t>
            </w:r>
            <w:r>
              <w:rPr>
                <w:rFonts w:eastAsia="Calibri"/>
                <w:lang w:eastAsia="en-GB"/>
              </w:rPr>
              <w:fldChar w:fldCharType="end"/>
            </w:r>
          </w:p>
        </w:tc>
        <w:tc>
          <w:tcPr>
            <w:tcW w:w="2157" w:type="dxa"/>
            <w:tcBorders>
              <w:top w:val="single" w:color="auto" w:sz="4" w:space="0"/>
              <w:left w:val="nil"/>
              <w:bottom w:val="single" w:color="auto" w:sz="4" w:space="0"/>
              <w:right w:val="nil"/>
            </w:tcBorders>
          </w:tcPr>
          <w:p w:rsidR="00681493" w:rsidP="00681493" w:rsidRDefault="00681493" w14:paraId="308DB259" w14:textId="77777777">
            <w:pPr>
              <w:rPr>
                <w:rFonts w:eastAsia="Calibri"/>
                <w:lang w:eastAsia="en-GB"/>
              </w:rPr>
            </w:pPr>
            <w:r>
              <w:rPr>
                <w:rFonts w:eastAsia="Calibri"/>
                <w:lang w:eastAsia="en-GB"/>
              </w:rPr>
              <w:lastRenderedPageBreak/>
              <w:t xml:space="preserve">Cohort 1, N= 25: </w:t>
            </w:r>
          </w:p>
          <w:p w:rsidR="00681493" w:rsidP="00681493" w:rsidRDefault="00681493" w14:paraId="46FFCD49" w14:textId="77777777">
            <w:pPr>
              <w:pStyle w:val="Prrafodelista"/>
              <w:numPr>
                <w:ilvl w:val="0"/>
                <w:numId w:val="32"/>
              </w:numPr>
              <w:spacing w:after="200" w:line="276" w:lineRule="auto"/>
              <w:rPr>
                <w:rFonts w:ascii="Times New Roman" w:hAnsi="Times New Roman" w:eastAsia="Calibri" w:cs="Times New Roman"/>
                <w:lang w:eastAsia="en-GB"/>
              </w:rPr>
            </w:pPr>
            <w:r>
              <w:rPr>
                <w:rFonts w:ascii="Times New Roman" w:hAnsi="Times New Roman" w:eastAsia="Calibri" w:cs="Times New Roman"/>
                <w:lang w:eastAsia="en-GB"/>
              </w:rPr>
              <w:t xml:space="preserve">Marathoners: </w:t>
            </w:r>
            <w:r>
              <w:rPr>
                <w:rFonts w:ascii="Times New Roman" w:hAnsi="Times New Roman" w:eastAsia="Calibri" w:cs="Times New Roman"/>
                <w:lang w:eastAsia="en-GB"/>
              </w:rPr>
              <w:lastRenderedPageBreak/>
              <w:t>N=15 (11females; 27.1 years; 22.4 kg/m</w:t>
            </w:r>
            <w:r>
              <w:rPr>
                <w:rFonts w:ascii="Times New Roman" w:hAnsi="Times New Roman" w:eastAsia="Calibri" w:cs="Times New Roman"/>
                <w:vertAlign w:val="superscript"/>
                <w:lang w:eastAsia="en-GB"/>
              </w:rPr>
              <w:t>2</w:t>
            </w:r>
            <w:r>
              <w:rPr>
                <w:rFonts w:ascii="Times New Roman" w:hAnsi="Times New Roman" w:eastAsia="Calibri" w:cs="Times New Roman"/>
                <w:lang w:eastAsia="en-GB"/>
              </w:rPr>
              <w:t>)</w:t>
            </w:r>
          </w:p>
          <w:p w:rsidRPr="000D1772" w:rsidR="00681493" w:rsidP="00681493" w:rsidRDefault="00681493" w14:paraId="5E7331E6" w14:textId="77777777">
            <w:pPr>
              <w:pStyle w:val="Prrafodelista"/>
              <w:numPr>
                <w:ilvl w:val="0"/>
                <w:numId w:val="32"/>
              </w:numPr>
              <w:spacing w:after="200" w:line="276" w:lineRule="auto"/>
              <w:rPr>
                <w:rFonts w:ascii="Times New Roman" w:hAnsi="Times New Roman" w:eastAsia="Calibri" w:cs="Times New Roman"/>
                <w:lang w:eastAsia="en-GB"/>
              </w:rPr>
            </w:pPr>
            <w:r>
              <w:rPr>
                <w:rFonts w:ascii="Times New Roman" w:hAnsi="Times New Roman" w:eastAsia="Calibri" w:cs="Times New Roman"/>
                <w:lang w:eastAsia="en-GB"/>
              </w:rPr>
              <w:t>Controls: N=11(6 females; 29.2 years, 22.9 kg/m</w:t>
            </w:r>
            <w:r>
              <w:rPr>
                <w:rFonts w:ascii="Times New Roman" w:hAnsi="Times New Roman" w:eastAsia="Calibri" w:cs="Times New Roman"/>
                <w:vertAlign w:val="superscript"/>
                <w:lang w:eastAsia="en-GB"/>
              </w:rPr>
              <w:t>2</w:t>
            </w:r>
            <w:r>
              <w:rPr>
                <w:rFonts w:ascii="Times New Roman" w:hAnsi="Times New Roman" w:eastAsia="Calibri" w:cs="Times New Roman"/>
                <w:lang w:eastAsia="en-GB"/>
              </w:rPr>
              <w:t xml:space="preserve">) </w:t>
            </w:r>
          </w:p>
          <w:p w:rsidRPr="00455A75" w:rsidR="00681493" w:rsidP="00681493" w:rsidRDefault="00681493" w14:paraId="044E303B" w14:textId="77777777">
            <w:pPr>
              <w:spacing w:before="60" w:after="60"/>
              <w:contextualSpacing/>
              <w:rPr>
                <w:rFonts w:eastAsia="Calibri"/>
                <w:lang w:eastAsia="en-GB"/>
              </w:rPr>
            </w:pPr>
            <w:r>
              <w:rPr>
                <w:rFonts w:eastAsia="Calibri"/>
                <w:lang w:eastAsia="en-GB"/>
              </w:rPr>
              <w:t xml:space="preserve">Cohort 2, N= 11 </w:t>
            </w:r>
            <w:proofErr w:type="spellStart"/>
            <w:r w:rsidRPr="000D1772">
              <w:rPr>
                <w:rFonts w:eastAsia="Calibri"/>
                <w:lang w:eastAsia="en-GB"/>
              </w:rPr>
              <w:t>Ultramarathoners</w:t>
            </w:r>
            <w:proofErr w:type="spellEnd"/>
            <w:r w:rsidRPr="000D1772">
              <w:rPr>
                <w:rFonts w:eastAsia="Calibri"/>
                <w:lang w:eastAsia="en-GB"/>
              </w:rPr>
              <w:t xml:space="preserve"> and </w:t>
            </w:r>
            <w:r>
              <w:rPr>
                <w:rFonts w:eastAsia="Calibri"/>
                <w:lang w:eastAsia="en-GB"/>
              </w:rPr>
              <w:t xml:space="preserve">Olympic </w:t>
            </w:r>
            <w:r w:rsidRPr="000D1772">
              <w:rPr>
                <w:rFonts w:eastAsia="Calibri"/>
                <w:lang w:eastAsia="en-GB"/>
              </w:rPr>
              <w:t xml:space="preserve">rowers </w:t>
            </w:r>
            <w:r>
              <w:rPr>
                <w:rFonts w:eastAsia="Calibri"/>
                <w:lang w:eastAsia="en-GB"/>
              </w:rPr>
              <w:t>(6 females).</w:t>
            </w:r>
          </w:p>
        </w:tc>
        <w:tc>
          <w:tcPr>
            <w:tcW w:w="3233" w:type="dxa"/>
            <w:tcBorders>
              <w:top w:val="single" w:color="auto" w:sz="4" w:space="0"/>
              <w:left w:val="nil"/>
              <w:bottom w:val="single" w:color="auto" w:sz="4" w:space="0"/>
              <w:right w:val="nil"/>
            </w:tcBorders>
          </w:tcPr>
          <w:p w:rsidRPr="002E35EA" w:rsidR="00681493" w:rsidP="00681493" w:rsidRDefault="00681493" w14:paraId="469CFB95" w14:textId="77777777">
            <w:pPr>
              <w:spacing w:before="120" w:after="120"/>
            </w:pPr>
            <w:r>
              <w:lastRenderedPageBreak/>
              <w:t>Cohort 1: 42.2</w:t>
            </w:r>
            <w:r w:rsidRPr="00A4411B">
              <w:t xml:space="preserve"> km</w:t>
            </w:r>
            <w:r>
              <w:t xml:space="preserve"> </w:t>
            </w:r>
            <w:r w:rsidRPr="002E35EA">
              <w:t xml:space="preserve">Boston </w:t>
            </w:r>
            <w:r w:rsidRPr="002E35EA">
              <w:lastRenderedPageBreak/>
              <w:t>Marathon</w:t>
            </w:r>
            <w:r>
              <w:t xml:space="preserve"> (Not for control participants)</w:t>
            </w:r>
          </w:p>
          <w:p w:rsidRPr="00455A75" w:rsidR="00681493" w:rsidP="00681493" w:rsidRDefault="00681493" w14:paraId="0F6C6D28" w14:textId="77777777">
            <w:pPr>
              <w:spacing w:before="60" w:after="60"/>
              <w:contextualSpacing/>
              <w:rPr>
                <w:rFonts w:eastAsia="Calibri"/>
                <w:lang w:eastAsia="en-GB"/>
              </w:rPr>
            </w:pPr>
            <w:r>
              <w:t xml:space="preserve">Cohort 2: Not specify type of exercise  </w:t>
            </w:r>
          </w:p>
        </w:tc>
        <w:tc>
          <w:tcPr>
            <w:tcW w:w="1623" w:type="dxa"/>
            <w:tcBorders>
              <w:top w:val="single" w:color="auto" w:sz="4" w:space="0"/>
              <w:left w:val="nil"/>
              <w:bottom w:val="single" w:color="auto" w:sz="4" w:space="0"/>
              <w:right w:val="nil"/>
            </w:tcBorders>
          </w:tcPr>
          <w:p w:rsidR="00681493" w:rsidP="00681493" w:rsidRDefault="00681493" w14:paraId="4DA44BD5" w14:textId="77777777">
            <w:r>
              <w:lastRenderedPageBreak/>
              <w:t>Standardized d</w:t>
            </w:r>
            <w:r w:rsidRPr="00CC44DD">
              <w:t>iet: No</w:t>
            </w:r>
            <w:r>
              <w:t xml:space="preserve"> </w:t>
            </w:r>
          </w:p>
          <w:p w:rsidR="00681493" w:rsidP="00681493" w:rsidRDefault="00681493" w14:paraId="32FDFBFA" w14:textId="77777777"/>
          <w:p w:rsidR="00681493" w:rsidP="00681493" w:rsidRDefault="00681493" w14:paraId="54B8783E" w14:textId="77777777">
            <w:r>
              <w:t>Adjusting by diet: Yes (food frequency questionnaire)</w:t>
            </w:r>
          </w:p>
          <w:p w:rsidRPr="00455A75" w:rsidR="00681493" w:rsidP="00681493" w:rsidRDefault="00681493" w14:paraId="43E9B4DF" w14:textId="77777777">
            <w:pPr>
              <w:spacing w:before="60" w:after="60"/>
              <w:contextualSpacing/>
            </w:pPr>
          </w:p>
        </w:tc>
        <w:tc>
          <w:tcPr>
            <w:tcW w:w="1134" w:type="dxa"/>
            <w:tcBorders>
              <w:top w:val="single" w:color="auto" w:sz="4" w:space="0"/>
              <w:left w:val="nil"/>
              <w:bottom w:val="single" w:color="auto" w:sz="4" w:space="0"/>
              <w:right w:val="nil"/>
            </w:tcBorders>
          </w:tcPr>
          <w:p w:rsidR="00681493" w:rsidP="00681493" w:rsidRDefault="00681493" w14:paraId="77CC9A63" w14:textId="77777777">
            <w:pPr>
              <w:rPr>
                <w:lang w:val="en-GB"/>
              </w:rPr>
            </w:pPr>
            <w:r>
              <w:rPr>
                <w:lang w:val="en-GB"/>
              </w:rPr>
              <w:lastRenderedPageBreak/>
              <w:t xml:space="preserve">Cohort 1: 5 </w:t>
            </w:r>
            <w:r>
              <w:rPr>
                <w:lang w:val="en-GB"/>
              </w:rPr>
              <w:lastRenderedPageBreak/>
              <w:t>samples collected in the previous 5 days of the marathon, and other 5 samples after the race. Total of 209 samples.</w:t>
            </w:r>
          </w:p>
          <w:p w:rsidRPr="00455A75" w:rsidR="00681493" w:rsidP="00681493" w:rsidRDefault="00681493" w14:paraId="7F4BBDD3" w14:textId="77777777">
            <w:pPr>
              <w:spacing w:before="60" w:after="60"/>
              <w:contextualSpacing/>
              <w:rPr>
                <w:rFonts w:eastAsia="Calibri"/>
                <w:lang w:eastAsia="en-GB"/>
              </w:rPr>
            </w:pPr>
            <w:r>
              <w:rPr>
                <w:lang w:val="en-GB"/>
              </w:rPr>
              <w:t xml:space="preserve">Cohort 2: 87 samples baseline and post-exercise </w:t>
            </w:r>
          </w:p>
        </w:tc>
        <w:tc>
          <w:tcPr>
            <w:tcW w:w="1418" w:type="dxa"/>
            <w:tcBorders>
              <w:top w:val="single" w:color="auto" w:sz="4" w:space="0"/>
              <w:left w:val="nil"/>
              <w:bottom w:val="single" w:color="auto" w:sz="4" w:space="0"/>
              <w:right w:val="nil"/>
            </w:tcBorders>
          </w:tcPr>
          <w:p w:rsidRPr="00123C4D" w:rsidR="00681493" w:rsidP="00681493" w:rsidRDefault="00681493" w14:paraId="17BE3D38" w14:textId="77777777">
            <w:r w:rsidRPr="00123C4D">
              <w:rPr>
                <w:lang w:val="en-GB"/>
              </w:rPr>
              <w:lastRenderedPageBreak/>
              <w:t xml:space="preserve">qPCR: </w:t>
            </w:r>
            <w:proofErr w:type="spellStart"/>
            <w:r w:rsidRPr="003075DF">
              <w:rPr>
                <w:lang w:val="en-GB"/>
              </w:rPr>
              <w:t>MiSeq</w:t>
            </w:r>
            <w:proofErr w:type="spellEnd"/>
            <w:r w:rsidRPr="003075DF">
              <w:rPr>
                <w:lang w:val="en-GB"/>
              </w:rPr>
              <w:t xml:space="preserve"> or </w:t>
            </w:r>
            <w:proofErr w:type="spellStart"/>
            <w:r w:rsidRPr="003075DF">
              <w:rPr>
                <w:lang w:val="en-GB"/>
              </w:rPr>
              <w:lastRenderedPageBreak/>
              <w:t>HiSeq</w:t>
            </w:r>
            <w:proofErr w:type="spellEnd"/>
            <w:r w:rsidRPr="003075DF">
              <w:rPr>
                <w:lang w:val="en-GB"/>
              </w:rPr>
              <w:t xml:space="preserve"> 2500 system</w:t>
            </w:r>
          </w:p>
          <w:p w:rsidRPr="00123C4D" w:rsidR="00681493" w:rsidP="00681493" w:rsidRDefault="00681493" w14:paraId="783F40AB" w14:textId="77777777">
            <w:r w:rsidRPr="00123C4D">
              <w:rPr>
                <w:lang w:val="en-GB"/>
              </w:rPr>
              <w:t xml:space="preserve">Software: </w:t>
            </w:r>
            <w:proofErr w:type="spellStart"/>
            <w:r w:rsidRPr="00762E48">
              <w:t>Metagenomic</w:t>
            </w:r>
            <w:proofErr w:type="spellEnd"/>
            <w:r w:rsidRPr="00762E48">
              <w:t xml:space="preserve"> Phylogenetic Analysis</w:t>
            </w:r>
            <w:r>
              <w:t xml:space="preserve"> </w:t>
            </w:r>
          </w:p>
          <w:p w:rsidRPr="00123C4D" w:rsidR="00681493" w:rsidP="00681493" w:rsidRDefault="00681493" w14:paraId="2DA0CA39" w14:textId="77777777">
            <w:pPr>
              <w:rPr>
                <w:lang w:val="en-GB"/>
              </w:rPr>
            </w:pPr>
            <w:r w:rsidRPr="00123C4D">
              <w:rPr>
                <w:lang w:val="en-GB"/>
              </w:rPr>
              <w:t xml:space="preserve">Reference DB: </w:t>
            </w:r>
          </w:p>
          <w:p w:rsidRPr="00123C4D" w:rsidR="00681493" w:rsidP="00681493" w:rsidRDefault="00681493" w14:paraId="0C7AA7FB" w14:textId="77777777">
            <w:r>
              <w:rPr>
                <w:lang w:val="en-GB"/>
              </w:rPr>
              <w:t>Outcome: Relative abundance</w:t>
            </w:r>
          </w:p>
          <w:p w:rsidRPr="00455A75" w:rsidR="00681493" w:rsidP="00681493" w:rsidRDefault="00681493" w14:paraId="588AEF4C" w14:textId="77777777">
            <w:pPr>
              <w:spacing w:before="60" w:after="60"/>
              <w:contextualSpacing/>
              <w:rPr>
                <w:rFonts w:eastAsia="Calibri"/>
                <w:lang w:eastAsia="en-GB"/>
              </w:rPr>
            </w:pPr>
          </w:p>
        </w:tc>
        <w:tc>
          <w:tcPr>
            <w:tcW w:w="5069" w:type="dxa"/>
            <w:tcBorders>
              <w:top w:val="single" w:color="auto" w:sz="4" w:space="0"/>
              <w:left w:val="nil"/>
              <w:bottom w:val="single" w:color="auto" w:sz="4" w:space="0"/>
              <w:right w:val="nil"/>
            </w:tcBorders>
          </w:tcPr>
          <w:p w:rsidRPr="004C4B56" w:rsidR="00681493" w:rsidP="00681493" w:rsidRDefault="00681493" w14:paraId="650B0967" w14:textId="77777777">
            <w:pPr>
              <w:spacing w:before="120" w:after="120"/>
              <w:contextualSpacing/>
              <w:rPr>
                <w:rFonts w:eastAsia="Calibri"/>
                <w:lang w:eastAsia="en-GB"/>
              </w:rPr>
            </w:pPr>
            <w:r>
              <w:rPr>
                <w:rFonts w:eastAsia="Calibri"/>
                <w:lang w:eastAsia="en-GB"/>
              </w:rPr>
              <w:lastRenderedPageBreak/>
              <w:t>Statistical analysis:</w:t>
            </w:r>
            <w:r w:rsidRPr="004C4B56">
              <w:rPr>
                <w:rFonts w:eastAsia="Calibri"/>
                <w:lang w:eastAsia="en-GB"/>
              </w:rPr>
              <w:t xml:space="preserve"> Wilcoxon rank-sum</w:t>
            </w:r>
          </w:p>
          <w:p w:rsidR="00681493" w:rsidP="00681493" w:rsidRDefault="00681493" w14:paraId="7374A99A" w14:textId="77777777">
            <w:pPr>
              <w:spacing w:before="120" w:after="120"/>
              <w:contextualSpacing/>
              <w:rPr>
                <w:rFonts w:eastAsia="Calibri"/>
                <w:lang w:eastAsia="en-GB"/>
              </w:rPr>
            </w:pPr>
            <w:r w:rsidRPr="004C4B56">
              <w:rPr>
                <w:rFonts w:eastAsia="Calibri"/>
                <w:lang w:eastAsia="en-GB"/>
              </w:rPr>
              <w:t>test with continuity correction</w:t>
            </w:r>
            <w:r w:rsidRPr="003A1901">
              <w:rPr>
                <w:rFonts w:eastAsia="Calibri"/>
                <w:lang w:eastAsia="en-GB"/>
              </w:rPr>
              <w:t xml:space="preserve"> </w:t>
            </w:r>
          </w:p>
          <w:p w:rsidR="00681493" w:rsidP="00681493" w:rsidRDefault="00681493" w14:paraId="5D9B7C71" w14:textId="77777777">
            <w:pPr>
              <w:spacing w:before="120" w:after="120"/>
              <w:contextualSpacing/>
              <w:rPr>
                <w:rFonts w:eastAsia="Calibri"/>
                <w:lang w:eastAsia="en-GB"/>
              </w:rPr>
            </w:pPr>
            <w:r>
              <w:rPr>
                <w:rFonts w:eastAsia="Calibri"/>
                <w:lang w:eastAsia="en-GB"/>
              </w:rPr>
              <w:lastRenderedPageBreak/>
              <w:t>After vs before exercise:</w:t>
            </w:r>
          </w:p>
          <w:p w:rsidR="00681493" w:rsidP="00681493" w:rsidRDefault="00681493" w14:paraId="3101F2DD" w14:textId="77777777">
            <w:pPr>
              <w:spacing w:before="120" w:after="120"/>
              <w:contextualSpacing/>
              <w:rPr>
                <w:rFonts w:eastAsia="Calibri"/>
                <w:lang w:eastAsia="en-GB"/>
              </w:rPr>
            </w:pPr>
            <w:r>
              <w:rPr>
                <w:rFonts w:eastAsia="Calibri"/>
                <w:lang w:eastAsia="en-GB"/>
              </w:rPr>
              <w:t>Cohort 1:</w:t>
            </w:r>
          </w:p>
          <w:p w:rsidR="00681493" w:rsidP="00681493" w:rsidRDefault="00681493" w14:paraId="32CECCC5" w14:textId="77777777">
            <w:pPr>
              <w:pStyle w:val="Prrafodelista"/>
              <w:numPr>
                <w:ilvl w:val="0"/>
                <w:numId w:val="5"/>
              </w:numPr>
              <w:spacing w:before="120" w:after="120" w:line="240" w:lineRule="auto"/>
              <w:rPr>
                <w:rFonts w:ascii="Times New Roman" w:hAnsi="Times New Roman" w:eastAsia="Calibri" w:cs="Times New Roman"/>
                <w:lang w:eastAsia="en-GB"/>
              </w:rPr>
            </w:pPr>
            <w:r>
              <w:rPr>
                <w:rFonts w:ascii="Times New Roman" w:hAnsi="Times New Roman" w:eastAsia="Calibri" w:cs="Times New Roman"/>
                <w:lang w:eastAsia="en-GB"/>
              </w:rPr>
              <w:t>Genus</w:t>
            </w:r>
            <w:r w:rsidRPr="009B39D7">
              <w:rPr>
                <w:rFonts w:ascii="Times New Roman" w:hAnsi="Times New Roman" w:eastAsia="Calibri" w:cs="Times New Roman"/>
                <w:lang w:eastAsia="en-GB"/>
              </w:rPr>
              <w:t>:</w:t>
            </w:r>
          </w:p>
          <w:p w:rsidRPr="00D27BF4" w:rsidR="00681493" w:rsidP="00681493" w:rsidRDefault="00681493" w14:paraId="42927C28" w14:textId="77777777">
            <w:pPr>
              <w:pStyle w:val="Prrafodelista"/>
              <w:numPr>
                <w:ilvl w:val="1"/>
                <w:numId w:val="5"/>
              </w:numPr>
              <w:spacing w:before="120" w:after="120" w:line="240" w:lineRule="auto"/>
              <w:rPr>
                <w:rFonts w:ascii="Times New Roman" w:hAnsi="Times New Roman" w:eastAsia="Calibri" w:cs="Times New Roman"/>
                <w:lang w:eastAsia="en-GB"/>
              </w:rPr>
            </w:pPr>
            <w:r w:rsidRPr="001D2061">
              <w:rPr>
                <w:rFonts w:ascii="Times New Roman" w:hAnsi="Times New Roman" w:eastAsia="Calibri" w:cs="Times New Roman"/>
                <w:b/>
                <w:sz w:val="24"/>
                <w:lang w:eastAsia="en-GB"/>
              </w:rPr>
              <w:t>↑</w:t>
            </w:r>
            <w:r w:rsidRPr="00200710">
              <w:rPr>
                <w:rFonts w:ascii="Times New Roman" w:hAnsi="Times New Roman" w:eastAsia="Calibri" w:cs="Times New Roman"/>
                <w:lang w:eastAsia="en-GB"/>
              </w:rPr>
              <w:t xml:space="preserve"> </w:t>
            </w:r>
            <w:proofErr w:type="spellStart"/>
            <w:r w:rsidRPr="004C4B56">
              <w:rPr>
                <w:rFonts w:ascii="Times New Roman" w:hAnsi="Times New Roman" w:eastAsia="Calibri" w:cs="Times New Roman"/>
                <w:i/>
                <w:lang w:eastAsia="en-GB"/>
              </w:rPr>
              <w:t>Veillonella</w:t>
            </w:r>
            <w:proofErr w:type="spellEnd"/>
            <w:r>
              <w:rPr>
                <w:rFonts w:ascii="Times New Roman" w:hAnsi="Times New Roman" w:eastAsia="Calibri" w:cs="Times New Roman"/>
                <w:i/>
                <w:lang w:eastAsia="en-GB"/>
              </w:rPr>
              <w:t xml:space="preserve"> </w:t>
            </w:r>
            <w:r>
              <w:rPr>
                <w:rFonts w:ascii="Times New Roman" w:hAnsi="Times New Roman" w:eastAsia="Calibri" w:cs="Times New Roman"/>
                <w:lang w:eastAsia="en-GB"/>
              </w:rPr>
              <w:t>(marathoners)</w:t>
            </w:r>
          </w:p>
          <w:p w:rsidRPr="00D27BF4" w:rsidR="00681493" w:rsidP="00681493" w:rsidRDefault="00681493" w14:paraId="08B1D52A" w14:textId="77777777">
            <w:pPr>
              <w:pStyle w:val="Prrafodelista"/>
              <w:numPr>
                <w:ilvl w:val="1"/>
                <w:numId w:val="5"/>
              </w:numPr>
              <w:spacing w:before="120" w:after="120" w:line="240" w:lineRule="auto"/>
              <w:rPr>
                <w:rFonts w:ascii="Times New Roman" w:hAnsi="Times New Roman" w:eastAsia="Calibri" w:cs="Times New Roman"/>
                <w:lang w:eastAsia="en-GB"/>
              </w:rPr>
            </w:pPr>
            <w:r w:rsidRPr="00D27BF4">
              <w:rPr>
                <w:rFonts w:ascii="Times New Roman" w:hAnsi="Times New Roman" w:eastAsia="Calibri" w:cs="Times New Roman"/>
                <w:i/>
                <w:lang w:eastAsia="en-GB"/>
              </w:rPr>
              <w:t>=</w:t>
            </w:r>
            <w:proofErr w:type="spellStart"/>
            <w:r w:rsidRPr="00D27BF4">
              <w:rPr>
                <w:rFonts w:ascii="Times New Roman" w:hAnsi="Times New Roman" w:eastAsia="Calibri" w:cs="Times New Roman"/>
                <w:i/>
                <w:lang w:eastAsia="en-GB"/>
              </w:rPr>
              <w:t>Veillonella</w:t>
            </w:r>
            <w:proofErr w:type="spellEnd"/>
            <w:r>
              <w:rPr>
                <w:rFonts w:ascii="Times New Roman" w:hAnsi="Times New Roman" w:eastAsia="Calibri" w:cs="Times New Roman"/>
                <w:i/>
                <w:lang w:eastAsia="en-GB"/>
              </w:rPr>
              <w:t xml:space="preserve"> </w:t>
            </w:r>
            <w:r>
              <w:rPr>
                <w:rFonts w:ascii="Times New Roman" w:hAnsi="Times New Roman" w:eastAsia="Calibri" w:cs="Times New Roman"/>
                <w:lang w:eastAsia="en-GB"/>
              </w:rPr>
              <w:t>(controls)</w:t>
            </w:r>
          </w:p>
          <w:p w:rsidR="00681493" w:rsidP="00681493" w:rsidRDefault="00681493" w14:paraId="294B5C70" w14:textId="77777777">
            <w:pPr>
              <w:spacing w:before="120" w:after="120"/>
              <w:contextualSpacing/>
              <w:rPr>
                <w:rFonts w:eastAsia="Calibri"/>
                <w:lang w:eastAsia="en-GB"/>
              </w:rPr>
            </w:pPr>
            <w:r>
              <w:rPr>
                <w:rFonts w:eastAsia="Calibri"/>
                <w:lang w:eastAsia="en-GB"/>
              </w:rPr>
              <w:t>Cohort 2:</w:t>
            </w:r>
          </w:p>
          <w:p w:rsidR="00681493" w:rsidP="00681493" w:rsidRDefault="00681493" w14:paraId="4B2606A9" w14:textId="77777777">
            <w:pPr>
              <w:pStyle w:val="Prrafodelista"/>
              <w:numPr>
                <w:ilvl w:val="0"/>
                <w:numId w:val="5"/>
              </w:numPr>
              <w:spacing w:before="120" w:after="120" w:line="240" w:lineRule="auto"/>
              <w:rPr>
                <w:rFonts w:ascii="Times New Roman" w:hAnsi="Times New Roman" w:eastAsia="Calibri" w:cs="Times New Roman"/>
                <w:lang w:eastAsia="en-GB"/>
              </w:rPr>
            </w:pPr>
            <w:r>
              <w:rPr>
                <w:rFonts w:ascii="Times New Roman" w:hAnsi="Times New Roman" w:eastAsia="Calibri" w:cs="Times New Roman"/>
                <w:lang w:eastAsia="en-GB"/>
              </w:rPr>
              <w:t>Genus</w:t>
            </w:r>
            <w:r w:rsidRPr="009B39D7">
              <w:rPr>
                <w:rFonts w:ascii="Times New Roman" w:hAnsi="Times New Roman" w:eastAsia="Calibri" w:cs="Times New Roman"/>
                <w:lang w:eastAsia="en-GB"/>
              </w:rPr>
              <w:t>:</w:t>
            </w:r>
          </w:p>
          <w:p w:rsidR="00681493" w:rsidP="00681493" w:rsidRDefault="00681493" w14:paraId="0CDA504C" w14:textId="77777777">
            <w:pPr>
              <w:pStyle w:val="Prrafodelista"/>
              <w:numPr>
                <w:ilvl w:val="1"/>
                <w:numId w:val="5"/>
              </w:numPr>
              <w:spacing w:before="120" w:after="120" w:line="240" w:lineRule="auto"/>
              <w:rPr>
                <w:rFonts w:ascii="Times New Roman" w:hAnsi="Times New Roman" w:eastAsia="Calibri" w:cs="Times New Roman"/>
                <w:lang w:eastAsia="en-GB"/>
              </w:rPr>
            </w:pPr>
            <w:r w:rsidRPr="001D2061">
              <w:rPr>
                <w:rFonts w:ascii="Times New Roman" w:hAnsi="Times New Roman" w:eastAsia="Calibri" w:cs="Times New Roman"/>
                <w:b/>
                <w:sz w:val="24"/>
                <w:lang w:eastAsia="en-GB"/>
              </w:rPr>
              <w:t>↑</w:t>
            </w:r>
            <w:r w:rsidRPr="00200710">
              <w:rPr>
                <w:rFonts w:ascii="Times New Roman" w:hAnsi="Times New Roman" w:eastAsia="Calibri" w:cs="Times New Roman"/>
                <w:lang w:eastAsia="en-GB"/>
              </w:rPr>
              <w:t xml:space="preserve"> </w:t>
            </w:r>
            <w:proofErr w:type="spellStart"/>
            <w:r w:rsidRPr="004C4B56">
              <w:rPr>
                <w:rFonts w:ascii="Times New Roman" w:hAnsi="Times New Roman" w:eastAsia="Calibri" w:cs="Times New Roman"/>
                <w:i/>
                <w:lang w:eastAsia="en-GB"/>
              </w:rPr>
              <w:t>Veillonella</w:t>
            </w:r>
            <w:proofErr w:type="spellEnd"/>
            <w:r>
              <w:rPr>
                <w:rFonts w:ascii="Times New Roman" w:hAnsi="Times New Roman" w:eastAsia="Calibri" w:cs="Times New Roman"/>
                <w:i/>
                <w:lang w:eastAsia="en-GB"/>
              </w:rPr>
              <w:t xml:space="preserve"> </w:t>
            </w:r>
            <w:r>
              <w:rPr>
                <w:rFonts w:ascii="Times New Roman" w:hAnsi="Times New Roman" w:eastAsia="Calibri" w:cs="Times New Roman"/>
                <w:lang w:eastAsia="en-GB"/>
              </w:rPr>
              <w:t>(</w:t>
            </w:r>
            <w:proofErr w:type="spellStart"/>
            <w:r>
              <w:rPr>
                <w:rFonts w:ascii="Times New Roman" w:hAnsi="Times New Roman" w:eastAsia="Calibri" w:cs="Times New Roman"/>
                <w:lang w:eastAsia="en-GB"/>
              </w:rPr>
              <w:t>ultramarathoners</w:t>
            </w:r>
            <w:proofErr w:type="spellEnd"/>
            <w:r>
              <w:rPr>
                <w:rFonts w:ascii="Times New Roman" w:hAnsi="Times New Roman" w:eastAsia="Calibri" w:cs="Times New Roman"/>
                <w:lang w:eastAsia="en-GB"/>
              </w:rPr>
              <w:t xml:space="preserve"> and rowers)</w:t>
            </w:r>
          </w:p>
          <w:p w:rsidRPr="00455A75" w:rsidR="00681493" w:rsidP="00681493" w:rsidRDefault="00681493" w14:paraId="2E47315A" w14:textId="77777777">
            <w:pPr>
              <w:spacing w:before="60" w:after="60"/>
              <w:contextualSpacing/>
              <w:rPr>
                <w:rFonts w:eastAsia="Calibri"/>
                <w:lang w:eastAsia="en-GB"/>
              </w:rPr>
            </w:pPr>
          </w:p>
        </w:tc>
      </w:tr>
      <w:tr w:rsidRPr="00455A75" w:rsidR="00681493" w:rsidTr="00681493" w14:paraId="57131AF5" w14:textId="77777777">
        <w:trPr>
          <w:trHeight w:val="416"/>
          <w:jc w:val="center"/>
        </w:trPr>
        <w:tc>
          <w:tcPr>
            <w:tcW w:w="15981" w:type="dxa"/>
            <w:gridSpan w:val="8"/>
            <w:tcBorders>
              <w:top w:val="single" w:color="auto" w:sz="4" w:space="0"/>
              <w:left w:val="nil"/>
              <w:bottom w:val="nil"/>
              <w:right w:val="nil"/>
            </w:tcBorders>
          </w:tcPr>
          <w:p w:rsidRPr="00455A75" w:rsidR="00681493" w:rsidP="00681493" w:rsidRDefault="00681493" w14:paraId="4EA6262B" w14:textId="77777777">
            <w:pPr>
              <w:spacing w:before="60" w:after="60"/>
              <w:contextualSpacing/>
              <w:rPr>
                <w:rFonts w:eastAsia="Calibri"/>
                <w:lang w:eastAsia="en-GB"/>
              </w:rPr>
            </w:pPr>
            <w:r w:rsidRPr="00455A75">
              <w:rPr>
                <w:rFonts w:eastAsia="Calibri"/>
                <w:lang w:eastAsia="en-GB"/>
              </w:rPr>
              <w:lastRenderedPageBreak/>
              <w:t>ANOVA, analysis of variance; DB, database; NR, not reported; OTU, operational taxonomic unit; qPCR, quantitative polymerase chain reaction; RDP, Ribosomal Database Project; RH, relative humidity; VO</w:t>
            </w:r>
            <w:r w:rsidRPr="00455A75">
              <w:rPr>
                <w:rFonts w:eastAsia="Calibri"/>
                <w:vertAlign w:val="subscript"/>
                <w:lang w:eastAsia="en-GB"/>
              </w:rPr>
              <w:t>2max</w:t>
            </w:r>
            <w:r w:rsidRPr="00455A75">
              <w:rPr>
                <w:rFonts w:eastAsia="Calibri"/>
                <w:lang w:eastAsia="en-GB"/>
              </w:rPr>
              <w:t>: maximum volume of oxygen. Standardized diet: Participants followed an established standard diet; Adjusted for diet: to statistically adjust the results based on nutritional questionnaires.</w:t>
            </w:r>
          </w:p>
        </w:tc>
      </w:tr>
    </w:tbl>
    <w:p w:rsidR="00681493" w:rsidP="0034188A" w:rsidRDefault="00681493" w14:paraId="12FE12F5" w14:textId="77777777"/>
    <w:p w:rsidR="00681493" w:rsidP="0034188A" w:rsidRDefault="00681493" w14:paraId="3829EE56" w14:textId="77777777"/>
    <w:p w:rsidR="00681493" w:rsidP="0034188A" w:rsidRDefault="00681493" w14:paraId="3BA92EF6" w14:textId="77777777"/>
    <w:p w:rsidR="00681493" w:rsidP="0034188A" w:rsidRDefault="00681493" w14:paraId="647B6569" w14:textId="77777777"/>
    <w:p w:rsidR="00681493" w:rsidP="0034188A" w:rsidRDefault="00681493" w14:paraId="6CEE6960" w14:textId="77777777"/>
    <w:p w:rsidR="00681493" w:rsidP="0034188A" w:rsidRDefault="00681493" w14:paraId="114D67DC" w14:textId="77777777"/>
    <w:tbl>
      <w:tblPr>
        <w:tblStyle w:val="Tablaconcuadrcula"/>
        <w:tblW w:w="15981" w:type="dxa"/>
        <w:jc w:val="center"/>
        <w:tblLayout w:type="fixed"/>
        <w:tblLook w:val="04A0" w:firstRow="1" w:lastRow="0" w:firstColumn="1" w:lastColumn="0" w:noHBand="0" w:noVBand="1"/>
      </w:tblPr>
      <w:tblGrid>
        <w:gridCol w:w="1273"/>
        <w:gridCol w:w="73"/>
        <w:gridCol w:w="2157"/>
        <w:gridCol w:w="3233"/>
        <w:gridCol w:w="1624"/>
        <w:gridCol w:w="1276"/>
        <w:gridCol w:w="1559"/>
        <w:gridCol w:w="4786"/>
      </w:tblGrid>
      <w:tr w:rsidRPr="00455A75" w:rsidR="00681493" w:rsidTr="00681493" w14:paraId="59D42B76" w14:textId="77777777">
        <w:trPr>
          <w:jc w:val="center"/>
        </w:trPr>
        <w:tc>
          <w:tcPr>
            <w:tcW w:w="15981" w:type="dxa"/>
            <w:gridSpan w:val="8"/>
            <w:tcBorders>
              <w:top w:val="nil"/>
              <w:left w:val="nil"/>
              <w:bottom w:val="single" w:color="auto" w:sz="4" w:space="0"/>
              <w:right w:val="nil"/>
            </w:tcBorders>
          </w:tcPr>
          <w:p w:rsidRPr="00455A75" w:rsidR="00681493" w:rsidP="00681493" w:rsidRDefault="00681493" w14:paraId="6196309F" w14:textId="77777777">
            <w:pPr>
              <w:spacing w:before="120" w:after="120" w:line="480" w:lineRule="auto"/>
              <w:jc w:val="both"/>
              <w:rPr>
                <w:b/>
              </w:rPr>
            </w:pPr>
            <w:r w:rsidRPr="00455A75">
              <w:rPr>
                <w:b/>
              </w:rPr>
              <w:lastRenderedPageBreak/>
              <w:t xml:space="preserve">Table </w:t>
            </w:r>
            <w:r>
              <w:rPr>
                <w:b/>
              </w:rPr>
              <w:t>S7</w:t>
            </w:r>
            <w:r w:rsidRPr="00455A75">
              <w:rPr>
                <w:b/>
              </w:rPr>
              <w:t xml:space="preserve">. </w:t>
            </w:r>
            <w:r w:rsidRPr="00455A75">
              <w:t xml:space="preserve">Summary of studies that reported medium/long-term exercise to influence the gut microbiota of healthy adults. </w:t>
            </w:r>
          </w:p>
        </w:tc>
      </w:tr>
      <w:tr w:rsidRPr="00455A75" w:rsidR="00681493" w:rsidTr="00681493" w14:paraId="711762DF" w14:textId="77777777">
        <w:trPr>
          <w:jc w:val="center"/>
        </w:trPr>
        <w:tc>
          <w:tcPr>
            <w:tcW w:w="1346" w:type="dxa"/>
            <w:gridSpan w:val="2"/>
            <w:tcBorders>
              <w:top w:val="single" w:color="auto" w:sz="4" w:space="0"/>
              <w:left w:val="nil"/>
              <w:bottom w:val="single" w:color="auto" w:sz="4" w:space="0"/>
              <w:right w:val="nil"/>
            </w:tcBorders>
          </w:tcPr>
          <w:p w:rsidRPr="00455A75" w:rsidR="00681493" w:rsidP="00681493" w:rsidRDefault="00681493" w14:paraId="3B9436B1" w14:textId="77777777">
            <w:pPr>
              <w:spacing w:before="60" w:after="60"/>
              <w:contextualSpacing/>
              <w:rPr>
                <w:rFonts w:eastAsia="Calibri"/>
                <w:b/>
                <w:lang w:eastAsia="en-GB"/>
              </w:rPr>
            </w:pPr>
            <w:r w:rsidRPr="00455A75">
              <w:rPr>
                <w:rFonts w:eastAsia="Calibri"/>
                <w:b/>
                <w:lang w:eastAsia="en-GB"/>
              </w:rPr>
              <w:t>Study/Year</w:t>
            </w:r>
          </w:p>
        </w:tc>
        <w:tc>
          <w:tcPr>
            <w:tcW w:w="2157" w:type="dxa"/>
            <w:tcBorders>
              <w:top w:val="single" w:color="auto" w:sz="4" w:space="0"/>
              <w:left w:val="nil"/>
              <w:bottom w:val="single" w:color="auto" w:sz="4" w:space="0"/>
              <w:right w:val="nil"/>
            </w:tcBorders>
          </w:tcPr>
          <w:p w:rsidRPr="00455A75" w:rsidR="00681493" w:rsidP="00681493" w:rsidRDefault="00681493" w14:paraId="40030290" w14:textId="77777777">
            <w:pPr>
              <w:spacing w:before="60" w:after="60"/>
              <w:contextualSpacing/>
              <w:rPr>
                <w:rFonts w:eastAsia="Calibri"/>
                <w:b/>
                <w:lang w:eastAsia="en-GB"/>
              </w:rPr>
            </w:pPr>
            <w:r w:rsidRPr="00455A75">
              <w:rPr>
                <w:rFonts w:eastAsia="Calibri"/>
                <w:b/>
                <w:lang w:eastAsia="en-GB"/>
              </w:rPr>
              <w:t>Participants</w:t>
            </w:r>
          </w:p>
        </w:tc>
        <w:tc>
          <w:tcPr>
            <w:tcW w:w="3233" w:type="dxa"/>
            <w:tcBorders>
              <w:top w:val="single" w:color="auto" w:sz="4" w:space="0"/>
              <w:left w:val="nil"/>
              <w:bottom w:val="single" w:color="auto" w:sz="4" w:space="0"/>
              <w:right w:val="nil"/>
            </w:tcBorders>
          </w:tcPr>
          <w:p w:rsidRPr="00455A75" w:rsidR="00681493" w:rsidP="00681493" w:rsidRDefault="00681493" w14:paraId="4E86151F" w14:textId="77777777">
            <w:pPr>
              <w:spacing w:before="60" w:after="60"/>
              <w:contextualSpacing/>
              <w:rPr>
                <w:rFonts w:eastAsia="Calibri"/>
                <w:b/>
                <w:lang w:eastAsia="en-GB"/>
              </w:rPr>
            </w:pPr>
            <w:r w:rsidRPr="00455A75">
              <w:rPr>
                <w:rFonts w:eastAsia="Calibri"/>
                <w:b/>
                <w:lang w:eastAsia="en-GB"/>
              </w:rPr>
              <w:t>Exercise Outcomes</w:t>
            </w:r>
          </w:p>
        </w:tc>
        <w:tc>
          <w:tcPr>
            <w:tcW w:w="1624" w:type="dxa"/>
            <w:tcBorders>
              <w:top w:val="single" w:color="auto" w:sz="4" w:space="0"/>
              <w:left w:val="nil"/>
              <w:bottom w:val="single" w:color="auto" w:sz="4" w:space="0"/>
              <w:right w:val="nil"/>
            </w:tcBorders>
          </w:tcPr>
          <w:p w:rsidRPr="00455A75" w:rsidR="00681493" w:rsidP="00681493" w:rsidRDefault="00681493" w14:paraId="08E512B1" w14:textId="77777777">
            <w:pPr>
              <w:spacing w:before="60" w:after="60"/>
              <w:contextualSpacing/>
              <w:rPr>
                <w:rFonts w:eastAsia="Calibri"/>
                <w:b/>
                <w:lang w:eastAsia="en-GB"/>
              </w:rPr>
            </w:pPr>
            <w:r w:rsidRPr="00BD1AED">
              <w:rPr>
                <w:rFonts w:eastAsia="Calibri"/>
                <w:b/>
                <w:lang w:eastAsia="en-GB"/>
              </w:rPr>
              <w:t>Control of diet</w:t>
            </w:r>
          </w:p>
        </w:tc>
        <w:tc>
          <w:tcPr>
            <w:tcW w:w="1276" w:type="dxa"/>
            <w:tcBorders>
              <w:top w:val="single" w:color="auto" w:sz="4" w:space="0"/>
              <w:left w:val="nil"/>
              <w:bottom w:val="single" w:color="auto" w:sz="4" w:space="0"/>
              <w:right w:val="nil"/>
            </w:tcBorders>
          </w:tcPr>
          <w:p w:rsidRPr="00455A75" w:rsidR="00681493" w:rsidP="00681493" w:rsidRDefault="00681493" w14:paraId="570ACE44" w14:textId="77777777">
            <w:pPr>
              <w:spacing w:before="60" w:after="60"/>
              <w:contextualSpacing/>
              <w:rPr>
                <w:rFonts w:eastAsia="Calibri"/>
                <w:b/>
                <w:lang w:eastAsia="en-GB"/>
              </w:rPr>
            </w:pPr>
            <w:r w:rsidRPr="00455A75">
              <w:rPr>
                <w:rFonts w:eastAsia="Calibri"/>
                <w:b/>
                <w:lang w:eastAsia="en-GB"/>
              </w:rPr>
              <w:t>Fecal sample collection</w:t>
            </w:r>
          </w:p>
        </w:tc>
        <w:tc>
          <w:tcPr>
            <w:tcW w:w="1559" w:type="dxa"/>
            <w:tcBorders>
              <w:top w:val="single" w:color="auto" w:sz="4" w:space="0"/>
              <w:left w:val="nil"/>
              <w:bottom w:val="single" w:color="auto" w:sz="4" w:space="0"/>
              <w:right w:val="nil"/>
            </w:tcBorders>
          </w:tcPr>
          <w:p w:rsidRPr="00455A75" w:rsidR="00681493" w:rsidP="00681493" w:rsidRDefault="00681493" w14:paraId="5497E8DC" w14:textId="77777777">
            <w:pPr>
              <w:spacing w:before="60" w:after="60"/>
              <w:contextualSpacing/>
              <w:rPr>
                <w:rFonts w:eastAsia="Calibri"/>
                <w:b/>
                <w:lang w:eastAsia="en-GB"/>
              </w:rPr>
            </w:pPr>
            <w:r w:rsidRPr="00455A75">
              <w:rPr>
                <w:rFonts w:eastAsia="Calibri"/>
                <w:b/>
                <w:lang w:eastAsia="en-GB"/>
              </w:rPr>
              <w:t>Gut microbiota analysis techniques</w:t>
            </w:r>
          </w:p>
        </w:tc>
        <w:tc>
          <w:tcPr>
            <w:tcW w:w="4786" w:type="dxa"/>
            <w:tcBorders>
              <w:top w:val="single" w:color="auto" w:sz="4" w:space="0"/>
              <w:left w:val="nil"/>
              <w:bottom w:val="single" w:color="auto" w:sz="4" w:space="0"/>
              <w:right w:val="nil"/>
            </w:tcBorders>
          </w:tcPr>
          <w:p w:rsidRPr="00455A75" w:rsidR="00681493" w:rsidP="00681493" w:rsidRDefault="00681493" w14:paraId="62CD17D0" w14:textId="77777777">
            <w:pPr>
              <w:spacing w:before="60" w:after="60"/>
              <w:contextualSpacing/>
              <w:rPr>
                <w:rFonts w:eastAsia="Calibri"/>
                <w:b/>
                <w:lang w:eastAsia="en-GB"/>
              </w:rPr>
            </w:pPr>
            <w:r w:rsidRPr="00455A75">
              <w:rPr>
                <w:rFonts w:eastAsia="Calibri"/>
                <w:b/>
                <w:lang w:eastAsia="en-GB"/>
              </w:rPr>
              <w:t>Main Findings</w:t>
            </w:r>
          </w:p>
        </w:tc>
      </w:tr>
      <w:tr w:rsidRPr="00455A75" w:rsidR="00681493" w:rsidTr="00681493" w14:paraId="7F866C38" w14:textId="77777777">
        <w:trPr>
          <w:jc w:val="center"/>
        </w:trPr>
        <w:tc>
          <w:tcPr>
            <w:tcW w:w="3503" w:type="dxa"/>
            <w:gridSpan w:val="3"/>
            <w:tcBorders>
              <w:top w:val="single" w:color="auto" w:sz="4" w:space="0"/>
              <w:left w:val="nil"/>
              <w:bottom w:val="nil"/>
              <w:right w:val="nil"/>
            </w:tcBorders>
          </w:tcPr>
          <w:p w:rsidRPr="005632FD" w:rsidR="00681493" w:rsidP="00681493" w:rsidRDefault="00681493" w14:paraId="2938FCD3" w14:textId="77777777">
            <w:pPr>
              <w:spacing w:before="60" w:after="60"/>
              <w:contextualSpacing/>
              <w:rPr>
                <w:rFonts w:eastAsia="Calibri"/>
                <w:lang w:eastAsia="en-GB"/>
              </w:rPr>
            </w:pPr>
            <w:r w:rsidRPr="005632FD">
              <w:rPr>
                <w:rFonts w:eastAsia="Calibri"/>
                <w:lang w:eastAsia="en-GB"/>
              </w:rPr>
              <w:t>Cohort</w:t>
            </w:r>
          </w:p>
        </w:tc>
        <w:tc>
          <w:tcPr>
            <w:tcW w:w="3233" w:type="dxa"/>
            <w:tcBorders>
              <w:top w:val="single" w:color="auto" w:sz="4" w:space="0"/>
              <w:left w:val="nil"/>
              <w:bottom w:val="nil"/>
              <w:right w:val="nil"/>
            </w:tcBorders>
          </w:tcPr>
          <w:p w:rsidRPr="00455A75" w:rsidR="00681493" w:rsidP="00681493" w:rsidRDefault="00681493" w14:paraId="0A47EF37" w14:textId="77777777">
            <w:pPr>
              <w:spacing w:before="60" w:after="60"/>
              <w:contextualSpacing/>
            </w:pPr>
          </w:p>
        </w:tc>
        <w:tc>
          <w:tcPr>
            <w:tcW w:w="1624" w:type="dxa"/>
            <w:tcBorders>
              <w:top w:val="single" w:color="auto" w:sz="4" w:space="0"/>
              <w:left w:val="nil"/>
              <w:bottom w:val="nil"/>
              <w:right w:val="nil"/>
            </w:tcBorders>
          </w:tcPr>
          <w:p w:rsidRPr="00455A75" w:rsidR="00681493" w:rsidP="00681493" w:rsidRDefault="00681493" w14:paraId="04B0CC2E" w14:textId="77777777">
            <w:pPr>
              <w:spacing w:before="60" w:after="60"/>
              <w:contextualSpacing/>
            </w:pPr>
          </w:p>
        </w:tc>
        <w:tc>
          <w:tcPr>
            <w:tcW w:w="1276" w:type="dxa"/>
            <w:tcBorders>
              <w:top w:val="single" w:color="auto" w:sz="4" w:space="0"/>
              <w:left w:val="nil"/>
              <w:bottom w:val="nil"/>
              <w:right w:val="nil"/>
            </w:tcBorders>
          </w:tcPr>
          <w:p w:rsidRPr="00455A75" w:rsidR="00681493" w:rsidP="00681493" w:rsidRDefault="00681493" w14:paraId="0D95A0DC" w14:textId="77777777">
            <w:pPr>
              <w:spacing w:before="60" w:after="60"/>
              <w:contextualSpacing/>
            </w:pPr>
          </w:p>
        </w:tc>
        <w:tc>
          <w:tcPr>
            <w:tcW w:w="1559" w:type="dxa"/>
            <w:tcBorders>
              <w:top w:val="single" w:color="auto" w:sz="4" w:space="0"/>
              <w:left w:val="nil"/>
              <w:bottom w:val="nil"/>
              <w:right w:val="nil"/>
            </w:tcBorders>
          </w:tcPr>
          <w:p w:rsidRPr="00455A75" w:rsidR="00681493" w:rsidP="00681493" w:rsidRDefault="00681493" w14:paraId="4048C87A" w14:textId="77777777">
            <w:pPr>
              <w:spacing w:before="60" w:after="60"/>
              <w:contextualSpacing/>
              <w:rPr>
                <w:rFonts w:eastAsia="Calibri"/>
                <w:lang w:eastAsia="en-GB"/>
              </w:rPr>
            </w:pPr>
          </w:p>
        </w:tc>
        <w:tc>
          <w:tcPr>
            <w:tcW w:w="4786" w:type="dxa"/>
            <w:tcBorders>
              <w:top w:val="single" w:color="auto" w:sz="4" w:space="0"/>
              <w:left w:val="nil"/>
              <w:bottom w:val="nil"/>
              <w:right w:val="nil"/>
            </w:tcBorders>
          </w:tcPr>
          <w:p w:rsidRPr="00455A75" w:rsidR="00681493" w:rsidP="00681493" w:rsidRDefault="00681493" w14:paraId="433FBEC5" w14:textId="77777777">
            <w:pPr>
              <w:spacing w:before="60" w:after="60"/>
              <w:contextualSpacing/>
              <w:rPr>
                <w:rFonts w:eastAsia="Calibri"/>
                <w:lang w:eastAsia="en-GB"/>
              </w:rPr>
            </w:pPr>
          </w:p>
        </w:tc>
      </w:tr>
      <w:tr w:rsidRPr="00455A75" w:rsidR="00681493" w:rsidTr="00681493" w14:paraId="352C42B9" w14:textId="77777777">
        <w:trPr>
          <w:jc w:val="center"/>
        </w:trPr>
        <w:tc>
          <w:tcPr>
            <w:tcW w:w="1346" w:type="dxa"/>
            <w:gridSpan w:val="2"/>
            <w:tcBorders>
              <w:top w:val="single" w:color="auto" w:sz="4" w:space="0"/>
              <w:left w:val="nil"/>
              <w:bottom w:val="single" w:color="auto" w:sz="4" w:space="0"/>
              <w:right w:val="nil"/>
            </w:tcBorders>
          </w:tcPr>
          <w:p w:rsidRPr="00455A75" w:rsidR="00681493" w:rsidP="00681493" w:rsidRDefault="00681493" w14:paraId="62F2ACAF" w14:textId="77777777">
            <w:pPr>
              <w:spacing w:before="60" w:after="60"/>
              <w:contextualSpacing/>
            </w:pPr>
            <w:r>
              <w:t>Cronin et al., 2018</w:t>
            </w:r>
            <w:r w:rsidRPr="00455A75">
              <w:fldChar w:fldCharType="begin" w:fldLock="1"/>
            </w:r>
            <w:r>
              <w:instrText>ADDIN CSL_CITATION {"citationItems":[{"id":"ITEM-1","itemData":{"DOI":"10.1128/mSystems.00044-18","ISBN":"2379-5077","ISSN":"2379-5077","PMID":"29719871","abstract":"&lt;p&gt;Many components of modern living exert influence on the resident intestinal microbiota of humans with resultant impact on host health. For example, exercise-associated changes in the diversity, composition, and functional profiles of microbial populations in the gut have been described in cross-sectional studies of habitual athletes. However, this relationship is also affected by changes in diet, such as changes in dietary and supplementary protein consumption, that coincide with exercise. To determine whether increasing physical activity and/or increased protein intake modulates gut microbial composition and function, we prospectively challenged healthy but sedentary adults with a short-term exercise regime, with and without concurrent daily whey protein consumption. Metagenomics- and metabolomics-based assessments demonstrated modest changes in gut microbial composition and function following increases in physical activity. Significant changes in the diversity of the gut virome were evident in participants receiving daily whey protein supplementation. Results indicate that improved body composition with exercise is not dependent on major changes in the diversity of microbial populations in the gut. The diverse microbial characteristics previously observed in long-term habitual athletes may be a later response to exercise and fitness improvement.&lt;/p&gt;","author":[{"dropping-particle":"","family":"Cronin","given":"Owen","non-dropping-particle":"","parse-names":false,"suffix":""},{"dropping-particle":"","family":"Barton","given":"Wiley","non-dropping-particle":"","parse-names":false,"suffix":""},{"dropping-particle":"","family":"Skuse","given":"Peter","non-dropping-particle":"","parse-names":false,"suffix":""},{"dropping-particle":"","family":"Penney","given":"Nicholas C.","non-dropping-particle":"","parse-names":false,"suffix":""},{"dropping-particle":"","family":"Garcia-Perez","given":"Isabel","non-dropping-particle":"","parse-names":false,"suffix":""},{"dropping-particle":"","family":"Murphy","given":"Eileen F.","non-dropping-particle":"","parse-names":false,"suffix":""},{"dropping-particle":"","family":"Woods","given":"Trevor","non-dropping-particle":"","parse-names":false,"suffix":""},{"dropping-particle":"","family":"Nugent","given":"Helena","non-dropping-particle":"","parse-names":false,"suffix":""},{"dropping-particle":"","family":"Fanning","given":"Aine","non-dropping-particle":"","parse-names":false,"suffix":""},{"dropping-particle":"","family":"Melgar","given":"Silvia","non-dropping-particle":"","parse-names":false,"suffix":""},{"dropping-particle":"","family":"Falvey","given":"Eanna C.","non-dropping-particle":"","parse-names":false,"suffix":""},{"dropping-particle":"","family":"Holmes","given":"Elaine","non-dropping-particle":"","parse-names":false,"suffix":""},{"dropping-particle":"","family":"Cotter","given":"Paul D.","non-dropping-particle":"","parse-names":false,"suffix":""},{"dropping-particle":"","family":"O’Sullivan","given":"Orla","non-dropping-particle":"","parse-names":false,"suffix":""},{"dropping-particle":"","family":"Molloy","given":"Michael G.","non-dropping-particle":"","parse-names":false,"suffix":""},{"dropping-particle":"","family":"Shanahan","given":"Fergus","non-dropping-particle":"","parse-names":false,"suffix":""}],"container-title":"mSystems","id":"ITEM-1","issue":"3","issued":{"date-parts":[["2018"]]},"page":"e00044-18","title":"A Prospective Metagenomic and Metabolomic Analysis of the Impact of Exercise and/or Whey Protein Supplementation on the Gut Microbiome of Sedentary Adults","type":"article-journal","volume":"3"},"uris":["http://www.mendeley.com/documents/?uuid=62d7589d-953d-4dde-81e3-f11b61910c1b"]}],"mendeley":{"formattedCitation":"(40)","plainTextFormattedCitation":"(40)","previouslyFormattedCitation":"(40)"},"properties":{"noteIndex":0},"schema":"https://github.com/citation-style-language/schema/raw/master/csl-citation.json"}</w:instrText>
            </w:r>
            <w:r w:rsidRPr="00455A75">
              <w:fldChar w:fldCharType="separate"/>
            </w:r>
            <w:r w:rsidRPr="003651E8">
              <w:rPr>
                <w:noProof/>
              </w:rPr>
              <w:t>(40)</w:t>
            </w:r>
            <w:r w:rsidRPr="00455A75">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12D797A9" w14:textId="77777777">
            <w:pPr>
              <w:spacing w:before="60" w:after="60"/>
              <w:contextualSpacing/>
            </w:pPr>
            <w:r w:rsidRPr="00455A75">
              <w:t>N=25 (11 males; 14 females) (35 years; 27.9 kg/m</w:t>
            </w:r>
            <w:r w:rsidRPr="00455A75">
              <w:rPr>
                <w:vertAlign w:val="superscript"/>
              </w:rPr>
              <w:t>2</w:t>
            </w:r>
            <w:r w:rsidRPr="00455A75">
              <w:t>)</w:t>
            </w:r>
          </w:p>
        </w:tc>
        <w:tc>
          <w:tcPr>
            <w:tcW w:w="3233" w:type="dxa"/>
            <w:tcBorders>
              <w:top w:val="single" w:color="auto" w:sz="4" w:space="0"/>
              <w:left w:val="nil"/>
              <w:bottom w:val="single" w:color="auto" w:sz="4" w:space="0"/>
              <w:right w:val="nil"/>
            </w:tcBorders>
          </w:tcPr>
          <w:p w:rsidRPr="00455A75" w:rsidR="00681493" w:rsidP="00681493" w:rsidRDefault="00681493" w14:paraId="73E1D8F3" w14:textId="77777777">
            <w:pPr>
              <w:spacing w:before="60" w:after="60"/>
              <w:contextualSpacing/>
            </w:pPr>
            <w:r w:rsidRPr="00455A75">
              <w:t xml:space="preserve">3 times per week over 8 weeks of concurrent training (endurance + resistance exercises): </w:t>
            </w:r>
          </w:p>
          <w:p w:rsidRPr="00455A75" w:rsidR="00681493" w:rsidP="00681493" w:rsidRDefault="00681493" w14:paraId="3A4CE913" w14:textId="77777777">
            <w:pPr>
              <w:spacing w:before="60" w:after="60"/>
              <w:contextualSpacing/>
            </w:pPr>
            <w:r w:rsidRPr="00455A75">
              <w:t>Endurance exercise</w:t>
            </w:r>
          </w:p>
          <w:p w:rsidRPr="00455A75" w:rsidR="00681493" w:rsidP="00681493" w:rsidRDefault="00681493" w14:paraId="33964F0D"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Intensity: moderate (Borg rate scale 5 to 7/10)</w:t>
            </w:r>
          </w:p>
          <w:p w:rsidRPr="00455A75" w:rsidR="00681493" w:rsidP="00681493" w:rsidRDefault="00681493" w14:paraId="286374B3"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Min: 18 min until 32 min</w:t>
            </w:r>
          </w:p>
          <w:p w:rsidRPr="00455A75" w:rsidR="00681493" w:rsidP="00681493" w:rsidRDefault="00681493" w14:paraId="0A80BBBD"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Increasing 15% to 20%.</w:t>
            </w:r>
          </w:p>
          <w:p w:rsidRPr="00455A75" w:rsidR="00681493" w:rsidP="00681493" w:rsidRDefault="00681493" w14:paraId="07AF0ACB" w14:textId="77777777">
            <w:pPr>
              <w:spacing w:before="60" w:after="60"/>
              <w:contextualSpacing/>
            </w:pPr>
            <w:r w:rsidRPr="00455A75">
              <w:t xml:space="preserve">Resistance exercise: </w:t>
            </w:r>
          </w:p>
          <w:p w:rsidRPr="00455A75" w:rsidR="00681493" w:rsidP="00681493" w:rsidRDefault="00681493" w14:paraId="613DCC03"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 xml:space="preserve">7 machine-based resistance exercises. </w:t>
            </w:r>
          </w:p>
          <w:p w:rsidRPr="00455A75" w:rsidR="00681493" w:rsidP="00681493" w:rsidRDefault="00681493" w14:paraId="1AC866C2"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 xml:space="preserve">Minimum: 3 </w:t>
            </w:r>
            <w:proofErr w:type="gramStart"/>
            <w:r w:rsidRPr="00455A75">
              <w:rPr>
                <w:rFonts w:ascii="Times New Roman" w:hAnsi="Times New Roman" w:cs="Times New Roman"/>
              </w:rPr>
              <w:t>sets</w:t>
            </w:r>
            <w:proofErr w:type="gramEnd"/>
            <w:r w:rsidRPr="00455A75">
              <w:rPr>
                <w:rFonts w:ascii="Times New Roman" w:hAnsi="Times New Roman" w:cs="Times New Roman"/>
              </w:rPr>
              <w:t xml:space="preserve"> of 8 repetitions in each machine. </w:t>
            </w:r>
          </w:p>
          <w:p w:rsidRPr="00455A75" w:rsidR="00681493" w:rsidP="00681493" w:rsidRDefault="00681493" w14:paraId="151AE7E3"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 xml:space="preserve">Maximum: 3 </w:t>
            </w:r>
            <w:proofErr w:type="gramStart"/>
            <w:r w:rsidRPr="00455A75">
              <w:rPr>
                <w:rFonts w:ascii="Times New Roman" w:hAnsi="Times New Roman" w:cs="Times New Roman"/>
              </w:rPr>
              <w:t>sets</w:t>
            </w:r>
            <w:proofErr w:type="gramEnd"/>
            <w:r w:rsidRPr="00455A75">
              <w:rPr>
                <w:rFonts w:ascii="Times New Roman" w:hAnsi="Times New Roman" w:cs="Times New Roman"/>
              </w:rPr>
              <w:t xml:space="preserve"> of 12 repetitions in each machine. </w:t>
            </w:r>
          </w:p>
          <w:p w:rsidRPr="00455A75" w:rsidR="00681493" w:rsidP="00681493" w:rsidRDefault="00681493" w14:paraId="443EA6E9" w14:textId="77777777">
            <w:pPr>
              <w:pStyle w:val="Prrafodelista"/>
              <w:numPr>
                <w:ilvl w:val="0"/>
                <w:numId w:val="33"/>
              </w:numPr>
              <w:spacing w:before="60" w:after="60" w:line="240" w:lineRule="auto"/>
              <w:rPr>
                <w:rFonts w:ascii="Times New Roman" w:hAnsi="Times New Roman" w:cs="Times New Roman"/>
              </w:rPr>
            </w:pPr>
            <w:r w:rsidRPr="00455A75">
              <w:rPr>
                <w:rFonts w:ascii="Times New Roman" w:hAnsi="Times New Roman" w:cs="Times New Roman"/>
              </w:rPr>
              <w:t xml:space="preserve">Weight: 70% of the individual´s one-repetition maximum </w:t>
            </w:r>
            <w:r w:rsidRPr="00455A75">
              <w:rPr>
                <w:rFonts w:ascii="Times New Roman" w:hAnsi="Times New Roman" w:cs="Times New Roman"/>
              </w:rPr>
              <w:lastRenderedPageBreak/>
              <w:t>(1RM) value.</w:t>
            </w:r>
          </w:p>
          <w:p w:rsidRPr="00455A75" w:rsidR="00681493" w:rsidP="00681493" w:rsidRDefault="00681493" w14:paraId="3296225F" w14:textId="77777777">
            <w:pPr>
              <w:spacing w:before="60" w:after="60"/>
              <w:contextualSpacing/>
              <w:rPr>
                <w:rFonts w:eastAsia="Calibri"/>
                <w:lang w:eastAsia="en-GB"/>
              </w:rPr>
            </w:pPr>
          </w:p>
        </w:tc>
        <w:tc>
          <w:tcPr>
            <w:tcW w:w="1624" w:type="dxa"/>
            <w:tcBorders>
              <w:top w:val="single" w:color="auto" w:sz="4" w:space="0"/>
              <w:left w:val="nil"/>
              <w:bottom w:val="single" w:color="auto" w:sz="4" w:space="0"/>
              <w:right w:val="nil"/>
            </w:tcBorders>
          </w:tcPr>
          <w:p w:rsidRPr="00455A75" w:rsidR="00681493" w:rsidP="00681493" w:rsidRDefault="00681493" w14:paraId="44B1554D" w14:textId="77777777">
            <w:pPr>
              <w:spacing w:before="60" w:after="60"/>
              <w:contextualSpacing/>
            </w:pPr>
            <w:r w:rsidRPr="00455A75">
              <w:lastRenderedPageBreak/>
              <w:t xml:space="preserve">Standardized diet: No </w:t>
            </w:r>
          </w:p>
          <w:p w:rsidRPr="00455A75" w:rsidR="00681493" w:rsidP="00681493" w:rsidRDefault="00681493" w14:paraId="62224D0D" w14:textId="77777777">
            <w:pPr>
              <w:spacing w:before="60" w:after="60"/>
              <w:contextualSpacing/>
            </w:pPr>
          </w:p>
          <w:p w:rsidRPr="00455A75" w:rsidR="00681493" w:rsidP="00681493" w:rsidRDefault="00681493" w14:paraId="58F2E302" w14:textId="77777777">
            <w:pPr>
              <w:spacing w:before="60" w:after="60"/>
              <w:contextualSpacing/>
              <w:rPr>
                <w:rFonts w:eastAsia="Calibri"/>
                <w:lang w:eastAsia="en-GB"/>
              </w:rPr>
            </w:pPr>
            <w:r w:rsidRPr="00455A75">
              <w:t>Adjusted for diet: No</w:t>
            </w:r>
          </w:p>
        </w:tc>
        <w:tc>
          <w:tcPr>
            <w:tcW w:w="1276" w:type="dxa"/>
            <w:tcBorders>
              <w:top w:val="single" w:color="auto" w:sz="4" w:space="0"/>
              <w:left w:val="nil"/>
              <w:bottom w:val="single" w:color="auto" w:sz="4" w:space="0"/>
              <w:right w:val="nil"/>
            </w:tcBorders>
          </w:tcPr>
          <w:p w:rsidRPr="00455A75" w:rsidR="00681493" w:rsidP="00681493" w:rsidRDefault="00681493" w14:paraId="78FBA428" w14:textId="77777777">
            <w:pPr>
              <w:spacing w:before="60" w:after="60"/>
              <w:contextualSpacing/>
              <w:rPr>
                <w:rFonts w:eastAsia="Calibri"/>
                <w:lang w:eastAsia="en-GB"/>
              </w:rPr>
            </w:pPr>
            <w:r w:rsidRPr="00455A75">
              <w:rPr>
                <w:rFonts w:eastAsia="Calibri"/>
                <w:lang w:eastAsia="en-GB"/>
              </w:rPr>
              <w:t xml:space="preserve">2 samples (baseline, and after exercise period) </w:t>
            </w:r>
          </w:p>
          <w:p w:rsidRPr="00455A75" w:rsidR="00681493" w:rsidP="00681493" w:rsidRDefault="00681493" w14:paraId="68D589F7" w14:textId="77777777">
            <w:pPr>
              <w:spacing w:before="60" w:after="60"/>
              <w:contextualSpacing/>
            </w:pPr>
            <w:r w:rsidRPr="00455A75">
              <w:t xml:space="preserve"> </w:t>
            </w:r>
          </w:p>
        </w:tc>
        <w:tc>
          <w:tcPr>
            <w:tcW w:w="1559" w:type="dxa"/>
            <w:tcBorders>
              <w:top w:val="single" w:color="auto" w:sz="4" w:space="0"/>
              <w:left w:val="nil"/>
              <w:bottom w:val="single" w:color="auto" w:sz="4" w:space="0"/>
              <w:right w:val="nil"/>
            </w:tcBorders>
          </w:tcPr>
          <w:p w:rsidRPr="00455A75" w:rsidR="00681493" w:rsidP="00681493" w:rsidRDefault="00681493" w14:paraId="631AB73F" w14:textId="77777777">
            <w:pPr>
              <w:spacing w:before="60" w:after="60"/>
              <w:contextualSpacing/>
            </w:pPr>
            <w:r w:rsidRPr="00455A75">
              <w:t xml:space="preserve">qPCR:  </w:t>
            </w:r>
            <w:proofErr w:type="spellStart"/>
            <w:r w:rsidRPr="00455A75">
              <w:t>HiSeq</w:t>
            </w:r>
            <w:proofErr w:type="spellEnd"/>
            <w:r w:rsidRPr="00455A75">
              <w:t xml:space="preserve"> Illumina </w:t>
            </w:r>
          </w:p>
          <w:p w:rsidRPr="00455A75" w:rsidR="00681493" w:rsidP="00681493" w:rsidRDefault="00681493" w14:paraId="12F4E905" w14:textId="77777777">
            <w:pPr>
              <w:spacing w:before="60" w:after="60"/>
              <w:contextualSpacing/>
            </w:pPr>
            <w:r w:rsidRPr="00455A75">
              <w:t>Software:  HUMAnN2</w:t>
            </w:r>
          </w:p>
          <w:p w:rsidRPr="00455A75" w:rsidR="00681493" w:rsidP="00681493" w:rsidRDefault="00681493" w14:paraId="589C2554" w14:textId="77777777">
            <w:pPr>
              <w:spacing w:before="60" w:after="60"/>
              <w:contextualSpacing/>
            </w:pPr>
            <w:r w:rsidRPr="00455A75">
              <w:t xml:space="preserve">Reference DB: </w:t>
            </w:r>
            <w:proofErr w:type="spellStart"/>
            <w:r w:rsidRPr="00455A75">
              <w:t>Metacyc</w:t>
            </w:r>
            <w:proofErr w:type="spellEnd"/>
            <w:r w:rsidRPr="00455A75">
              <w:t xml:space="preserve"> database</w:t>
            </w:r>
          </w:p>
          <w:p w:rsidRPr="00455A75" w:rsidR="00681493" w:rsidP="00681493" w:rsidRDefault="00681493" w14:paraId="7950F069" w14:textId="77777777">
            <w:pPr>
              <w:spacing w:before="60" w:after="60"/>
              <w:contextualSpacing/>
            </w:pPr>
            <w:r w:rsidRPr="00455A75">
              <w:t>Outcome: NR</w:t>
            </w:r>
          </w:p>
        </w:tc>
        <w:tc>
          <w:tcPr>
            <w:tcW w:w="4786" w:type="dxa"/>
            <w:tcBorders>
              <w:top w:val="single" w:color="auto" w:sz="4" w:space="0"/>
              <w:left w:val="nil"/>
              <w:bottom w:val="single" w:color="auto" w:sz="4" w:space="0"/>
              <w:right w:val="nil"/>
            </w:tcBorders>
          </w:tcPr>
          <w:p w:rsidRPr="00455A75" w:rsidR="00681493" w:rsidP="00681493" w:rsidRDefault="00681493" w14:paraId="3123F7BD" w14:textId="77777777">
            <w:pPr>
              <w:spacing w:before="60" w:after="60"/>
              <w:contextualSpacing/>
              <w:rPr>
                <w:rFonts w:eastAsia="Calibri"/>
                <w:lang w:eastAsia="en-GB"/>
              </w:rPr>
            </w:pPr>
            <w:r w:rsidRPr="00455A75">
              <w:rPr>
                <w:rFonts w:eastAsia="Calibri"/>
                <w:lang w:eastAsia="en-GB"/>
              </w:rPr>
              <w:t>Statistical analysis: ANOVA</w:t>
            </w:r>
          </w:p>
          <w:p w:rsidRPr="00455A75" w:rsidR="00681493" w:rsidP="00681493" w:rsidRDefault="00681493" w14:paraId="4BE3D06C" w14:textId="77777777">
            <w:pPr>
              <w:spacing w:before="60" w:after="60"/>
              <w:contextualSpacing/>
            </w:pPr>
            <w:r w:rsidRPr="00455A75">
              <w:rPr>
                <w:rFonts w:eastAsia="Calibri"/>
                <w:lang w:eastAsia="en-GB"/>
              </w:rPr>
              <w:t>= α-diversity between groups</w:t>
            </w:r>
          </w:p>
          <w:p w:rsidRPr="00455A75" w:rsidR="00681493" w:rsidP="00681493" w:rsidRDefault="00681493" w14:paraId="7DBF9300" w14:textId="77777777">
            <w:pPr>
              <w:spacing w:before="60" w:after="60"/>
              <w:contextualSpacing/>
              <w:rPr>
                <w:rFonts w:eastAsia="Calibri"/>
                <w:lang w:eastAsia="en-GB"/>
              </w:rPr>
            </w:pPr>
            <w:proofErr w:type="gramStart"/>
            <w:r w:rsidRPr="00455A75">
              <w:t>β-diversity</w:t>
            </w:r>
            <w:proofErr w:type="gramEnd"/>
            <w:r w:rsidRPr="00455A75">
              <w:t>: D</w:t>
            </w:r>
            <w:r w:rsidRPr="00455A75">
              <w:rPr>
                <w:rFonts w:eastAsia="Calibri"/>
                <w:color w:val="000000" w:themeColor="text1"/>
                <w:lang w:eastAsia="en-GB"/>
              </w:rPr>
              <w:t xml:space="preserve">istinctly different </w:t>
            </w:r>
            <w:r w:rsidRPr="00455A75">
              <w:rPr>
                <w:rFonts w:eastAsia="Calibri"/>
                <w:lang w:eastAsia="en-GB"/>
              </w:rPr>
              <w:t>clusters were seen after the intervention.</w:t>
            </w:r>
          </w:p>
          <w:p w:rsidRPr="00455A75" w:rsidR="00681493" w:rsidP="00681493" w:rsidRDefault="00681493" w14:paraId="39776A0D" w14:textId="77777777">
            <w:pPr>
              <w:spacing w:before="60" w:after="60"/>
              <w:contextualSpacing/>
            </w:pPr>
          </w:p>
        </w:tc>
      </w:tr>
      <w:tr w:rsidRPr="00455A75" w:rsidR="00681493" w:rsidTr="00681493" w14:paraId="290730CA" w14:textId="77777777">
        <w:trPr>
          <w:jc w:val="center"/>
        </w:trPr>
        <w:tc>
          <w:tcPr>
            <w:tcW w:w="1346" w:type="dxa"/>
            <w:gridSpan w:val="2"/>
            <w:tcBorders>
              <w:top w:val="single" w:color="auto" w:sz="4" w:space="0"/>
              <w:left w:val="nil"/>
              <w:bottom w:val="single" w:color="auto" w:sz="4" w:space="0"/>
              <w:right w:val="nil"/>
            </w:tcBorders>
          </w:tcPr>
          <w:p w:rsidRPr="00455A75" w:rsidR="00681493" w:rsidP="00681493" w:rsidRDefault="00681493" w14:paraId="7E08906A" w14:textId="161BA05F">
            <w:pPr>
              <w:spacing w:before="60" w:after="60"/>
              <w:contextualSpacing/>
            </w:pPr>
            <w:proofErr w:type="spellStart"/>
            <w:r>
              <w:lastRenderedPageBreak/>
              <w:t>Munukka</w:t>
            </w:r>
            <w:proofErr w:type="spellEnd"/>
            <w:r>
              <w:t xml:space="preserve"> et al.</w:t>
            </w:r>
            <w:r w:rsidR="002E53E3">
              <w:t>,</w:t>
            </w:r>
            <w:r>
              <w:t xml:space="preserve"> 2018</w:t>
            </w:r>
            <w:r w:rsidRPr="00455A75">
              <w:fldChar w:fldCharType="begin" w:fldLock="1"/>
            </w:r>
            <w:r>
              <w:instrText>ADDIN CSL_CITATION {"citationItems":[{"id":"ITEM-1","itemData":{"DOI":"10.3389/fmicb.2018.02323","ISSN":"1664-302X","PMID":"30337914","author":[{"dropping-particle":"","family":"Munukka","given":"Eveliina","non-dropping-particle":"","parse-names":false,"suffix":""},{"dropping-particle":"","family":"Ahtiainen","given":"Juha P.","non-dropping-particle":"","parse-names":false,"suffix":""},{"dropping-particle":"","family":"Puigbó","given":"Pere","non-dropping-particle":"","parse-names":false,"suffix":""},{"dropping-particle":"","family":"Jalkanen","given":"Sirpa","non-dropping-particle":"","parse-names":false,"suffix":""},{"dropping-particle":"","family":"Pahkala","given":"Katja","non-dropping-particle":"","parse-names":false,"suffix":""},{"dropping-particle":"","family":"Keskitalo","given":"Anniina","non-dropping-particle":"","parse-names":false,"suffix":""},{"dropping-particle":"","family":"Kujala","given":"Urho M.","non-dropping-particle":"","parse-names":false,"suffix":""},{"dropping-particle":"","family":"Pietilä","given":"Sami","non-dropping-particle":"","parse-names":false,"suffix":""},{"dropping-particle":"","family":"Hollmén","given":"Maija","non-dropping-particle":"","parse-names":false,"suffix":""},{"dropping-particle":"","family":"Elo","given":"Laura","non-dropping-particle":"","parse-names":false,"suffix":""},{"dropping-particle":"","family":"Huovinen","given":"Pentti","non-dropping-particle":"","parse-names":false,"suffix":""},{"dropping-particle":"","family":"D'Auria","given":"Giuseppe","non-dropping-particle":"","parse-names":false,"suffix":""},{"dropping-particle":"","family":"Pekkala","given":"Satu","non-dropping-particle":"","parse-names":false,"suffix":""}],"container-title":"Frontiers in Microbiology","id":"ITEM-1","issue":"October","issued":{"date-parts":[["2018"]]},"title":"Six-Week Endurance Exercise Alters Gut Metagenome That Is not Reflected in Systemic Metabolism in Over-weight Women","type":"article-journal","volume":"9"},"uris":["http://www.mendeley.com/documents/?uuid=ac9254ba-14a4-4f26-8125-a8cf2c68d422"]}],"mendeley":{"formattedCitation":"(29)","plainTextFormattedCitation":"(29)","previouslyFormattedCitation":"(29)"},"properties":{"noteIndex":0},"schema":"https://github.com/citation-style-language/schema/raw/master/csl-citation.json"}</w:instrText>
            </w:r>
            <w:r w:rsidRPr="00455A75">
              <w:fldChar w:fldCharType="separate"/>
            </w:r>
            <w:r w:rsidRPr="003651E8">
              <w:rPr>
                <w:noProof/>
              </w:rPr>
              <w:t>(29)</w:t>
            </w:r>
            <w:r w:rsidRPr="00455A75">
              <w:fldChar w:fldCharType="end"/>
            </w:r>
          </w:p>
          <w:p w:rsidRPr="00455A75" w:rsidR="00681493" w:rsidP="00681493" w:rsidRDefault="00681493" w14:paraId="29993137" w14:textId="77777777">
            <w:pPr>
              <w:spacing w:before="60" w:after="60"/>
              <w:contextualSpacing/>
            </w:pPr>
          </w:p>
        </w:tc>
        <w:tc>
          <w:tcPr>
            <w:tcW w:w="2157" w:type="dxa"/>
            <w:tcBorders>
              <w:top w:val="single" w:color="auto" w:sz="4" w:space="0"/>
              <w:left w:val="nil"/>
              <w:bottom w:val="single" w:color="auto" w:sz="4" w:space="0"/>
              <w:right w:val="nil"/>
            </w:tcBorders>
          </w:tcPr>
          <w:p w:rsidRPr="00455A75" w:rsidR="00681493" w:rsidP="00681493" w:rsidRDefault="00681493" w14:paraId="7501C473" w14:textId="77777777">
            <w:pPr>
              <w:spacing w:before="60" w:after="60"/>
              <w:contextualSpacing/>
            </w:pPr>
            <w:r w:rsidRPr="00455A75">
              <w:t>N=17 women (36.8±3.9 years and 31.8±4.4 kg/m</w:t>
            </w:r>
            <w:r w:rsidRPr="00455A75">
              <w:rPr>
                <w:color w:val="000000" w:themeColor="text1"/>
                <w:vertAlign w:val="superscript"/>
              </w:rPr>
              <w:t>2</w:t>
            </w:r>
            <w:r w:rsidRPr="00455A75">
              <w:t>)</w:t>
            </w:r>
          </w:p>
        </w:tc>
        <w:tc>
          <w:tcPr>
            <w:tcW w:w="3233" w:type="dxa"/>
            <w:tcBorders>
              <w:top w:val="single" w:color="auto" w:sz="4" w:space="0"/>
              <w:left w:val="nil"/>
              <w:bottom w:val="single" w:color="auto" w:sz="4" w:space="0"/>
              <w:right w:val="nil"/>
            </w:tcBorders>
          </w:tcPr>
          <w:p w:rsidRPr="00455A75" w:rsidR="00681493" w:rsidP="00681493" w:rsidRDefault="00681493" w14:paraId="5FDA55D4" w14:textId="77777777">
            <w:pPr>
              <w:spacing w:before="60" w:after="60"/>
              <w:contextualSpacing/>
            </w:pPr>
            <w:r w:rsidRPr="00455A75">
              <w:t>6 weeks of endurance training (cycling) 3d/</w:t>
            </w:r>
            <w:proofErr w:type="spellStart"/>
            <w:r w:rsidRPr="00455A75">
              <w:t>wk</w:t>
            </w:r>
            <w:proofErr w:type="spellEnd"/>
            <w:r w:rsidRPr="00455A75">
              <w:t xml:space="preserve"> 30-60min/d low-moderate intensity.  </w:t>
            </w:r>
          </w:p>
          <w:p w:rsidRPr="00455A75" w:rsidR="00681493" w:rsidP="00681493" w:rsidRDefault="00681493" w14:paraId="561B8F24" w14:textId="77777777">
            <w:pPr>
              <w:pStyle w:val="Prrafodelista"/>
              <w:numPr>
                <w:ilvl w:val="0"/>
                <w:numId w:val="37"/>
              </w:numPr>
              <w:spacing w:before="60" w:after="60" w:line="240" w:lineRule="auto"/>
              <w:rPr>
                <w:rFonts w:ascii="Times New Roman" w:hAnsi="Times New Roman" w:cs="Times New Roman"/>
              </w:rPr>
            </w:pPr>
            <w:r w:rsidRPr="00455A75">
              <w:rPr>
                <w:rFonts w:ascii="Times New Roman" w:hAnsi="Times New Roman" w:cs="Times New Roman"/>
              </w:rPr>
              <w:t xml:space="preserve">Weeks 1– 2: 3 sets x40min steady-state cycling at low intensity </w:t>
            </w:r>
          </w:p>
          <w:p w:rsidRPr="00455A75" w:rsidR="00681493" w:rsidP="00681493" w:rsidRDefault="00681493" w14:paraId="7A4F2BD8" w14:textId="77777777">
            <w:pPr>
              <w:pStyle w:val="Prrafodelista"/>
              <w:numPr>
                <w:ilvl w:val="0"/>
                <w:numId w:val="37"/>
              </w:numPr>
              <w:spacing w:before="60" w:after="60" w:line="240" w:lineRule="auto"/>
              <w:rPr>
                <w:rFonts w:ascii="Times New Roman" w:hAnsi="Times New Roman" w:cs="Times New Roman"/>
              </w:rPr>
            </w:pPr>
            <w:r w:rsidRPr="00455A75">
              <w:rPr>
                <w:rFonts w:ascii="Times New Roman" w:hAnsi="Times New Roman" w:cs="Times New Roman"/>
              </w:rPr>
              <w:t>Weeks 3–4: 3x50min</w:t>
            </w:r>
          </w:p>
          <w:p w:rsidRPr="00455A75" w:rsidR="00681493" w:rsidP="00681493" w:rsidRDefault="00681493" w14:paraId="4A520085" w14:textId="77777777">
            <w:pPr>
              <w:pStyle w:val="Prrafodelista"/>
              <w:numPr>
                <w:ilvl w:val="1"/>
                <w:numId w:val="37"/>
              </w:numPr>
              <w:spacing w:before="60" w:after="60" w:line="240" w:lineRule="auto"/>
              <w:rPr>
                <w:rFonts w:ascii="Times New Roman" w:hAnsi="Times New Roman" w:cs="Times New Roman"/>
              </w:rPr>
            </w:pPr>
            <w:r w:rsidRPr="00455A75">
              <w:rPr>
                <w:rFonts w:ascii="Times New Roman" w:hAnsi="Times New Roman" w:cs="Times New Roman"/>
              </w:rPr>
              <w:t xml:space="preserve">3x10-min moderate intensity </w:t>
            </w:r>
          </w:p>
          <w:p w:rsidRPr="00455A75" w:rsidR="00681493" w:rsidP="00681493" w:rsidRDefault="00681493" w14:paraId="46EABC51" w14:textId="77777777">
            <w:pPr>
              <w:pStyle w:val="Prrafodelista"/>
              <w:numPr>
                <w:ilvl w:val="1"/>
                <w:numId w:val="37"/>
              </w:numPr>
              <w:spacing w:before="60" w:after="60" w:line="240" w:lineRule="auto"/>
              <w:rPr>
                <w:rFonts w:ascii="Times New Roman" w:hAnsi="Times New Roman" w:cs="Times New Roman"/>
              </w:rPr>
            </w:pPr>
            <w:r w:rsidRPr="00455A75">
              <w:rPr>
                <w:rFonts w:ascii="Times New Roman" w:hAnsi="Times New Roman" w:cs="Times New Roman"/>
              </w:rPr>
              <w:t xml:space="preserve">Rest, low intensity </w:t>
            </w:r>
          </w:p>
          <w:p w:rsidRPr="00455A75" w:rsidR="00681493" w:rsidP="00681493" w:rsidRDefault="00681493" w14:paraId="36474CA3" w14:textId="77777777">
            <w:pPr>
              <w:pStyle w:val="Prrafodelista"/>
              <w:spacing w:before="60" w:after="60"/>
              <w:rPr>
                <w:rFonts w:ascii="Times New Roman" w:hAnsi="Times New Roman" w:cs="Times New Roman"/>
              </w:rPr>
            </w:pPr>
            <w:r w:rsidRPr="00455A75">
              <w:rPr>
                <w:rFonts w:ascii="Times New Roman" w:hAnsi="Times New Roman" w:cs="Times New Roman"/>
              </w:rPr>
              <w:t xml:space="preserve">Weeks 5–6: 60min </w:t>
            </w:r>
          </w:p>
          <w:p w:rsidRPr="00455A75" w:rsidR="00681493" w:rsidP="00681493" w:rsidRDefault="00681493" w14:paraId="6853E18E" w14:textId="77777777">
            <w:pPr>
              <w:pStyle w:val="Prrafodelista"/>
              <w:numPr>
                <w:ilvl w:val="1"/>
                <w:numId w:val="37"/>
              </w:numPr>
              <w:spacing w:before="60" w:after="60" w:line="240" w:lineRule="auto"/>
              <w:rPr>
                <w:rFonts w:ascii="Times New Roman" w:hAnsi="Times New Roman" w:cs="Times New Roman"/>
              </w:rPr>
            </w:pPr>
            <w:r w:rsidRPr="00455A75">
              <w:rPr>
                <w:rFonts w:ascii="Times New Roman" w:hAnsi="Times New Roman" w:cs="Times New Roman"/>
              </w:rPr>
              <w:t xml:space="preserve">4x10-min at moderate intensity </w:t>
            </w:r>
          </w:p>
          <w:p w:rsidRPr="00455A75" w:rsidR="00681493" w:rsidP="00681493" w:rsidRDefault="00681493" w14:paraId="7500E457" w14:textId="77777777">
            <w:pPr>
              <w:pStyle w:val="Prrafodelista"/>
              <w:numPr>
                <w:ilvl w:val="1"/>
                <w:numId w:val="37"/>
              </w:numPr>
              <w:spacing w:before="60" w:after="60" w:line="240" w:lineRule="auto"/>
              <w:rPr>
                <w:rFonts w:ascii="Times New Roman" w:hAnsi="Times New Roman" w:cs="Times New Roman"/>
              </w:rPr>
            </w:pPr>
            <w:r w:rsidRPr="00455A75">
              <w:rPr>
                <w:rFonts w:ascii="Times New Roman" w:hAnsi="Times New Roman" w:cs="Times New Roman"/>
              </w:rPr>
              <w:t xml:space="preserve">Rest, low intensity </w:t>
            </w:r>
          </w:p>
        </w:tc>
        <w:tc>
          <w:tcPr>
            <w:tcW w:w="1624" w:type="dxa"/>
            <w:tcBorders>
              <w:top w:val="single" w:color="auto" w:sz="4" w:space="0"/>
              <w:left w:val="nil"/>
              <w:bottom w:val="single" w:color="auto" w:sz="4" w:space="0"/>
              <w:right w:val="nil"/>
            </w:tcBorders>
          </w:tcPr>
          <w:p w:rsidRPr="00455A75" w:rsidR="00681493" w:rsidP="00681493" w:rsidRDefault="00681493" w14:paraId="3E44E30E" w14:textId="77777777">
            <w:pPr>
              <w:spacing w:before="60" w:after="60"/>
              <w:contextualSpacing/>
              <w:rPr>
                <w:rFonts w:eastAsia="Calibri"/>
                <w:lang w:eastAsia="en-GB"/>
              </w:rPr>
            </w:pPr>
            <w:r w:rsidRPr="00455A75">
              <w:t>Standardized diet: No</w:t>
            </w:r>
            <w:r w:rsidRPr="00455A75">
              <w:rPr>
                <w:rFonts w:eastAsia="Calibri"/>
                <w:lang w:eastAsia="en-GB"/>
              </w:rPr>
              <w:t xml:space="preserve"> </w:t>
            </w:r>
          </w:p>
          <w:p w:rsidRPr="00455A75" w:rsidR="00681493" w:rsidP="00681493" w:rsidRDefault="00681493" w14:paraId="73C756E4" w14:textId="77777777">
            <w:pPr>
              <w:spacing w:before="60" w:after="60"/>
              <w:contextualSpacing/>
              <w:rPr>
                <w:rFonts w:eastAsia="Calibri"/>
                <w:lang w:eastAsia="en-GB"/>
              </w:rPr>
            </w:pPr>
          </w:p>
          <w:p w:rsidRPr="00455A75" w:rsidR="00681493" w:rsidP="00681493" w:rsidRDefault="00681493" w14:paraId="415D5B9E" w14:textId="77777777">
            <w:pPr>
              <w:spacing w:before="60" w:after="60"/>
              <w:contextualSpacing/>
              <w:rPr>
                <w:rFonts w:eastAsia="Calibri"/>
                <w:lang w:eastAsia="en-GB"/>
              </w:rPr>
            </w:pPr>
            <w:r w:rsidRPr="00455A75">
              <w:rPr>
                <w:rFonts w:eastAsia="Calibri"/>
                <w:lang w:eastAsia="en-GB"/>
              </w:rPr>
              <w:t>Adjusted for diet:  Yes (</w:t>
            </w:r>
            <w:r w:rsidRPr="00455A75">
              <w:t>fat %, energy %, fiber %, sucrose % by 3 days food records).</w:t>
            </w:r>
          </w:p>
        </w:tc>
        <w:tc>
          <w:tcPr>
            <w:tcW w:w="1276" w:type="dxa"/>
            <w:tcBorders>
              <w:top w:val="single" w:color="auto" w:sz="4" w:space="0"/>
              <w:left w:val="nil"/>
              <w:bottom w:val="single" w:color="auto" w:sz="4" w:space="0"/>
              <w:right w:val="nil"/>
            </w:tcBorders>
          </w:tcPr>
          <w:p w:rsidRPr="00455A75" w:rsidR="00681493" w:rsidP="00681493" w:rsidRDefault="00681493" w14:paraId="3590A0BA" w14:textId="77777777">
            <w:pPr>
              <w:spacing w:before="60" w:after="60"/>
              <w:contextualSpacing/>
              <w:rPr>
                <w:rFonts w:eastAsia="Calibri"/>
                <w:lang w:eastAsia="en-GB"/>
              </w:rPr>
            </w:pPr>
            <w:r w:rsidRPr="00455A75">
              <w:t>2 samples: baseline and post- exercise training</w:t>
            </w:r>
          </w:p>
        </w:tc>
        <w:tc>
          <w:tcPr>
            <w:tcW w:w="1559" w:type="dxa"/>
            <w:tcBorders>
              <w:top w:val="single" w:color="auto" w:sz="4" w:space="0"/>
              <w:left w:val="nil"/>
              <w:bottom w:val="single" w:color="auto" w:sz="4" w:space="0"/>
              <w:right w:val="nil"/>
            </w:tcBorders>
          </w:tcPr>
          <w:p w:rsidRPr="00455A75" w:rsidR="00681493" w:rsidP="00681493" w:rsidRDefault="00681493" w14:paraId="0872E1BB" w14:textId="77777777">
            <w:pPr>
              <w:spacing w:before="60" w:after="60"/>
              <w:contextualSpacing/>
            </w:pPr>
            <w:r>
              <w:t xml:space="preserve">qPCR:  </w:t>
            </w:r>
            <w:proofErr w:type="spellStart"/>
            <w:r>
              <w:t>MyS</w:t>
            </w:r>
            <w:r w:rsidRPr="00455A75">
              <w:t>eq</w:t>
            </w:r>
            <w:proofErr w:type="spellEnd"/>
            <w:r w:rsidRPr="00455A75">
              <w:t xml:space="preserve"> Illumina </w:t>
            </w:r>
          </w:p>
          <w:p w:rsidRPr="00455A75" w:rsidR="00681493" w:rsidP="00681493" w:rsidRDefault="00681493" w14:paraId="3A4A7476" w14:textId="77777777">
            <w:pPr>
              <w:spacing w:before="60" w:after="60"/>
              <w:contextualSpacing/>
            </w:pPr>
            <w:r w:rsidRPr="00455A75">
              <w:t xml:space="preserve">Software: QIIME </w:t>
            </w:r>
          </w:p>
          <w:p w:rsidRPr="00455A75" w:rsidR="00681493" w:rsidP="00681493" w:rsidRDefault="00681493" w14:paraId="5562AF2E" w14:textId="77777777">
            <w:pPr>
              <w:spacing w:before="60" w:after="60"/>
              <w:contextualSpacing/>
            </w:pPr>
            <w:r w:rsidRPr="00455A75">
              <w:t>Reference DB: SILVA</w:t>
            </w:r>
          </w:p>
          <w:p w:rsidRPr="00455A75" w:rsidR="00681493" w:rsidP="00681493" w:rsidRDefault="00681493" w14:paraId="45E74928" w14:textId="77777777">
            <w:pPr>
              <w:spacing w:before="60" w:after="60"/>
              <w:contextualSpacing/>
            </w:pPr>
            <w:r w:rsidRPr="00455A75">
              <w:t>Outcome: OTU</w:t>
            </w:r>
          </w:p>
        </w:tc>
        <w:tc>
          <w:tcPr>
            <w:tcW w:w="4786" w:type="dxa"/>
            <w:tcBorders>
              <w:top w:val="single" w:color="auto" w:sz="4" w:space="0"/>
              <w:left w:val="nil"/>
              <w:bottom w:val="single" w:color="auto" w:sz="4" w:space="0"/>
              <w:right w:val="nil"/>
            </w:tcBorders>
          </w:tcPr>
          <w:p w:rsidRPr="00455A75" w:rsidR="00681493" w:rsidP="00681493" w:rsidRDefault="00681493" w14:paraId="54EE6E61" w14:textId="77777777">
            <w:pPr>
              <w:spacing w:before="60" w:after="60"/>
              <w:contextualSpacing/>
            </w:pPr>
            <w:r w:rsidRPr="00455A75">
              <w:t>Statistical analysis: General linear model</w:t>
            </w:r>
          </w:p>
          <w:p w:rsidRPr="00455A75" w:rsidR="00681493" w:rsidP="00681493" w:rsidRDefault="00681493" w14:paraId="5A0D59D3" w14:textId="77777777">
            <w:pPr>
              <w:spacing w:before="60" w:after="60"/>
              <w:contextualSpacing/>
              <w:rPr>
                <w:color w:val="92D050"/>
              </w:rPr>
            </w:pPr>
            <w:r w:rsidRPr="00455A75">
              <w:t>α-diversity: there was no difference after exercise training</w:t>
            </w:r>
            <w:r w:rsidRPr="00455A75">
              <w:rPr>
                <w:color w:val="92D050"/>
              </w:rPr>
              <w:t xml:space="preserve"> </w:t>
            </w:r>
          </w:p>
          <w:p w:rsidRPr="00455A75" w:rsidR="00681493" w:rsidP="00681493" w:rsidRDefault="00681493" w14:paraId="4D3BE4A5" w14:textId="77777777">
            <w:pPr>
              <w:spacing w:before="60" w:after="60"/>
              <w:contextualSpacing/>
            </w:pPr>
            <w:r w:rsidRPr="00455A75">
              <w:rPr>
                <w:rFonts w:eastAsia="Calibri"/>
                <w:b/>
                <w:lang w:eastAsia="en-GB"/>
              </w:rPr>
              <w:t>↑</w:t>
            </w:r>
            <w:r w:rsidRPr="00455A75">
              <w:t xml:space="preserve"> β-diversity after exercise at the genus level</w:t>
            </w:r>
          </w:p>
          <w:p w:rsidRPr="00455A75" w:rsidR="00681493" w:rsidP="00681493" w:rsidRDefault="00681493" w14:paraId="0DBF647D" w14:textId="77777777">
            <w:pPr>
              <w:spacing w:before="60" w:after="60"/>
              <w:contextualSpacing/>
            </w:pPr>
            <w:r w:rsidRPr="00455A75">
              <w:t xml:space="preserve">After training vs baseline: </w:t>
            </w:r>
          </w:p>
          <w:p w:rsidRPr="00455A75" w:rsidR="00681493" w:rsidP="00681493" w:rsidRDefault="00681493" w14:paraId="027EBB06" w14:textId="77777777">
            <w:pPr>
              <w:pStyle w:val="Prrafodelista"/>
              <w:numPr>
                <w:ilvl w:val="0"/>
                <w:numId w:val="35"/>
              </w:numPr>
              <w:spacing w:before="60" w:after="60" w:line="240" w:lineRule="auto"/>
              <w:rPr>
                <w:rFonts w:ascii="Times New Roman" w:hAnsi="Times New Roman" w:cs="Times New Roman"/>
              </w:rPr>
            </w:pPr>
            <w:r w:rsidRPr="00455A75">
              <w:rPr>
                <w:rFonts w:ascii="Times New Roman" w:hAnsi="Times New Roman" w:cs="Times New Roman"/>
              </w:rPr>
              <w:t>Phylum</w:t>
            </w:r>
          </w:p>
          <w:p w:rsidRPr="00455A75" w:rsidR="00681493" w:rsidP="00681493" w:rsidRDefault="00681493" w14:paraId="52D97DB7" w14:textId="77777777">
            <w:pPr>
              <w:pStyle w:val="Prrafodelista"/>
              <w:numPr>
                <w:ilvl w:val="1"/>
                <w:numId w:val="35"/>
              </w:numPr>
              <w:spacing w:before="60" w:after="60" w:line="240" w:lineRule="auto"/>
              <w:ind w:left="1452"/>
              <w:rPr>
                <w:rFonts w:ascii="Times New Roman" w:hAnsi="Times New Roman" w:cs="Times New Roman"/>
                <w:i/>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cs="Times New Roman"/>
              </w:rPr>
              <w:t xml:space="preserve"> </w:t>
            </w:r>
            <w:proofErr w:type="spellStart"/>
            <w:r w:rsidRPr="00455A75">
              <w:rPr>
                <w:rFonts w:ascii="Times New Roman" w:hAnsi="Times New Roman" w:cs="Times New Roman"/>
                <w:i/>
              </w:rPr>
              <w:t>Proteobacteria</w:t>
            </w:r>
            <w:proofErr w:type="spellEnd"/>
            <w:r w:rsidRPr="00455A75">
              <w:rPr>
                <w:rFonts w:ascii="Times New Roman" w:hAnsi="Times New Roman" w:cs="Times New Roman"/>
                <w:i/>
              </w:rPr>
              <w:t xml:space="preserve"> </w:t>
            </w:r>
          </w:p>
          <w:p w:rsidRPr="00455A75" w:rsidR="00681493" w:rsidP="00681493" w:rsidRDefault="00681493" w14:paraId="7CB8B995" w14:textId="77777777">
            <w:pPr>
              <w:pStyle w:val="Prrafodelista"/>
              <w:numPr>
                <w:ilvl w:val="1"/>
                <w:numId w:val="35"/>
              </w:numPr>
              <w:spacing w:before="60" w:after="60" w:line="240" w:lineRule="auto"/>
              <w:ind w:left="1452"/>
              <w:rPr>
                <w:rFonts w:ascii="Times New Roman" w:hAnsi="Times New Roman" w:cs="Times New Roman"/>
                <w:i/>
              </w:rPr>
            </w:pPr>
            <w:r w:rsidRPr="00455A75">
              <w:rPr>
                <w:rFonts w:ascii="Times New Roman" w:hAnsi="Times New Roman" w:eastAsia="Calibri" w:cs="Times New Roman"/>
                <w:b/>
                <w:i/>
                <w:sz w:val="24"/>
                <w:lang w:eastAsia="en-GB"/>
              </w:rPr>
              <w:t>↑</w:t>
            </w:r>
            <w:r w:rsidRPr="00455A75">
              <w:rPr>
                <w:rFonts w:ascii="Times New Roman" w:hAnsi="Times New Roman" w:cs="Times New Roman"/>
                <w:i/>
              </w:rPr>
              <w:t xml:space="preserve"> </w:t>
            </w:r>
            <w:proofErr w:type="spellStart"/>
            <w:r w:rsidRPr="00455A75">
              <w:rPr>
                <w:rFonts w:ascii="Times New Roman" w:hAnsi="Times New Roman" w:cs="Times New Roman"/>
                <w:i/>
              </w:rPr>
              <w:t>Verrucomicrobia</w:t>
            </w:r>
            <w:proofErr w:type="spellEnd"/>
            <w:r w:rsidRPr="00455A75">
              <w:rPr>
                <w:rFonts w:ascii="Times New Roman" w:hAnsi="Times New Roman" w:cs="Times New Roman"/>
                <w:i/>
              </w:rPr>
              <w:t xml:space="preserve"> </w:t>
            </w:r>
          </w:p>
          <w:p w:rsidRPr="00455A75" w:rsidR="00681493" w:rsidP="00681493" w:rsidRDefault="00681493" w14:paraId="55B493BF" w14:textId="77777777">
            <w:pPr>
              <w:pStyle w:val="Prrafodelista"/>
              <w:numPr>
                <w:ilvl w:val="0"/>
                <w:numId w:val="35"/>
              </w:numPr>
              <w:spacing w:before="60" w:after="60" w:line="240" w:lineRule="auto"/>
              <w:rPr>
                <w:rFonts w:ascii="Times New Roman" w:hAnsi="Times New Roman" w:cs="Times New Roman"/>
              </w:rPr>
            </w:pPr>
            <w:r w:rsidRPr="00455A75">
              <w:rPr>
                <w:rFonts w:ascii="Times New Roman" w:hAnsi="Times New Roman" w:cs="Times New Roman"/>
              </w:rPr>
              <w:t xml:space="preserve">Family  </w:t>
            </w:r>
          </w:p>
          <w:p w:rsidRPr="00455A75" w:rsidR="00681493" w:rsidP="00681493" w:rsidRDefault="00681493" w14:paraId="0B94E1BA" w14:textId="77777777">
            <w:pPr>
              <w:pStyle w:val="Prrafodelista"/>
              <w:numPr>
                <w:ilvl w:val="1"/>
                <w:numId w:val="34"/>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5632FD">
              <w:rPr>
                <w:rFonts w:ascii="Times New Roman" w:hAnsi="Times New Roman" w:cs="Times New Roman"/>
                <w:i/>
              </w:rPr>
              <w:t>Verrucomicrobiaceae</w:t>
            </w:r>
            <w:proofErr w:type="spellEnd"/>
            <w:r w:rsidRPr="00455A75">
              <w:rPr>
                <w:rFonts w:ascii="Times New Roman" w:hAnsi="Times New Roman" w:cs="Times New Roman"/>
              </w:rPr>
              <w:t xml:space="preserve"> </w:t>
            </w:r>
          </w:p>
          <w:p w:rsidRPr="00455A75" w:rsidR="00681493" w:rsidP="00681493" w:rsidRDefault="00681493" w14:paraId="69A46027"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 xml:space="preserve">Genus </w:t>
            </w:r>
          </w:p>
          <w:p w:rsidRPr="00455A75" w:rsidR="00681493" w:rsidP="00681493" w:rsidRDefault="00681493" w14:paraId="6209B239" w14:textId="77777777">
            <w:pPr>
              <w:pStyle w:val="Prrafodelista"/>
              <w:numPr>
                <w:ilvl w:val="1"/>
                <w:numId w:val="34"/>
              </w:numPr>
              <w:spacing w:before="60" w:after="60" w:line="240" w:lineRule="auto"/>
              <w:rPr>
                <w:rFonts w:ascii="Times New Roman" w:hAnsi="Times New Roman" w:cs="Times New Roman"/>
              </w:rPr>
            </w:pPr>
            <w:r w:rsidRPr="00455A75">
              <w:rPr>
                <w:rFonts w:ascii="Times New Roman" w:hAnsi="Times New Roman" w:eastAsia="Calibri" w:cs="Times New Roman"/>
                <w:b/>
                <w:sz w:val="24"/>
                <w:lang w:eastAsia="en-GB"/>
              </w:rPr>
              <w:t>↑</w:t>
            </w:r>
            <w:r w:rsidRPr="00455A75">
              <w:rPr>
                <w:rFonts w:ascii="Times New Roman" w:hAnsi="Times New Roman" w:cs="Times New Roman"/>
              </w:rPr>
              <w:t xml:space="preserve"> </w:t>
            </w:r>
            <w:proofErr w:type="spellStart"/>
            <w:r w:rsidRPr="00455A75">
              <w:rPr>
                <w:rFonts w:ascii="Times New Roman" w:hAnsi="Times New Roman" w:cs="Times New Roman"/>
                <w:i/>
              </w:rPr>
              <w:t>Akkermansia</w:t>
            </w:r>
            <w:proofErr w:type="spellEnd"/>
            <w:r w:rsidRPr="00455A75">
              <w:rPr>
                <w:rFonts w:ascii="Times New Roman" w:hAnsi="Times New Roman" w:cs="Times New Roman"/>
                <w:i/>
              </w:rPr>
              <w:t xml:space="preserve"> </w:t>
            </w:r>
          </w:p>
        </w:tc>
      </w:tr>
      <w:tr w:rsidRPr="00455A75" w:rsidR="00681493" w:rsidTr="00681493" w14:paraId="48DF1E3B" w14:textId="77777777">
        <w:trPr>
          <w:jc w:val="center"/>
        </w:trPr>
        <w:tc>
          <w:tcPr>
            <w:tcW w:w="1346" w:type="dxa"/>
            <w:gridSpan w:val="2"/>
            <w:tcBorders>
              <w:top w:val="single" w:color="auto" w:sz="4" w:space="0"/>
              <w:left w:val="nil"/>
              <w:bottom w:val="single" w:color="auto" w:sz="4" w:space="0"/>
              <w:right w:val="nil"/>
            </w:tcBorders>
          </w:tcPr>
          <w:p w:rsidRPr="00455A75" w:rsidR="00681493" w:rsidP="00681493" w:rsidRDefault="00681493" w14:paraId="13E7876F" w14:textId="77777777">
            <w:pPr>
              <w:spacing w:before="60" w:after="60"/>
              <w:contextualSpacing/>
            </w:pPr>
            <w:r>
              <w:rPr>
                <w:rFonts w:eastAsia="Calibri"/>
                <w:lang w:eastAsia="en-GB"/>
              </w:rPr>
              <w:t>Morita et al., 2019</w:t>
            </w:r>
            <w:r w:rsidRPr="00455A75">
              <w:rPr>
                <w:rFonts w:eastAsia="Calibri"/>
                <w:lang w:eastAsia="en-GB"/>
              </w:rPr>
              <w:fldChar w:fldCharType="begin" w:fldLock="1"/>
            </w:r>
            <w:r>
              <w:rPr>
                <w:rFonts w:eastAsia="Calibri"/>
                <w:lang w:eastAsia="en-GB"/>
              </w:rPr>
              <w:instrText>ADDIN CSL_CITATION {"citationItems":[{"id":"ITEM-1","itemData":{"DOI":"10.3390/nu11040868","ISSN":"2072-6643","abstract":"&lt;p&gt;This study examined the effect of an exercise intervention on the composition of the intestinal microbiota in healthy elderly women. Thirty-two sedentary women that were aged 65 years and older participated in a 12-week, non-randomized comparative trial. The subjects were allocated to two groups receiving different exercise interventions, trunk muscle training (TM), or aerobic exercise training (AE). AE included brisk walking, i.e., at an intensity of ≥ 3 metabolic equivalents (METs). The composition of the intestinal microbiota in fecal samples was determined before and after the training period. We also assessed the daily physical activity using an accelerometer, trunk muscle strength by the modified Kraus–Weber (K-W) test, and cardiorespiratory fitness by a 6-min. walk test (6MWT). K-W test scores and distance achieved during the 6MWT (6MWD) improved in both groups. The relative abundance of intestinal Bacteroides only significantly increased in the AE group, particularly in subjects showing increases in the time spent in brisk walking. Overall, the increases in intestinal Bacteroides following the exercise intervention were associated with increases in 6MWD. In conclusion, aerobic exercise training that targets an increase of the time spent in brisk walking may increase intestinal Bacteroides in association with improved cardiorespiratory fitness in healthy elderly women.&lt;/p&gt;","author":[{"dropping-particle":"","family":"Morita","given":"","non-dropping-particle":"","parse-names":false,"suffix":""},{"dropping-particle":"","family":"Yokoyama","given":"","non-dropping-particle":"","parse-names":false,"suffix":""},{"dropping-particle":"","family":"Imai","given":"","non-dropping-particle":"","parse-names":false,"suffix":""},{"dropping-particle":"","family":"Takeda","given":"","non-dropping-particle":"","parse-names":false,"suffix":""},{"dropping-particle":"","family":"Ota","given":"","non-dropping-particle":"","parse-names":false,"suffix":""},{"dropping-particle":"","family":"Kawai","given":"","non-dropping-particle":"","parse-names":false,"suffix":""},{"dropping-particle":"","family":"Hisada","given":"","non-dropping-particle":"","parse-names":false,"suffix":""},{"dropping-particle":"","family":"Emoto","given":"","non-dropping-particle":"","parse-names":false,"suffix":""},{"dropping-particle":"","family":"Suzuki","given":"","non-dropping-particle":"","parse-names":false,"suffix":""},{"dropping-particle":"","family":"Okazaki","given":"","non-dropping-particle":"","parse-names":false,"suffix":""}],"container-title":"Nutrients","id":"ITEM-1","issue":"4","issued":{"date-parts":[["2019"]]},"page":"868","title":"Aerobic Exercise Training with Brisk Walking Increases Intestinal Bacteroides in Healthy Elderly Women","type":"article-journal","volume":"11"},"uris":["http://www.mendeley.com/documents/?uuid=d61d24d4-6d45-400b-a32f-115d41514011"]}],"mendeley":{"formattedCitation":"(30)","plainTextFormattedCitation":"(30)","previouslyFormattedCitation":"(30)"},"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(30)</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34435CD4" w14:textId="77777777">
            <w:pPr>
              <w:spacing w:before="60" w:after="60"/>
              <w:contextualSpacing/>
              <w:rPr>
                <w:rFonts w:eastAsia="Calibri"/>
                <w:lang w:eastAsia="en-GB"/>
              </w:rPr>
            </w:pPr>
            <w:r w:rsidRPr="00455A75">
              <w:rPr>
                <w:rFonts w:eastAsia="Calibri"/>
                <w:lang w:eastAsia="en-GB"/>
              </w:rPr>
              <w:t xml:space="preserve">N=29 women </w:t>
            </w:r>
          </w:p>
          <w:p w:rsidRPr="00455A75" w:rsidR="00681493" w:rsidP="00681493" w:rsidRDefault="00681493" w14:paraId="174D1100" w14:textId="77777777">
            <w:pPr>
              <w:spacing w:before="60" w:after="60"/>
              <w:contextualSpacing/>
            </w:pPr>
          </w:p>
        </w:tc>
        <w:tc>
          <w:tcPr>
            <w:tcW w:w="3233" w:type="dxa"/>
            <w:tcBorders>
              <w:top w:val="single" w:color="auto" w:sz="4" w:space="0"/>
              <w:left w:val="nil"/>
              <w:bottom w:val="single" w:color="auto" w:sz="4" w:space="0"/>
              <w:right w:val="nil"/>
            </w:tcBorders>
          </w:tcPr>
          <w:p w:rsidRPr="00455A75" w:rsidR="00681493" w:rsidP="00681493" w:rsidRDefault="00681493" w14:paraId="0291FAA1" w14:textId="77777777">
            <w:pPr>
              <w:spacing w:before="60" w:after="60"/>
              <w:contextualSpacing/>
            </w:pPr>
            <w:r w:rsidRPr="00455A75">
              <w:t>Non-randomized intervention</w:t>
            </w:r>
          </w:p>
          <w:p w:rsidRPr="00455A75" w:rsidR="00681493" w:rsidP="00681493" w:rsidRDefault="00681493" w14:paraId="3548ACDC" w14:textId="77777777">
            <w:pPr>
              <w:spacing w:before="60" w:after="60"/>
              <w:contextualSpacing/>
            </w:pPr>
            <w:r w:rsidRPr="00455A75">
              <w:t>endurance group</w:t>
            </w:r>
          </w:p>
          <w:p w:rsidRPr="00455A75" w:rsidR="00681493" w:rsidP="00681493" w:rsidRDefault="00681493" w14:paraId="401C3A82" w14:textId="77777777">
            <w:pPr>
              <w:pStyle w:val="Prrafodelista"/>
              <w:numPr>
                <w:ilvl w:val="0"/>
                <w:numId w:val="40"/>
              </w:numPr>
              <w:spacing w:before="60" w:after="60" w:line="276" w:lineRule="auto"/>
              <w:rPr>
                <w:rFonts w:ascii="Times New Roman" w:hAnsi="Times New Roman" w:cs="Times New Roman"/>
              </w:rPr>
            </w:pPr>
            <w:r w:rsidRPr="00455A75">
              <w:rPr>
                <w:rFonts w:ascii="Times New Roman" w:hAnsi="Times New Roman" w:eastAsia="Calibri" w:cs="Times New Roman"/>
                <w:lang w:eastAsia="en-GB"/>
              </w:rPr>
              <w:t>N=17 (66-75 years; 18.9-23.1 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 xml:space="preserve">) </w:t>
            </w:r>
          </w:p>
          <w:p w:rsidRPr="00455A75" w:rsidR="00681493" w:rsidP="00681493" w:rsidRDefault="00681493" w14:paraId="15FD5BC1" w14:textId="77777777">
            <w:pPr>
              <w:pStyle w:val="Prrafodelista"/>
              <w:numPr>
                <w:ilvl w:val="0"/>
                <w:numId w:val="40"/>
              </w:numPr>
              <w:spacing w:before="60" w:after="60" w:line="240" w:lineRule="auto"/>
              <w:rPr>
                <w:rFonts w:ascii="Times New Roman" w:hAnsi="Times New Roman" w:cs="Times New Roman"/>
              </w:rPr>
            </w:pPr>
            <w:r w:rsidRPr="00455A75">
              <w:rPr>
                <w:rFonts w:ascii="Times New Roman" w:hAnsi="Times New Roman" w:cs="Times New Roman"/>
              </w:rPr>
              <w:t>7d/</w:t>
            </w:r>
            <w:proofErr w:type="spellStart"/>
            <w:r w:rsidRPr="00455A75">
              <w:rPr>
                <w:rFonts w:ascii="Times New Roman" w:hAnsi="Times New Roman" w:cs="Times New Roman"/>
              </w:rPr>
              <w:t>wk</w:t>
            </w:r>
            <w:proofErr w:type="spellEnd"/>
            <w:r w:rsidRPr="00455A75">
              <w:rPr>
                <w:rFonts w:ascii="Times New Roman" w:hAnsi="Times New Roman" w:cs="Times New Roman"/>
              </w:rPr>
              <w:t xml:space="preserve"> 60min/d 12 weeks brisk walking at an intensity of ≥ 3 metabolic equivalents (METs) as measured by accelerometer. </w:t>
            </w:r>
          </w:p>
          <w:p w:rsidRPr="00455A75" w:rsidR="00681493" w:rsidP="00681493" w:rsidRDefault="00681493" w14:paraId="33B5BC60" w14:textId="77777777">
            <w:pPr>
              <w:pStyle w:val="Prrafodelista"/>
              <w:numPr>
                <w:ilvl w:val="0"/>
                <w:numId w:val="40"/>
              </w:numPr>
              <w:spacing w:before="60" w:after="60" w:line="240" w:lineRule="auto"/>
              <w:rPr>
                <w:rFonts w:ascii="Times New Roman" w:hAnsi="Times New Roman" w:cs="Times New Roman"/>
              </w:rPr>
            </w:pPr>
            <w:r w:rsidRPr="00455A75">
              <w:rPr>
                <w:rFonts w:ascii="Times New Roman" w:hAnsi="Times New Roman" w:cs="Times New Roman"/>
              </w:rPr>
              <w:t xml:space="preserve">Increasing the intensity </w:t>
            </w:r>
            <w:r w:rsidRPr="00455A75">
              <w:rPr>
                <w:rFonts w:ascii="Times New Roman" w:hAnsi="Times New Roman" w:cs="Times New Roman"/>
              </w:rPr>
              <w:lastRenderedPageBreak/>
              <w:t xml:space="preserve">and duration as much as possible. </w:t>
            </w:r>
          </w:p>
          <w:p w:rsidRPr="00455A75" w:rsidR="00681493" w:rsidP="00681493" w:rsidRDefault="00681493" w14:paraId="5E0890BB" w14:textId="77777777">
            <w:pPr>
              <w:spacing w:before="60" w:after="60"/>
              <w:contextualSpacing/>
            </w:pPr>
            <w:r w:rsidRPr="00455A75">
              <w:t xml:space="preserve">Resistance group: </w:t>
            </w:r>
          </w:p>
          <w:p w:rsidRPr="00455A75" w:rsidR="00681493" w:rsidP="00681493" w:rsidRDefault="00681493" w14:paraId="09A53851" w14:textId="77777777">
            <w:pPr>
              <w:pStyle w:val="Prrafodelista"/>
              <w:numPr>
                <w:ilvl w:val="0"/>
                <w:numId w:val="40"/>
              </w:numPr>
              <w:spacing w:before="60" w:after="60" w:line="240" w:lineRule="auto"/>
              <w:rPr>
                <w:rFonts w:ascii="Times New Roman" w:hAnsi="Times New Roman" w:cs="Times New Roman"/>
              </w:rPr>
            </w:pPr>
            <w:r w:rsidRPr="00455A75">
              <w:rPr>
                <w:rFonts w:ascii="Times New Roman" w:hAnsi="Times New Roman" w:eastAsia="Calibri" w:cs="Times New Roman"/>
                <w:lang w:eastAsia="en-GB"/>
              </w:rPr>
              <w:t>N=12 (66-77 years; 18.7-24.0 kg/m</w:t>
            </w:r>
            <w:r w:rsidRPr="00455A75">
              <w:rPr>
                <w:rFonts w:ascii="Times New Roman" w:hAnsi="Times New Roman" w:eastAsia="Calibri" w:cs="Times New Roman"/>
                <w:vertAlign w:val="superscript"/>
                <w:lang w:eastAsia="en-GB"/>
              </w:rPr>
              <w:t>2</w:t>
            </w:r>
            <w:r w:rsidRPr="00455A75">
              <w:rPr>
                <w:rFonts w:ascii="Times New Roman" w:hAnsi="Times New Roman" w:eastAsia="Calibri" w:cs="Times New Roman"/>
                <w:lang w:eastAsia="en-GB"/>
              </w:rPr>
              <w:t>)</w:t>
            </w:r>
          </w:p>
          <w:p w:rsidRPr="00455A75" w:rsidR="00681493" w:rsidP="00681493" w:rsidRDefault="00681493" w14:paraId="226E41DC" w14:textId="77777777">
            <w:pPr>
              <w:pStyle w:val="Prrafodelista"/>
              <w:numPr>
                <w:ilvl w:val="0"/>
                <w:numId w:val="40"/>
              </w:numPr>
              <w:spacing w:before="60" w:after="60" w:line="240" w:lineRule="auto"/>
              <w:rPr>
                <w:rFonts w:ascii="Times New Roman" w:hAnsi="Times New Roman" w:cs="Times New Roman"/>
              </w:rPr>
            </w:pPr>
            <w:r w:rsidRPr="00455A75">
              <w:rPr>
                <w:rFonts w:ascii="Times New Roman" w:hAnsi="Times New Roman" w:cs="Times New Roman"/>
              </w:rPr>
              <w:t>1 h/week for 12 weeks: strengthening the trunk muscle</w:t>
            </w:r>
          </w:p>
          <w:p w:rsidRPr="00455A75" w:rsidR="00681493" w:rsidP="00681493" w:rsidRDefault="00681493" w14:paraId="7AE164DE" w14:textId="77777777">
            <w:pPr>
              <w:spacing w:before="60" w:after="60"/>
              <w:contextualSpacing/>
            </w:pPr>
            <w:r w:rsidRPr="00455A75">
              <w:t xml:space="preserve">Activities involved: arching–swaying, plank, pelvic rotation in the supine position, and bird-dog. </w:t>
            </w:r>
          </w:p>
        </w:tc>
        <w:tc>
          <w:tcPr>
            <w:tcW w:w="1624" w:type="dxa"/>
            <w:tcBorders>
              <w:top w:val="single" w:color="auto" w:sz="4" w:space="0"/>
              <w:left w:val="nil"/>
              <w:bottom w:val="single" w:color="auto" w:sz="4" w:space="0"/>
              <w:right w:val="nil"/>
            </w:tcBorders>
          </w:tcPr>
          <w:p w:rsidRPr="00455A75" w:rsidR="00681493" w:rsidP="00681493" w:rsidRDefault="00681493" w14:paraId="33E79195" w14:textId="77777777">
            <w:pPr>
              <w:spacing w:before="60" w:after="60"/>
              <w:contextualSpacing/>
            </w:pPr>
            <w:r w:rsidRPr="00455A75">
              <w:lastRenderedPageBreak/>
              <w:t xml:space="preserve">Standardized diet: No </w:t>
            </w:r>
          </w:p>
          <w:p w:rsidRPr="00455A75" w:rsidR="00681493" w:rsidP="00681493" w:rsidRDefault="00681493" w14:paraId="55C8E190" w14:textId="77777777">
            <w:pPr>
              <w:spacing w:before="60" w:after="60"/>
              <w:contextualSpacing/>
            </w:pPr>
          </w:p>
          <w:p w:rsidRPr="00455A75" w:rsidR="00681493" w:rsidP="00681493" w:rsidRDefault="00681493" w14:paraId="16822263" w14:textId="77777777">
            <w:pPr>
              <w:spacing w:before="60" w:after="60"/>
              <w:contextualSpacing/>
            </w:pPr>
            <w:r w:rsidRPr="00455A75">
              <w:t>Adjusted for</w:t>
            </w:r>
            <w:r>
              <w:t xml:space="preserve"> diet: Yes (food frequency questionnaire) </w:t>
            </w:r>
          </w:p>
          <w:p w:rsidRPr="00455A75" w:rsidR="00681493" w:rsidP="00681493" w:rsidRDefault="00681493" w14:paraId="196DF7F9" w14:textId="77777777">
            <w:pPr>
              <w:spacing w:before="60" w:after="60"/>
              <w:contextualSpacing/>
            </w:pPr>
          </w:p>
        </w:tc>
        <w:tc>
          <w:tcPr>
            <w:tcW w:w="1276" w:type="dxa"/>
            <w:tcBorders>
              <w:top w:val="single" w:color="auto" w:sz="4" w:space="0"/>
              <w:left w:val="nil"/>
              <w:bottom w:val="single" w:color="auto" w:sz="4" w:space="0"/>
              <w:right w:val="nil"/>
            </w:tcBorders>
          </w:tcPr>
          <w:p w:rsidRPr="00455A75" w:rsidR="00681493" w:rsidP="00681493" w:rsidRDefault="00681493" w14:paraId="2ACED44A" w14:textId="77777777">
            <w:pPr>
              <w:spacing w:before="60" w:after="60"/>
              <w:contextualSpacing/>
            </w:pPr>
            <w:r w:rsidRPr="00455A75">
              <w:t>2 samples: basal and post exercise training</w:t>
            </w:r>
          </w:p>
        </w:tc>
        <w:tc>
          <w:tcPr>
            <w:tcW w:w="1559" w:type="dxa"/>
            <w:tcBorders>
              <w:top w:val="single" w:color="auto" w:sz="4" w:space="0"/>
              <w:left w:val="nil"/>
              <w:bottom w:val="single" w:color="auto" w:sz="4" w:space="0"/>
              <w:right w:val="nil"/>
            </w:tcBorders>
          </w:tcPr>
          <w:p w:rsidRPr="00455A75" w:rsidR="00681493" w:rsidP="00681493" w:rsidRDefault="00681493" w14:paraId="5BB2E3A3" w14:textId="77777777">
            <w:pPr>
              <w:spacing w:before="60" w:after="60"/>
              <w:contextualSpacing/>
            </w:pPr>
            <w:r w:rsidRPr="00455A75">
              <w:t>qPCR: Takara Thermal Cycler Dice TP650T</w:t>
            </w:r>
          </w:p>
          <w:p w:rsidRPr="00455A75" w:rsidR="00681493" w:rsidP="00681493" w:rsidRDefault="00681493" w14:paraId="78D3CC5D" w14:textId="77777777">
            <w:pPr>
              <w:spacing w:before="60" w:after="60"/>
              <w:contextualSpacing/>
            </w:pPr>
            <w:r w:rsidRPr="00455A75">
              <w:t xml:space="preserve">Software: </w:t>
            </w:r>
            <w:proofErr w:type="spellStart"/>
            <w:r w:rsidRPr="00455A75">
              <w:t>GeneMapper</w:t>
            </w:r>
            <w:proofErr w:type="spellEnd"/>
            <w:r w:rsidRPr="00455A75">
              <w:t xml:space="preserve"> </w:t>
            </w:r>
          </w:p>
          <w:p w:rsidRPr="00455A75" w:rsidR="00681493" w:rsidP="00681493" w:rsidRDefault="00681493" w14:paraId="7053F80E" w14:textId="77777777">
            <w:pPr>
              <w:spacing w:before="60" w:after="60"/>
              <w:contextualSpacing/>
            </w:pPr>
            <w:r w:rsidRPr="00455A75">
              <w:t xml:space="preserve">Reference DB: Human Fecal Microbiota </w:t>
            </w:r>
            <w:r w:rsidRPr="00455A75">
              <w:lastRenderedPageBreak/>
              <w:t>T-RFLP profiling</w:t>
            </w:r>
          </w:p>
          <w:p w:rsidRPr="00455A75" w:rsidR="00681493" w:rsidP="00681493" w:rsidRDefault="00681493" w14:paraId="60601D0E" w14:textId="77777777">
            <w:pPr>
              <w:spacing w:before="60" w:after="60"/>
              <w:contextualSpacing/>
            </w:pPr>
            <w:r w:rsidRPr="00455A75">
              <w:t>Outcome: OTU</w:t>
            </w:r>
          </w:p>
          <w:p w:rsidRPr="00455A75" w:rsidR="00681493" w:rsidP="00681493" w:rsidRDefault="00681493" w14:paraId="6247988C" w14:textId="77777777">
            <w:pPr>
              <w:spacing w:before="60" w:after="60"/>
              <w:contextualSpacing/>
            </w:pPr>
          </w:p>
        </w:tc>
        <w:tc>
          <w:tcPr>
            <w:tcW w:w="4786" w:type="dxa"/>
            <w:tcBorders>
              <w:top w:val="single" w:color="auto" w:sz="4" w:space="0"/>
              <w:left w:val="nil"/>
              <w:bottom w:val="single" w:color="auto" w:sz="4" w:space="0"/>
              <w:right w:val="nil"/>
            </w:tcBorders>
          </w:tcPr>
          <w:p w:rsidRPr="00455A75" w:rsidR="00681493" w:rsidP="00681493" w:rsidRDefault="00681493" w14:paraId="6FB4135D" w14:textId="77777777">
            <w:pPr>
              <w:spacing w:before="60" w:after="60"/>
              <w:contextualSpacing/>
              <w:rPr>
                <w:rFonts w:eastAsia="Calibri"/>
                <w:lang w:eastAsia="en-GB"/>
              </w:rPr>
            </w:pPr>
            <w:r w:rsidRPr="00455A75">
              <w:rPr>
                <w:rFonts w:eastAsia="Calibri"/>
                <w:lang w:eastAsia="en-GB"/>
              </w:rPr>
              <w:lastRenderedPageBreak/>
              <w:t xml:space="preserve">Statistical analysis: Wilcoxon Signed-rank test, </w:t>
            </w:r>
          </w:p>
          <w:p w:rsidRPr="00455A75" w:rsidR="00681493" w:rsidP="00681493" w:rsidRDefault="00681493" w14:paraId="6A57D530" w14:textId="77777777">
            <w:pPr>
              <w:spacing w:before="60" w:after="60"/>
              <w:contextualSpacing/>
              <w:rPr>
                <w:rFonts w:eastAsia="Calibri"/>
                <w:lang w:eastAsia="en-GB"/>
              </w:rPr>
            </w:pPr>
            <w:r w:rsidRPr="00455A75">
              <w:rPr>
                <w:rFonts w:eastAsia="Calibri"/>
                <w:lang w:eastAsia="en-GB"/>
              </w:rPr>
              <w:t>After interventions:</w:t>
            </w:r>
          </w:p>
          <w:p w:rsidRPr="00455A75" w:rsidR="00681493" w:rsidP="00681493" w:rsidRDefault="00681493" w14:paraId="469A7CC3" w14:textId="77777777">
            <w:pPr>
              <w:spacing w:before="60" w:after="60"/>
              <w:contextualSpacing/>
              <w:rPr>
                <w:rFonts w:eastAsia="Calibri"/>
                <w:lang w:eastAsia="en-GB"/>
              </w:rPr>
            </w:pPr>
            <w:r w:rsidRPr="00455A75">
              <w:rPr>
                <w:rFonts w:eastAsia="Calibri"/>
                <w:lang w:eastAsia="en-GB"/>
              </w:rPr>
              <w:t>1.Endurance group:</w:t>
            </w:r>
          </w:p>
          <w:p w:rsidRPr="00455A75" w:rsidR="00681493" w:rsidP="00681493" w:rsidRDefault="00681493" w14:paraId="2FB11504" w14:textId="77777777">
            <w:pPr>
              <w:pStyle w:val="Prrafodelista"/>
              <w:numPr>
                <w:ilvl w:val="0"/>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Genus:</w:t>
            </w:r>
          </w:p>
          <w:p w:rsidRPr="00455A75" w:rsidR="00681493" w:rsidP="00681493" w:rsidRDefault="00681493" w14:paraId="377FFB91" w14:textId="77777777">
            <w:pPr>
              <w:pStyle w:val="Prrafodelista"/>
              <w:numPr>
                <w:ilvl w:val="1"/>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Bacteroides</w:t>
            </w:r>
            <w:proofErr w:type="spellEnd"/>
          </w:p>
          <w:p w:rsidRPr="00455A75" w:rsidR="00681493" w:rsidP="00681493" w:rsidRDefault="00681493" w14:paraId="43E2BD98" w14:textId="77777777">
            <w:pPr>
              <w:pStyle w:val="Prrafodelista"/>
              <w:numPr>
                <w:ilvl w:val="1"/>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 xml:space="preserve">↓ </w:t>
            </w:r>
            <w:r w:rsidRPr="00455A75">
              <w:rPr>
                <w:rFonts w:ascii="Times New Roman" w:hAnsi="Times New Roman" w:eastAsia="Calibri" w:cs="Times New Roman"/>
                <w:lang w:eastAsia="en-GB"/>
              </w:rPr>
              <w:t>Others</w:t>
            </w:r>
          </w:p>
          <w:p w:rsidRPr="00455A75" w:rsidR="00681493" w:rsidP="00681493" w:rsidRDefault="00681493" w14:paraId="6C905AD7" w14:textId="77777777">
            <w:pPr>
              <w:pStyle w:val="Prrafodelista"/>
              <w:numPr>
                <w:ilvl w:val="0"/>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Specie:</w:t>
            </w:r>
          </w:p>
          <w:p w:rsidRPr="00455A75" w:rsidR="00681493" w:rsidP="00681493" w:rsidRDefault="00681493" w14:paraId="78F9D626" w14:textId="77777777">
            <w:pPr>
              <w:pStyle w:val="Prrafodelista"/>
              <w:numPr>
                <w:ilvl w:val="1"/>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color w:val="EEECE1" w:themeColor="background2"/>
                <w:sz w:val="24"/>
                <w:lang w:eastAsia="en-GB"/>
              </w:rPr>
              <w:t>↓</w:t>
            </w:r>
            <w:r w:rsidRPr="00455A75">
              <w:rPr>
                <w:rFonts w:ascii="Times New Roman" w:hAnsi="Times New Roman" w:cs="Times New Roman"/>
              </w:rPr>
              <w:t xml:space="preserve"> </w:t>
            </w:r>
            <w:r w:rsidRPr="00455A75">
              <w:rPr>
                <w:rFonts w:ascii="Times New Roman" w:hAnsi="Times New Roman" w:eastAsia="Calibri" w:cs="Times New Roman"/>
                <w:i/>
                <w:lang w:eastAsia="en-GB"/>
              </w:rPr>
              <w:t xml:space="preserve">Clostridium </w:t>
            </w:r>
            <w:proofErr w:type="spellStart"/>
            <w:r w:rsidRPr="00455A75">
              <w:rPr>
                <w:rFonts w:ascii="Times New Roman" w:hAnsi="Times New Roman" w:eastAsia="Calibri" w:cs="Times New Roman"/>
                <w:i/>
                <w:lang w:eastAsia="en-GB"/>
              </w:rPr>
              <w:t>subcluster</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XIVa</w:t>
            </w:r>
            <w:proofErr w:type="spellEnd"/>
          </w:p>
          <w:p w:rsidRPr="00455A75" w:rsidR="00681493" w:rsidP="00681493" w:rsidRDefault="00681493" w14:paraId="23996D50" w14:textId="77777777">
            <w:pPr>
              <w:spacing w:before="60" w:after="60"/>
              <w:contextualSpacing/>
              <w:rPr>
                <w:rFonts w:eastAsia="Calibri"/>
                <w:lang w:eastAsia="en-GB"/>
              </w:rPr>
            </w:pPr>
            <w:r w:rsidRPr="00455A75">
              <w:rPr>
                <w:rFonts w:eastAsia="Calibri"/>
                <w:lang w:eastAsia="en-GB"/>
              </w:rPr>
              <w:t>2.Resistance group:</w:t>
            </w:r>
          </w:p>
          <w:p w:rsidRPr="00455A75" w:rsidR="00681493" w:rsidP="00681493" w:rsidRDefault="00681493" w14:paraId="50035321" w14:textId="77777777">
            <w:pPr>
              <w:pStyle w:val="Prrafodelista"/>
              <w:numPr>
                <w:ilvl w:val="0"/>
                <w:numId w:val="5"/>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Species:</w:t>
            </w:r>
          </w:p>
          <w:p w:rsidRPr="00455A75" w:rsidR="00681493" w:rsidP="00681493" w:rsidRDefault="00681493" w14:paraId="2A98F441" w14:textId="77777777">
            <w:pPr>
              <w:pStyle w:val="Prrafodelista"/>
              <w:numPr>
                <w:ilvl w:val="1"/>
                <w:numId w:val="6"/>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lastRenderedPageBreak/>
              <w:t>↑</w:t>
            </w:r>
            <w:r w:rsidRPr="00455A75">
              <w:rPr>
                <w:rFonts w:ascii="Times New Roman" w:hAnsi="Times New Roman" w:eastAsia="Calibri" w:cs="Times New Roman"/>
                <w:lang w:eastAsia="en-GB"/>
              </w:rPr>
              <w:t xml:space="preserve"> </w:t>
            </w:r>
            <w:r w:rsidRPr="00455A75">
              <w:rPr>
                <w:rFonts w:ascii="Times New Roman" w:hAnsi="Times New Roman" w:eastAsia="Calibri" w:cs="Times New Roman"/>
                <w:i/>
                <w:lang w:eastAsia="en-GB"/>
              </w:rPr>
              <w:t>Clostridium cluster IX</w:t>
            </w:r>
          </w:p>
        </w:tc>
      </w:tr>
      <w:tr w:rsidRPr="00455A75" w:rsidR="00681493" w:rsidTr="00681493" w14:paraId="77118E5C" w14:textId="77777777">
        <w:trPr>
          <w:jc w:val="center"/>
        </w:trPr>
        <w:tc>
          <w:tcPr>
            <w:tcW w:w="1346" w:type="dxa"/>
            <w:gridSpan w:val="2"/>
            <w:tcBorders>
              <w:top w:val="single" w:color="auto" w:sz="4" w:space="0"/>
              <w:left w:val="nil"/>
              <w:bottom w:val="single" w:color="auto" w:sz="4" w:space="0"/>
              <w:right w:val="nil"/>
            </w:tcBorders>
          </w:tcPr>
          <w:p w:rsidRPr="00455A75" w:rsidR="00681493" w:rsidP="00681493" w:rsidRDefault="00681493" w14:paraId="32979540" w14:textId="12A9C5F2">
            <w:pPr>
              <w:spacing w:before="60" w:after="60"/>
              <w:contextualSpacing/>
            </w:pPr>
            <w:proofErr w:type="spellStart"/>
            <w:r>
              <w:rPr>
                <w:rFonts w:eastAsia="Calibri"/>
                <w:lang w:eastAsia="en-GB"/>
              </w:rPr>
              <w:lastRenderedPageBreak/>
              <w:t>Keohane</w:t>
            </w:r>
            <w:proofErr w:type="spellEnd"/>
            <w:r>
              <w:rPr>
                <w:rFonts w:eastAsia="Calibri"/>
                <w:lang w:eastAsia="en-GB"/>
              </w:rPr>
              <w:t xml:space="preserve"> et al.</w:t>
            </w:r>
            <w:r w:rsidR="002E53E3">
              <w:rPr>
                <w:rFonts w:eastAsia="Calibri"/>
                <w:lang w:eastAsia="en-GB"/>
              </w:rPr>
              <w:t>,</w:t>
            </w:r>
            <w:r>
              <w:rPr>
                <w:rFonts w:eastAsia="Calibri"/>
                <w:lang w:eastAsia="en-GB"/>
              </w:rPr>
              <w:t xml:space="preserve"> 2019</w:t>
            </w:r>
            <w:r w:rsidRPr="00455A75">
              <w:rPr>
                <w:rFonts w:eastAsia="Calibri"/>
                <w:lang w:eastAsia="en-GB"/>
              </w:rPr>
              <w:fldChar w:fldCharType="begin" w:fldLock="1"/>
            </w:r>
            <w:r>
              <w:rPr>
                <w:rFonts w:eastAsia="Calibri"/>
                <w:lang w:eastAsia="en-GB"/>
              </w:rPr>
              <w:instrText>ADDIN CSL_CITATION {"citationItems":[{"id":"ITEM-1","itemData":{"DOI":"10.1016/j.jsams.2019.04.004","ISSN":"14402440","abstract":"Abstract Objectives Compositional and functional adaptions occur in the gut microbiome in response to habitual physical activity. The response of the gut microbiome to sustained, intense exercise in previously active individuals, however, is unknown. This study aimed to prospectively explore the gut microbiome response of four well-trained male athletes to prolonged, high intensity trans-oceanic rowing, describing changes in microbial diversity, abundance and metabolic capacity. Design A prospective, repeated-measures, within-subject report. Methods Serial stool samples were obtained from four male athletes for metagenomic whole-genome shotgun sequencing to record microbial community structure and relevant functional gene profiles before, during and after a continuous, unsupported 33-day, 5000 km transoceanic rowing race. Calorific intake and macronutrient composition were recorded by validated food frequency questionnaire and anthropometry was determined by body composition analysis and cardiorespiratory testing. Results Microbial diversity increased throughout the ultra-endurance event. Variations in taxonomic composition included increased abundance of butyrate producing species and species associated with improved metabolic health, including improved insulin sensitivity. The functional potential of bacterial species involved in specific amino and fatty acid biosynthesis also increased. Many of the adaptions in microbial community structure and metaproteomics persisted up to three months of follow-up. Conclusions These findings demonstrate that prolonged, intense exercise positively influences gut microbial diversity, increases the relative abundance of some bacterial species and up-regulates the metabolic potential of specific pathways expressing microbial gene products. These adaptions may play a compensatory role in controlling the physiological stress associated with sustained exertion as well as negating the deleterious consequences accompanying endurance exercise.","author":[{"dropping-particle":"","family":"Keohane","given":"David M.","non-dropping-particle":"","parse-names":false,"suffix":""},{"dropping-particle":"","family":"Woods","given":"Trevor","non-dropping-particle":"","parse-names":false,"suffix":""},{"dropping-particle":"","family":"O’Connor","given":"Pat","non-dropping-particle":"","parse-names":false,"suffix":""},{"dropping-particle":"","family":"Underwood","given":"Sean","non-dropping-particle":"","parse-names":false,"suffix":""},{"dropping-particle":"","family":"Cronin","given":"Owen","non-dropping-particle":"","parse-names":false,"suffix":""},{"dropping-particle":"","family":"Whiston","given":"Ronan","non-dropping-particle":"","parse-names":false,"suffix":""},{"dropping-particle":"","family":"O'Sullivan","given":"Orla","non-dropping-particle":"","parse-names":false,"suffix":""},{"dropping-particle":"","family":"Cotter","given":"Paul","non-dropping-particle":"","parse-names":false,"suffix":""},{"dropping-particle":"","family":"Shanahan","given":"Fergus","non-dropping-particle":"","parse-names":false,"suffix":""},{"dropping-particle":"","family":"Molloy","given":"Michael G.M","non-dropping-particle":"","parse-names":false,"suffix":""}],"container-title":"Journal of Science and Medicine in Sport","id":"ITEM-1","issued":{"date-parts":[["2019","4"]]},"publisher":"Sports Medicine Australia","title":"Four men in a boat: Ultra-endurance exercise alters the gut microbiome","type":"article-journal"},"uris":["http://www.mendeley.com/documents/?uuid=b25d6e8e-aa03-4ad2-978e-b11f3cc710f3"]}],"mendeley":{"formattedCitation":"(31)","plainTextFormattedCitation":"(31)","previouslyFormattedCitation":"(31)"},"properties":{"noteIndex":0},"schema":"https://github.com/citation-style-language/schema/raw/master/csl-citation.json"}</w:instrText>
            </w:r>
            <w:r w:rsidRPr="00455A75">
              <w:rPr>
                <w:rFonts w:eastAsia="Calibri"/>
                <w:lang w:eastAsia="en-GB"/>
              </w:rPr>
              <w:fldChar w:fldCharType="separate"/>
            </w:r>
            <w:r w:rsidRPr="003651E8">
              <w:rPr>
                <w:rFonts w:eastAsia="Calibri"/>
                <w:noProof/>
                <w:lang w:eastAsia="en-GB"/>
              </w:rPr>
              <w:t>(31)</w:t>
            </w:r>
            <w:r w:rsidRPr="00455A75">
              <w:rPr>
                <w:rFonts w:eastAsia="Calibri"/>
                <w:lang w:eastAsia="en-GB"/>
              </w:rPr>
              <w:fldChar w:fldCharType="end"/>
            </w:r>
          </w:p>
        </w:tc>
        <w:tc>
          <w:tcPr>
            <w:tcW w:w="2157" w:type="dxa"/>
            <w:tcBorders>
              <w:top w:val="single" w:color="auto" w:sz="4" w:space="0"/>
              <w:left w:val="nil"/>
              <w:bottom w:val="single" w:color="auto" w:sz="4" w:space="0"/>
              <w:right w:val="nil"/>
            </w:tcBorders>
          </w:tcPr>
          <w:p w:rsidRPr="00455A75" w:rsidR="00681493" w:rsidP="00681493" w:rsidRDefault="00681493" w14:paraId="7C458D97" w14:textId="77777777">
            <w:pPr>
              <w:spacing w:before="60" w:after="60"/>
              <w:contextualSpacing/>
            </w:pPr>
            <w:r w:rsidRPr="00455A75">
              <w:rPr>
                <w:rFonts w:eastAsia="Calibri"/>
                <w:lang w:eastAsia="en-GB"/>
              </w:rPr>
              <w:t>N=3 men (26.5±1.3 years; 24.4±1.4 kg/m</w:t>
            </w:r>
            <w:r w:rsidRPr="00455A75">
              <w:rPr>
                <w:rFonts w:eastAsia="Calibri"/>
                <w:vertAlign w:val="superscript"/>
                <w:lang w:eastAsia="en-GB"/>
              </w:rPr>
              <w:t>2</w:t>
            </w:r>
            <w:r w:rsidRPr="00455A75">
              <w:rPr>
                <w:rFonts w:eastAsia="Calibri"/>
                <w:lang w:eastAsia="en-GB"/>
              </w:rPr>
              <w:t>)</w:t>
            </w:r>
          </w:p>
        </w:tc>
        <w:tc>
          <w:tcPr>
            <w:tcW w:w="3233" w:type="dxa"/>
            <w:tcBorders>
              <w:top w:val="single" w:color="auto" w:sz="4" w:space="0"/>
              <w:left w:val="nil"/>
              <w:bottom w:val="single" w:color="auto" w:sz="4" w:space="0"/>
              <w:right w:val="nil"/>
            </w:tcBorders>
          </w:tcPr>
          <w:p w:rsidRPr="00455A75" w:rsidR="00681493" w:rsidP="00681493" w:rsidRDefault="00681493" w14:paraId="1355D5CA" w14:textId="77777777">
            <w:pPr>
              <w:spacing w:before="60" w:after="60"/>
              <w:contextualSpacing/>
            </w:pPr>
            <w:r w:rsidRPr="00455A75">
              <w:t>3748.91 km east-west Transatlantic rowing race over 33 days and 22 hours; three participants.</w:t>
            </w:r>
          </w:p>
          <w:p w:rsidRPr="00455A75" w:rsidR="00681493" w:rsidP="00681493" w:rsidRDefault="00681493" w14:paraId="5EF76AA4" w14:textId="77777777">
            <w:pPr>
              <w:spacing w:before="60" w:after="60"/>
              <w:contextualSpacing/>
            </w:pPr>
          </w:p>
          <w:p w:rsidRPr="00455A75" w:rsidR="00681493" w:rsidP="00681493" w:rsidRDefault="00681493" w14:paraId="54C301A0" w14:textId="77777777">
            <w:pPr>
              <w:spacing w:before="60" w:after="60"/>
              <w:contextualSpacing/>
            </w:pPr>
          </w:p>
        </w:tc>
        <w:tc>
          <w:tcPr>
            <w:tcW w:w="1624" w:type="dxa"/>
            <w:tcBorders>
              <w:top w:val="single" w:color="auto" w:sz="4" w:space="0"/>
              <w:left w:val="nil"/>
              <w:bottom w:val="single" w:color="auto" w:sz="4" w:space="0"/>
              <w:right w:val="nil"/>
            </w:tcBorders>
          </w:tcPr>
          <w:p w:rsidRPr="00455A75" w:rsidR="00681493" w:rsidP="00681493" w:rsidRDefault="00681493" w14:paraId="58222E1E" w14:textId="77777777">
            <w:pPr>
              <w:spacing w:before="60" w:after="60"/>
              <w:contextualSpacing/>
            </w:pPr>
            <w:r w:rsidRPr="00455A75">
              <w:t>Standardized diet: Yes</w:t>
            </w:r>
          </w:p>
          <w:p w:rsidRPr="00455A75" w:rsidR="00681493" w:rsidP="00681493" w:rsidRDefault="00681493" w14:paraId="32500A51" w14:textId="77777777">
            <w:pPr>
              <w:spacing w:before="60" w:after="60"/>
              <w:contextualSpacing/>
            </w:pPr>
            <w:r w:rsidRPr="00455A75">
              <w:t>- 21 MJ per day during preparatory period</w:t>
            </w:r>
          </w:p>
          <w:p w:rsidRPr="00455A75" w:rsidR="00681493" w:rsidP="00681493" w:rsidRDefault="00681493" w14:paraId="43A8A1F6" w14:textId="77777777">
            <w:pPr>
              <w:spacing w:before="60" w:after="60"/>
              <w:contextualSpacing/>
            </w:pPr>
            <w:r w:rsidRPr="00455A75">
              <w:t xml:space="preserve">- 33.5 MJ per day during race </w:t>
            </w:r>
          </w:p>
          <w:p w:rsidRPr="00455A75" w:rsidR="00681493" w:rsidP="00681493" w:rsidRDefault="00681493" w14:paraId="375A40B8" w14:textId="77777777">
            <w:pPr>
              <w:spacing w:before="60" w:after="60"/>
              <w:contextualSpacing/>
            </w:pPr>
          </w:p>
          <w:p w:rsidRPr="00455A75" w:rsidR="00681493" w:rsidP="00681493" w:rsidRDefault="00681493" w14:paraId="1C71B155" w14:textId="77777777">
            <w:pPr>
              <w:spacing w:before="60" w:after="60"/>
              <w:contextualSpacing/>
            </w:pPr>
            <w:r w:rsidRPr="00455A75">
              <w:t>Adjusted for diet: No</w:t>
            </w:r>
          </w:p>
          <w:p w:rsidRPr="00455A75" w:rsidR="00681493" w:rsidP="00681493" w:rsidRDefault="00681493" w14:paraId="50ACBF3A" w14:textId="77777777">
            <w:pPr>
              <w:spacing w:before="60" w:after="60"/>
              <w:contextualSpacing/>
            </w:pPr>
          </w:p>
        </w:tc>
        <w:tc>
          <w:tcPr>
            <w:tcW w:w="1276" w:type="dxa"/>
            <w:tcBorders>
              <w:top w:val="single" w:color="auto" w:sz="4" w:space="0"/>
              <w:left w:val="nil"/>
              <w:bottom w:val="single" w:color="auto" w:sz="4" w:space="0"/>
              <w:right w:val="nil"/>
            </w:tcBorders>
          </w:tcPr>
          <w:p w:rsidRPr="00455A75" w:rsidR="00681493" w:rsidP="00681493" w:rsidRDefault="00681493" w14:paraId="0E30FA80" w14:textId="77777777">
            <w:pPr>
              <w:spacing w:before="60" w:after="60"/>
              <w:contextualSpacing/>
            </w:pPr>
            <w:r w:rsidRPr="00455A75">
              <w:t>4 samples: baseline, mid-way point, before race finished and at 3 months post-race)</w:t>
            </w:r>
          </w:p>
        </w:tc>
        <w:tc>
          <w:tcPr>
            <w:tcW w:w="1559" w:type="dxa"/>
            <w:tcBorders>
              <w:top w:val="single" w:color="auto" w:sz="4" w:space="0"/>
              <w:left w:val="nil"/>
              <w:bottom w:val="single" w:color="auto" w:sz="4" w:space="0"/>
              <w:right w:val="nil"/>
            </w:tcBorders>
          </w:tcPr>
          <w:p w:rsidRPr="00455A75" w:rsidR="00681493" w:rsidP="00681493" w:rsidRDefault="00681493" w14:paraId="0806BF98" w14:textId="77777777">
            <w:pPr>
              <w:spacing w:before="60" w:after="60"/>
              <w:contextualSpacing/>
            </w:pPr>
            <w:r w:rsidRPr="00455A75">
              <w:t xml:space="preserve">qPCR: </w:t>
            </w:r>
            <w:proofErr w:type="spellStart"/>
            <w:r w:rsidRPr="00455A75">
              <w:t>Ilumina</w:t>
            </w:r>
            <w:proofErr w:type="spellEnd"/>
            <w:r w:rsidRPr="00455A75">
              <w:t xml:space="preserve"> </w:t>
            </w:r>
            <w:proofErr w:type="spellStart"/>
            <w:r w:rsidRPr="00455A75">
              <w:t>NextSeq</w:t>
            </w:r>
            <w:proofErr w:type="spellEnd"/>
          </w:p>
          <w:p w:rsidRPr="00455A75" w:rsidR="00681493" w:rsidP="00681493" w:rsidRDefault="00681493" w14:paraId="05F0DB73" w14:textId="77777777">
            <w:pPr>
              <w:spacing w:before="60" w:after="60"/>
              <w:contextualSpacing/>
            </w:pPr>
            <w:r w:rsidRPr="00455A75">
              <w:t>Software: HUMAnN2 V.0.99</w:t>
            </w:r>
          </w:p>
          <w:p w:rsidRPr="00455A75" w:rsidR="00681493" w:rsidP="00681493" w:rsidRDefault="00681493" w14:paraId="041F8B38" w14:textId="77777777">
            <w:pPr>
              <w:spacing w:before="60" w:after="60"/>
              <w:contextualSpacing/>
            </w:pPr>
            <w:r w:rsidRPr="00455A75">
              <w:t>Reference DB: -</w:t>
            </w:r>
          </w:p>
          <w:p w:rsidRPr="00455A75" w:rsidR="00681493" w:rsidP="00681493" w:rsidRDefault="00681493" w14:paraId="492C9EE9" w14:textId="77777777">
            <w:pPr>
              <w:spacing w:before="60" w:after="60"/>
              <w:contextualSpacing/>
            </w:pPr>
            <w:r w:rsidRPr="00455A75">
              <w:t>Outcome: Abundance relative</w:t>
            </w:r>
          </w:p>
          <w:p w:rsidRPr="00455A75" w:rsidR="00681493" w:rsidP="00681493" w:rsidRDefault="00681493" w14:paraId="4FD939FE" w14:textId="77777777">
            <w:pPr>
              <w:spacing w:before="60" w:after="60"/>
              <w:contextualSpacing/>
            </w:pPr>
          </w:p>
        </w:tc>
        <w:tc>
          <w:tcPr>
            <w:tcW w:w="4786" w:type="dxa"/>
            <w:tcBorders>
              <w:top w:val="single" w:color="auto" w:sz="4" w:space="0"/>
              <w:left w:val="nil"/>
              <w:bottom w:val="single" w:color="auto" w:sz="4" w:space="0"/>
              <w:right w:val="nil"/>
            </w:tcBorders>
          </w:tcPr>
          <w:p w:rsidRPr="00455A75" w:rsidR="00681493" w:rsidP="00681493" w:rsidRDefault="00681493" w14:paraId="5B92ADF2" w14:textId="77777777">
            <w:pPr>
              <w:spacing w:before="60" w:after="60"/>
              <w:contextualSpacing/>
              <w:rPr>
                <w:rFonts w:eastAsia="Calibri"/>
                <w:lang w:eastAsia="en-GB"/>
              </w:rPr>
            </w:pPr>
            <w:r w:rsidRPr="00455A75">
              <w:rPr>
                <w:rFonts w:eastAsia="Calibri"/>
                <w:lang w:eastAsia="en-GB"/>
              </w:rPr>
              <w:t>Statistical analysis: -</w:t>
            </w:r>
          </w:p>
          <w:p w:rsidRPr="00455A75" w:rsidR="00681493" w:rsidP="00681493" w:rsidRDefault="00681493" w14:paraId="2528139A" w14:textId="77777777">
            <w:pPr>
              <w:spacing w:before="60" w:after="60"/>
              <w:contextualSpacing/>
              <w:rPr>
                <w:rFonts w:eastAsia="Calibri"/>
                <w:lang w:eastAsia="en-GB"/>
              </w:rPr>
            </w:pPr>
            <w:r w:rsidRPr="00455A75">
              <w:rPr>
                <w:rFonts w:eastAsia="Calibri"/>
                <w:b/>
                <w:lang w:eastAsia="en-GB"/>
              </w:rPr>
              <w:t>↑</w:t>
            </w:r>
            <w:r w:rsidRPr="00455A75">
              <w:rPr>
                <w:rFonts w:eastAsia="Calibri"/>
                <w:color w:val="92D050"/>
                <w:lang w:eastAsia="en-GB"/>
              </w:rPr>
              <w:t xml:space="preserve"> </w:t>
            </w:r>
            <w:r w:rsidRPr="00455A75">
              <w:rPr>
                <w:rFonts w:eastAsia="Calibri"/>
                <w:lang w:eastAsia="en-GB"/>
              </w:rPr>
              <w:t>α-diversity since mid-point until race end</w:t>
            </w:r>
          </w:p>
          <w:p w:rsidRPr="00455A75" w:rsidR="00681493" w:rsidP="00681493" w:rsidRDefault="00681493" w14:paraId="0D84CA00" w14:textId="77777777">
            <w:pPr>
              <w:spacing w:before="60" w:after="60"/>
              <w:contextualSpacing/>
              <w:rPr>
                <w:rFonts w:eastAsia="Calibri"/>
                <w:lang w:eastAsia="en-GB"/>
              </w:rPr>
            </w:pPr>
            <w:r w:rsidRPr="00455A75">
              <w:rPr>
                <w:rFonts w:eastAsia="Calibri"/>
                <w:lang w:eastAsia="en-GB"/>
              </w:rPr>
              <w:t xml:space="preserve">Throughout the race for all participants: </w:t>
            </w:r>
          </w:p>
          <w:p w:rsidRPr="00455A75" w:rsidR="00681493" w:rsidP="00681493" w:rsidRDefault="00681493" w14:paraId="3A460751" w14:textId="77777777">
            <w:pPr>
              <w:pStyle w:val="Prrafodelista"/>
              <w:numPr>
                <w:ilvl w:val="0"/>
                <w:numId w:val="40"/>
              </w:numPr>
              <w:spacing w:before="60" w:after="60" w:line="276"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p>
          <w:p w:rsidRPr="00455A75" w:rsidR="00681493" w:rsidP="00681493" w:rsidRDefault="00681493" w14:paraId="2B937370" w14:textId="77777777">
            <w:pPr>
              <w:pStyle w:val="Prrafodelista"/>
              <w:numPr>
                <w:ilvl w:val="1"/>
                <w:numId w:val="40"/>
              </w:numPr>
              <w:spacing w:before="60" w:after="60" w:line="276"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Subdoligranulum</w:t>
            </w:r>
            <w:proofErr w:type="spellEnd"/>
            <w:r w:rsidRPr="00455A75">
              <w:rPr>
                <w:rFonts w:ascii="Times New Roman" w:hAnsi="Times New Roman" w:eastAsia="Calibri" w:cs="Times New Roman"/>
                <w:lang w:eastAsia="en-GB"/>
              </w:rPr>
              <w:t xml:space="preserve"> UC</w:t>
            </w:r>
            <w:r w:rsidRPr="00455A75">
              <w:rPr>
                <w:rFonts w:ascii="Times New Roman" w:hAnsi="Times New Roman" w:eastAsia="Calibri" w:cs="Times New Roman"/>
                <w:i/>
                <w:lang w:eastAsia="en-GB"/>
              </w:rPr>
              <w:t xml:space="preserve"> </w:t>
            </w:r>
          </w:p>
          <w:p w:rsidRPr="00455A75" w:rsidR="00681493" w:rsidP="00681493" w:rsidRDefault="00681493" w14:paraId="52C04E54" w14:textId="77777777">
            <w:pPr>
              <w:pStyle w:val="Prrafodelista"/>
              <w:numPr>
                <w:ilvl w:val="0"/>
                <w:numId w:val="40"/>
              </w:numPr>
              <w:spacing w:before="60" w:after="60" w:line="276"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Specie: </w:t>
            </w:r>
          </w:p>
          <w:p w:rsidRPr="00455A75" w:rsidR="00681493" w:rsidP="00681493" w:rsidRDefault="00681493" w14:paraId="3689C0A9" w14:textId="77777777">
            <w:pPr>
              <w:pStyle w:val="Prrafodelista"/>
              <w:numPr>
                <w:ilvl w:val="1"/>
                <w:numId w:val="40"/>
              </w:numPr>
              <w:spacing w:before="60" w:after="60" w:line="276"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Dorea</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longicatena</w:t>
            </w:r>
            <w:proofErr w:type="spellEnd"/>
            <w:r w:rsidRPr="00455A75">
              <w:rPr>
                <w:rFonts w:ascii="Times New Roman" w:hAnsi="Times New Roman" w:eastAsia="Calibri" w:cs="Times New Roman"/>
                <w:lang w:eastAsia="en-GB"/>
              </w:rPr>
              <w:t xml:space="preserve"> </w:t>
            </w:r>
          </w:p>
          <w:p w:rsidRPr="00455A75" w:rsidR="00681493" w:rsidP="00681493" w:rsidRDefault="00681493" w14:paraId="5DB0EC8F" w14:textId="77777777">
            <w:pPr>
              <w:pStyle w:val="Prrafodelista"/>
              <w:numPr>
                <w:ilvl w:val="1"/>
                <w:numId w:val="40"/>
              </w:numPr>
              <w:spacing w:before="60" w:after="60" w:line="276"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Roseburia</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hominis</w:t>
            </w:r>
            <w:proofErr w:type="spellEnd"/>
            <w:r w:rsidRPr="00455A75">
              <w:rPr>
                <w:rFonts w:ascii="Times New Roman" w:hAnsi="Times New Roman" w:eastAsia="Calibri" w:cs="Times New Roman"/>
                <w:lang w:eastAsia="en-GB"/>
              </w:rPr>
              <w:t xml:space="preserve"> </w:t>
            </w:r>
          </w:p>
          <w:p w:rsidRPr="00455A75" w:rsidR="00681493" w:rsidP="00681493" w:rsidRDefault="00681493" w14:paraId="677009A1" w14:textId="77777777">
            <w:pPr>
              <w:pStyle w:val="Prrafodelista"/>
              <w:numPr>
                <w:ilvl w:val="1"/>
                <w:numId w:val="40"/>
              </w:numPr>
              <w:spacing w:before="60" w:after="60" w:line="276" w:lineRule="auto"/>
              <w:rPr>
                <w:rFonts w:ascii="Times New Roman" w:hAnsi="Times New Roman" w:eastAsia="Calibri" w:cs="Times New Roman"/>
                <w:i/>
                <w:lang w:eastAsia="en-GB"/>
              </w:rPr>
            </w:pPr>
            <w:r w:rsidRPr="00455A75">
              <w:rPr>
                <w:rFonts w:ascii="Times New Roman" w:hAnsi="Times New Roman" w:eastAsia="Calibri" w:cs="Times New Roman"/>
                <w:b/>
                <w:color w:val="EEECE1" w:themeColor="background2"/>
                <w:sz w:val="24"/>
                <w:lang w:eastAsia="en-GB"/>
              </w:rPr>
              <w:t xml:space="preserve">↓ </w:t>
            </w:r>
            <w:proofErr w:type="spellStart"/>
            <w:r w:rsidRPr="00455A75">
              <w:rPr>
                <w:rFonts w:ascii="Times New Roman" w:hAnsi="Times New Roman" w:eastAsia="Calibri" w:cs="Times New Roman"/>
                <w:i/>
                <w:lang w:eastAsia="en-GB"/>
              </w:rPr>
              <w:t>Bacteroides</w:t>
            </w:r>
            <w:proofErr w:type="spellEnd"/>
            <w:r w:rsidRPr="00455A75">
              <w:rPr>
                <w:rFonts w:ascii="Times New Roman" w:hAnsi="Times New Roman" w:eastAsia="Calibri" w:cs="Times New Roman"/>
                <w:i/>
                <w:lang w:eastAsia="en-GB"/>
              </w:rPr>
              <w:t xml:space="preserve"> </w:t>
            </w:r>
            <w:proofErr w:type="spellStart"/>
            <w:r w:rsidRPr="00455A75">
              <w:rPr>
                <w:rFonts w:ascii="Times New Roman" w:hAnsi="Times New Roman" w:eastAsia="Calibri" w:cs="Times New Roman"/>
                <w:i/>
                <w:lang w:eastAsia="en-GB"/>
              </w:rPr>
              <w:t>finegoldii</w:t>
            </w:r>
            <w:proofErr w:type="spellEnd"/>
          </w:p>
          <w:p w:rsidRPr="00455A75" w:rsidR="00681493" w:rsidP="00681493" w:rsidRDefault="00681493" w14:paraId="502E63F7" w14:textId="77777777">
            <w:pPr>
              <w:spacing w:before="60" w:after="60"/>
              <w:contextualSpacing/>
              <w:rPr>
                <w:rFonts w:eastAsia="Calibri"/>
                <w:lang w:eastAsia="en-GB"/>
              </w:rPr>
            </w:pPr>
          </w:p>
          <w:p w:rsidRPr="00455A75" w:rsidR="00681493" w:rsidP="00681493" w:rsidRDefault="00681493" w14:paraId="1EBDEBF3" w14:textId="77777777">
            <w:pPr>
              <w:spacing w:before="60" w:after="60"/>
              <w:contextualSpacing/>
            </w:pPr>
          </w:p>
        </w:tc>
      </w:tr>
      <w:tr w:rsidRPr="00455A75" w:rsidR="00681493" w:rsidTr="00681493" w14:paraId="03CCAF51" w14:textId="77777777">
        <w:trPr>
          <w:trHeight w:val="429"/>
          <w:jc w:val="center"/>
        </w:trPr>
        <w:tc>
          <w:tcPr>
            <w:tcW w:w="3503" w:type="dxa"/>
            <w:gridSpan w:val="3"/>
            <w:tcBorders>
              <w:top w:val="single" w:color="auto" w:sz="4" w:space="0"/>
              <w:left w:val="nil"/>
              <w:bottom w:val="single" w:color="auto" w:sz="4" w:space="0"/>
              <w:right w:val="nil"/>
            </w:tcBorders>
          </w:tcPr>
          <w:p w:rsidRPr="00455A75" w:rsidR="00681493" w:rsidP="00681493" w:rsidRDefault="00681493" w14:paraId="778F4B64" w14:textId="015593C2">
            <w:pPr>
              <w:spacing w:before="60" w:after="60"/>
              <w:contextualSpacing/>
            </w:pPr>
            <w:r w:rsidRPr="00455A75">
              <w:t>Case</w:t>
            </w:r>
            <w:r w:rsidR="002E53E3">
              <w:t xml:space="preserve"> and </w:t>
            </w:r>
            <w:r w:rsidRPr="00455A75">
              <w:t>control</w:t>
            </w:r>
          </w:p>
        </w:tc>
        <w:tc>
          <w:tcPr>
            <w:tcW w:w="3233" w:type="dxa"/>
            <w:tcBorders>
              <w:top w:val="single" w:color="auto" w:sz="4" w:space="0"/>
              <w:left w:val="nil"/>
              <w:bottom w:val="single" w:color="auto" w:sz="4" w:space="0"/>
              <w:right w:val="nil"/>
            </w:tcBorders>
          </w:tcPr>
          <w:p w:rsidRPr="00455A75" w:rsidR="00681493" w:rsidP="00681493" w:rsidRDefault="00681493" w14:paraId="4F4C31CA" w14:textId="77777777">
            <w:pPr>
              <w:spacing w:before="60" w:after="60"/>
              <w:contextualSpacing/>
            </w:pPr>
          </w:p>
        </w:tc>
        <w:tc>
          <w:tcPr>
            <w:tcW w:w="1624" w:type="dxa"/>
            <w:tcBorders>
              <w:top w:val="single" w:color="auto" w:sz="4" w:space="0"/>
              <w:left w:val="nil"/>
              <w:bottom w:val="single" w:color="auto" w:sz="4" w:space="0"/>
              <w:right w:val="nil"/>
            </w:tcBorders>
          </w:tcPr>
          <w:p w:rsidRPr="00455A75" w:rsidR="00681493" w:rsidP="00681493" w:rsidRDefault="00681493" w14:paraId="391EF2F7" w14:textId="77777777">
            <w:pPr>
              <w:spacing w:before="60" w:after="60"/>
              <w:contextualSpacing/>
              <w:rPr>
                <w:rFonts w:eastAsia="Calibri"/>
                <w:lang w:eastAsia="en-GB"/>
              </w:rPr>
            </w:pPr>
          </w:p>
        </w:tc>
        <w:tc>
          <w:tcPr>
            <w:tcW w:w="1276" w:type="dxa"/>
            <w:tcBorders>
              <w:top w:val="single" w:color="auto" w:sz="4" w:space="0"/>
              <w:left w:val="nil"/>
              <w:bottom w:val="single" w:color="auto" w:sz="4" w:space="0"/>
              <w:right w:val="nil"/>
            </w:tcBorders>
          </w:tcPr>
          <w:p w:rsidRPr="00455A75" w:rsidR="00681493" w:rsidP="00681493" w:rsidRDefault="00681493" w14:paraId="735BCCBD" w14:textId="77777777">
            <w:pPr>
              <w:spacing w:before="60" w:after="60"/>
              <w:contextualSpacing/>
            </w:pPr>
          </w:p>
        </w:tc>
        <w:tc>
          <w:tcPr>
            <w:tcW w:w="1559" w:type="dxa"/>
            <w:tcBorders>
              <w:top w:val="single" w:color="auto" w:sz="4" w:space="0"/>
              <w:left w:val="nil"/>
              <w:bottom w:val="single" w:color="auto" w:sz="4" w:space="0"/>
              <w:right w:val="nil"/>
            </w:tcBorders>
          </w:tcPr>
          <w:p w:rsidRPr="00455A75" w:rsidR="00681493" w:rsidP="00681493" w:rsidRDefault="00681493" w14:paraId="23CA54CA" w14:textId="77777777">
            <w:pPr>
              <w:spacing w:before="60" w:after="60"/>
              <w:contextualSpacing/>
            </w:pPr>
          </w:p>
        </w:tc>
        <w:tc>
          <w:tcPr>
            <w:tcW w:w="4786" w:type="dxa"/>
            <w:tcBorders>
              <w:top w:val="single" w:color="auto" w:sz="4" w:space="0"/>
              <w:left w:val="nil"/>
              <w:bottom w:val="single" w:color="auto" w:sz="4" w:space="0"/>
              <w:right w:val="nil"/>
            </w:tcBorders>
          </w:tcPr>
          <w:p w:rsidRPr="00455A75" w:rsidR="00681493" w:rsidP="00681493" w:rsidRDefault="00681493" w14:paraId="2423930A" w14:textId="77777777">
            <w:pPr>
              <w:spacing w:before="60" w:after="60"/>
              <w:contextualSpacing/>
            </w:pPr>
          </w:p>
        </w:tc>
      </w:tr>
      <w:tr w:rsidRPr="00455A75" w:rsidR="00681493" w:rsidTr="00681493" w14:paraId="418000C8" w14:textId="77777777">
        <w:trPr>
          <w:jc w:val="center"/>
        </w:trPr>
        <w:tc>
          <w:tcPr>
            <w:tcW w:w="1273" w:type="dxa"/>
            <w:tcBorders>
              <w:top w:val="single" w:color="auto" w:sz="4" w:space="0"/>
              <w:left w:val="nil"/>
              <w:bottom w:val="single" w:color="auto" w:sz="4" w:space="0"/>
              <w:right w:val="nil"/>
            </w:tcBorders>
          </w:tcPr>
          <w:p w:rsidRPr="00455A75" w:rsidR="00681493" w:rsidP="00681493" w:rsidRDefault="00681493" w14:paraId="5E6E713E" w14:textId="60AF50AC">
            <w:pPr>
              <w:spacing w:before="60" w:after="60"/>
              <w:contextualSpacing/>
            </w:pPr>
            <w:r>
              <w:rPr>
                <w:rFonts w:eastAsia="Calibri"/>
                <w:lang w:eastAsia="en-GB"/>
              </w:rPr>
              <w:t>Allen et al.</w:t>
            </w:r>
            <w:r w:rsidR="002E53E3">
              <w:rPr>
                <w:rFonts w:eastAsia="Calibri"/>
                <w:lang w:eastAsia="en-GB"/>
              </w:rPr>
              <w:t>,</w:t>
            </w:r>
            <w:r>
              <w:rPr>
                <w:rFonts w:eastAsia="Calibri"/>
                <w:lang w:eastAsia="en-GB"/>
              </w:rPr>
              <w:t xml:space="preserve"> 2017</w:t>
            </w:r>
            <w:r w:rsidRPr="00455A75">
              <w:rPr>
                <w:rFonts w:eastAsia="Calibri"/>
                <w:lang w:eastAsia="en-GB"/>
              </w:rPr>
              <w:fldChar w:fldCharType="begin" w:fldLock="1"/>
            </w:r>
            <w:r>
              <w:rPr>
                <w:rFonts w:eastAsia="Calibri"/>
                <w:lang w:eastAsia="en-GB"/>
              </w:rPr>
              <w:instrText>ADDIN CSL_CITATION {"citationItems":[{"id":"ITEM-1","itemData":{"DOI":"10.1249/MSS.0000000000001495","ISBN":"0000000000","ISSN":"0195-9131","PMID":"29166320","author":[{"dropping-particle":"","family":"Allen","given":"Jacob M.","non-dropping-particle":"","parse-names":false,"suffix":""},{"dropping-particle":"","family":"Mailing","given":"Lucy J.","non-dropping-particle":"","parse-names":false,"suffix":""},{"dropping-particle":"","family":"Niemiro","given":"Grace M.","non-dropping-particle":"","parse-names":false,"suffix":""},{"dropping-particle":"","family":"Moore","given":"Rachel","non-dropping-particle":"","parse-names":false,"suffix":""},{"dropping-particle":"","family":"Cook","given":"Mark D.","non-dropping-particle":"","parse-names":false,"suffix":""},{"dropping-particle":"","family":"White","given":"Bryan A.","non-dropping-particle":"","parse-names":false,"suffix":""},{"dropping-particle":"","family":"Holscher","given":"Hannah D.","non-dropping-particle":"","parse-names":false,"suffix":""},{"dropping-particle":"","family":"Woods","given":"Jeffrey A.","non-dropping-particle":"","parse-names":false,"suffix":""}],"container-title":"Medicine &amp; Science in Sports &amp; Exercise","id":"ITEM-1","issue":"November","issued":{"date-parts":[["2017"]]},"number-of-pages":"1","title":"Exercise Alters Gut Microbiota Composition and Function in Lean and Obese Humans","type":"book"},"uris":["http://www.mendeley.com/documents/?uuid=2ea3e6ab-0f07-4814-b7fe-87ebcd060506"]}],"mendeley":{"formattedCitation":"(45)","plainTextFormattedCitation":"(45)","previouslyFormattedCitation":"(45)"},"properties":{"noteIndex":0},"schema":"https://github.com/citation-style-language/schema/raw/master/csl-citation.json"}</w:instrText>
            </w:r>
            <w:r w:rsidRPr="00455A75">
              <w:rPr>
                <w:rFonts w:eastAsia="Calibri"/>
                <w:lang w:eastAsia="en-GB"/>
              </w:rPr>
              <w:fldChar w:fldCharType="separate"/>
            </w:r>
            <w:r w:rsidRPr="0049036B">
              <w:rPr>
                <w:rFonts w:eastAsia="Calibri"/>
                <w:noProof/>
                <w:lang w:eastAsia="en-GB"/>
              </w:rPr>
              <w:t>(4</w:t>
            </w:r>
            <w:r w:rsidR="002878C0">
              <w:rPr>
                <w:rFonts w:eastAsia="Calibri"/>
                <w:noProof/>
                <w:lang w:eastAsia="en-GB"/>
              </w:rPr>
              <w:t>7</w:t>
            </w:r>
            <w:r w:rsidRPr="0049036B">
              <w:rPr>
                <w:rFonts w:eastAsia="Calibri"/>
                <w:noProof/>
                <w:lang w:eastAsia="en-GB"/>
              </w:rPr>
              <w:t>)</w:t>
            </w:r>
            <w:r w:rsidRPr="00455A75">
              <w:rPr>
                <w:rFonts w:eastAsia="Calibri"/>
                <w:lang w:eastAsia="en-GB"/>
              </w:rPr>
              <w:fldChar w:fldCharType="end"/>
            </w:r>
          </w:p>
        </w:tc>
        <w:tc>
          <w:tcPr>
            <w:tcW w:w="2230" w:type="dxa"/>
            <w:gridSpan w:val="2"/>
            <w:tcBorders>
              <w:top w:val="single" w:color="auto" w:sz="4" w:space="0"/>
              <w:left w:val="nil"/>
              <w:bottom w:val="single" w:color="auto" w:sz="4" w:space="0"/>
              <w:right w:val="nil"/>
            </w:tcBorders>
          </w:tcPr>
          <w:p w:rsidRPr="00455A75" w:rsidR="00681493" w:rsidP="00681493" w:rsidRDefault="00681493" w14:paraId="4DFB47EA" w14:textId="77777777">
            <w:pPr>
              <w:spacing w:before="60" w:after="60"/>
              <w:contextualSpacing/>
              <w:rPr>
                <w:rFonts w:eastAsia="Calibri"/>
                <w:lang w:eastAsia="en-GB"/>
              </w:rPr>
            </w:pPr>
            <w:r w:rsidRPr="00455A75">
              <w:rPr>
                <w:rFonts w:eastAsia="Calibri"/>
                <w:lang w:eastAsia="en-GB"/>
              </w:rPr>
              <w:t xml:space="preserve">N=32 </w:t>
            </w:r>
          </w:p>
          <w:p w:rsidRPr="00455A75" w:rsidR="00681493" w:rsidP="00681493" w:rsidRDefault="00681493" w14:paraId="3C02C788" w14:textId="77777777">
            <w:pPr>
              <w:pStyle w:val="Prrafodelista"/>
              <w:numPr>
                <w:ilvl w:val="0"/>
                <w:numId w:val="36"/>
              </w:numPr>
              <w:spacing w:before="60" w:after="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Normal weight: N=18 (9 males/ </w:t>
            </w:r>
            <w:r w:rsidRPr="00455A75">
              <w:rPr>
                <w:rFonts w:ascii="Times New Roman" w:hAnsi="Times New Roman" w:eastAsia="Calibri" w:cs="Times New Roman"/>
                <w:lang w:eastAsia="en-GB"/>
              </w:rPr>
              <w:lastRenderedPageBreak/>
              <w:t xml:space="preserve">9 females) (25.1±6.5 years).  </w:t>
            </w:r>
          </w:p>
          <w:p w:rsidRPr="00455A75" w:rsidR="00681493" w:rsidP="00681493" w:rsidRDefault="00681493" w14:paraId="51AD78FB" w14:textId="77777777">
            <w:pPr>
              <w:pStyle w:val="Prrafodelista"/>
              <w:numPr>
                <w:ilvl w:val="0"/>
                <w:numId w:val="36"/>
              </w:numPr>
              <w:spacing w:before="60" w:after="60" w:line="240" w:lineRule="auto"/>
              <w:ind w:left="527" w:hanging="357"/>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Obese: N=14 (3 males/ 11 females) (31.2±8.5 years). </w:t>
            </w:r>
          </w:p>
        </w:tc>
        <w:tc>
          <w:tcPr>
            <w:tcW w:w="3233" w:type="dxa"/>
            <w:tcBorders>
              <w:top w:val="single" w:color="auto" w:sz="4" w:space="0"/>
              <w:left w:val="nil"/>
              <w:bottom w:val="single" w:color="auto" w:sz="4" w:space="0"/>
              <w:right w:val="nil"/>
            </w:tcBorders>
          </w:tcPr>
          <w:p w:rsidRPr="00455A75" w:rsidR="00681493" w:rsidP="00681493" w:rsidRDefault="00681493" w14:paraId="07072774" w14:textId="77777777">
            <w:pPr>
              <w:spacing w:before="60" w:after="60"/>
              <w:contextualSpacing/>
            </w:pPr>
            <w:r w:rsidRPr="00455A75">
              <w:lastRenderedPageBreak/>
              <w:t>6 weeks of endurance training (cycling or treadmill [subjects chose]) 3d/</w:t>
            </w:r>
            <w:proofErr w:type="spellStart"/>
            <w:r w:rsidRPr="00455A75">
              <w:t>wk</w:t>
            </w:r>
            <w:proofErr w:type="spellEnd"/>
            <w:r w:rsidRPr="00455A75">
              <w:t xml:space="preserve"> 30-60 min/d </w:t>
            </w:r>
            <w:r w:rsidRPr="00455A75">
              <w:lastRenderedPageBreak/>
              <w:t xml:space="preserve">moderate-vigorous intensity.  </w:t>
            </w:r>
          </w:p>
          <w:p w:rsidRPr="00455A75" w:rsidR="00681493" w:rsidP="00681493" w:rsidRDefault="00681493" w14:paraId="388140B1"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Week 1: 30min at 60% HRR</w:t>
            </w:r>
          </w:p>
          <w:p w:rsidRPr="00455A75" w:rsidR="00681493" w:rsidP="00681493" w:rsidRDefault="00681493" w14:paraId="519B9EF1"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Week 2: lasted 45 min =intensity</w:t>
            </w:r>
          </w:p>
          <w:p w:rsidRPr="00455A75" w:rsidR="00681493" w:rsidP="00681493" w:rsidRDefault="00681493" w14:paraId="5A2D58D1"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Week 3: 60 min at 60% HRR</w:t>
            </w:r>
          </w:p>
          <w:p w:rsidRPr="00455A75" w:rsidR="00681493" w:rsidP="00681493" w:rsidRDefault="00681493" w14:paraId="18B53EE4"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 xml:space="preserve">Week 4-6: increased the intensity by 5% HRR each week </w:t>
            </w:r>
          </w:p>
          <w:p w:rsidRPr="00455A75" w:rsidR="00681493" w:rsidP="00681493" w:rsidRDefault="00681493" w14:paraId="7C3A790E" w14:textId="77777777">
            <w:pPr>
              <w:pStyle w:val="Prrafodelista"/>
              <w:numPr>
                <w:ilvl w:val="0"/>
                <w:numId w:val="34"/>
              </w:numPr>
              <w:spacing w:before="60" w:after="60" w:line="240" w:lineRule="auto"/>
              <w:rPr>
                <w:rFonts w:ascii="Times New Roman" w:hAnsi="Times New Roman" w:cs="Times New Roman"/>
              </w:rPr>
            </w:pPr>
            <w:r w:rsidRPr="00455A75">
              <w:rPr>
                <w:rFonts w:ascii="Times New Roman" w:hAnsi="Times New Roman" w:cs="Times New Roman"/>
              </w:rPr>
              <w:t>Week 6: 60 min at 75%HRR</w:t>
            </w:r>
          </w:p>
          <w:p w:rsidRPr="00455A75" w:rsidR="00681493" w:rsidP="00681493" w:rsidRDefault="00681493" w14:paraId="6A43122F" w14:textId="77777777">
            <w:pPr>
              <w:spacing w:before="60" w:after="60"/>
              <w:contextualSpacing/>
            </w:pPr>
            <w:r w:rsidRPr="00455A75">
              <w:t xml:space="preserve"> </w:t>
            </w:r>
          </w:p>
        </w:tc>
        <w:tc>
          <w:tcPr>
            <w:tcW w:w="1624" w:type="dxa"/>
            <w:tcBorders>
              <w:top w:val="single" w:color="auto" w:sz="4" w:space="0"/>
              <w:left w:val="nil"/>
              <w:bottom w:val="single" w:color="auto" w:sz="4" w:space="0"/>
              <w:right w:val="nil"/>
            </w:tcBorders>
          </w:tcPr>
          <w:p w:rsidRPr="00455A75" w:rsidR="00681493" w:rsidP="00681493" w:rsidRDefault="00681493" w14:paraId="2A1D77E8" w14:textId="77777777">
            <w:pPr>
              <w:spacing w:before="60" w:after="60"/>
              <w:contextualSpacing/>
              <w:rPr>
                <w:rFonts w:eastAsia="Calibri"/>
                <w:lang w:eastAsia="en-GB"/>
              </w:rPr>
            </w:pPr>
            <w:r w:rsidRPr="00455A75">
              <w:lastRenderedPageBreak/>
              <w:t>Standardized diet: Yes</w:t>
            </w:r>
            <w:r w:rsidRPr="00455A75">
              <w:rPr>
                <w:rFonts w:eastAsia="Calibri"/>
                <w:lang w:eastAsia="en-GB"/>
              </w:rPr>
              <w:t xml:space="preserve"> </w:t>
            </w:r>
          </w:p>
          <w:p w:rsidRPr="00455A75" w:rsidR="00681493" w:rsidP="00681493" w:rsidRDefault="00681493" w14:paraId="478DC929" w14:textId="77777777">
            <w:pPr>
              <w:spacing w:before="60" w:after="60"/>
              <w:contextualSpacing/>
            </w:pPr>
            <w:r w:rsidRPr="00455A75">
              <w:t xml:space="preserve">-7 food </w:t>
            </w:r>
            <w:r w:rsidRPr="00455A75">
              <w:lastRenderedPageBreak/>
              <w:t xml:space="preserve">records  </w:t>
            </w:r>
          </w:p>
          <w:p w:rsidRPr="00455A75" w:rsidR="00681493" w:rsidP="00681493" w:rsidRDefault="00681493" w14:paraId="256B077B" w14:textId="77777777">
            <w:pPr>
              <w:spacing w:before="60" w:after="60"/>
              <w:contextualSpacing/>
            </w:pPr>
            <w:r w:rsidRPr="00455A75">
              <w:t>-Evaluators designed a 3-day food menu (with meal of 7 food records)</w:t>
            </w:r>
          </w:p>
          <w:p w:rsidRPr="00455A75" w:rsidR="00681493" w:rsidP="00681493" w:rsidRDefault="00681493" w14:paraId="160ACE81" w14:textId="77777777">
            <w:pPr>
              <w:spacing w:before="60" w:after="60"/>
              <w:contextualSpacing/>
            </w:pPr>
            <w:r w:rsidRPr="00455A75">
              <w:t>-Participants followed this 3-day food menu prior to each fecal collection.</w:t>
            </w:r>
          </w:p>
          <w:p w:rsidRPr="00455A75" w:rsidR="00681493" w:rsidP="00681493" w:rsidRDefault="00681493" w14:paraId="37A0F604" w14:textId="77777777">
            <w:pPr>
              <w:spacing w:before="60" w:after="60"/>
              <w:contextualSpacing/>
              <w:rPr>
                <w:rFonts w:eastAsia="Calibri"/>
                <w:lang w:eastAsia="en-GB"/>
              </w:rPr>
            </w:pPr>
          </w:p>
          <w:p w:rsidRPr="00455A75" w:rsidR="00681493" w:rsidP="00681493" w:rsidRDefault="00681493" w14:paraId="350AD869" w14:textId="77777777">
            <w:pPr>
              <w:spacing w:before="60" w:after="60"/>
              <w:contextualSpacing/>
              <w:rPr>
                <w:rFonts w:eastAsia="Calibri"/>
                <w:lang w:eastAsia="en-GB"/>
              </w:rPr>
            </w:pPr>
            <w:r w:rsidRPr="00455A75">
              <w:rPr>
                <w:rFonts w:eastAsia="Calibri"/>
                <w:lang w:eastAsia="en-GB"/>
              </w:rPr>
              <w:t>Adjusted for diet:  Yes</w:t>
            </w:r>
          </w:p>
        </w:tc>
        <w:tc>
          <w:tcPr>
            <w:tcW w:w="1276" w:type="dxa"/>
            <w:tcBorders>
              <w:top w:val="single" w:color="auto" w:sz="4" w:space="0"/>
              <w:left w:val="nil"/>
              <w:bottom w:val="single" w:color="auto" w:sz="4" w:space="0"/>
              <w:right w:val="nil"/>
            </w:tcBorders>
          </w:tcPr>
          <w:p w:rsidRPr="00455A75" w:rsidR="00681493" w:rsidP="00681493" w:rsidRDefault="00681493" w14:paraId="7C1D0FA1" w14:textId="77777777">
            <w:pPr>
              <w:spacing w:before="60" w:after="60"/>
              <w:contextualSpacing/>
            </w:pPr>
            <w:r w:rsidRPr="00455A75">
              <w:lastRenderedPageBreak/>
              <w:t xml:space="preserve">3 samples. (Baseline, after 6 </w:t>
            </w:r>
            <w:r w:rsidRPr="00455A75">
              <w:lastRenderedPageBreak/>
              <w:t>weeks of the intervention and after 6 weeks of washout).</w:t>
            </w:r>
          </w:p>
          <w:p w:rsidRPr="00455A75" w:rsidR="00681493" w:rsidP="00681493" w:rsidRDefault="00681493" w14:paraId="01ED8B61" w14:textId="77777777">
            <w:pPr>
              <w:spacing w:before="60" w:after="60"/>
              <w:contextualSpacing/>
            </w:pPr>
          </w:p>
        </w:tc>
        <w:tc>
          <w:tcPr>
            <w:tcW w:w="1559" w:type="dxa"/>
            <w:tcBorders>
              <w:top w:val="single" w:color="auto" w:sz="4" w:space="0"/>
              <w:left w:val="nil"/>
              <w:bottom w:val="single" w:color="auto" w:sz="4" w:space="0"/>
              <w:right w:val="nil"/>
            </w:tcBorders>
          </w:tcPr>
          <w:p w:rsidRPr="00455A75" w:rsidR="00681493" w:rsidP="00681493" w:rsidRDefault="00681493" w14:paraId="1108AD55" w14:textId="77777777">
            <w:pPr>
              <w:spacing w:before="60" w:after="60"/>
              <w:contextualSpacing/>
              <w:rPr>
                <w:rFonts w:eastAsia="Calibri"/>
                <w:lang w:eastAsia="en-GB"/>
              </w:rPr>
            </w:pPr>
            <w:proofErr w:type="gramStart"/>
            <w:r w:rsidRPr="00455A75">
              <w:rPr>
                <w:rFonts w:eastAsia="Calibri"/>
                <w:lang w:eastAsia="en-GB"/>
              </w:rPr>
              <w:lastRenderedPageBreak/>
              <w:t>qPCR</w:t>
            </w:r>
            <w:proofErr w:type="gramEnd"/>
            <w:r w:rsidRPr="00455A75">
              <w:rPr>
                <w:rFonts w:eastAsia="Calibri"/>
                <w:lang w:eastAsia="en-GB"/>
              </w:rPr>
              <w:t xml:space="preserve">: </w:t>
            </w:r>
            <w:proofErr w:type="spellStart"/>
            <w:r w:rsidRPr="00455A75">
              <w:rPr>
                <w:rFonts w:eastAsia="Calibri"/>
                <w:lang w:eastAsia="en-GB"/>
              </w:rPr>
              <w:t>MySeq</w:t>
            </w:r>
            <w:proofErr w:type="spellEnd"/>
            <w:r w:rsidRPr="00455A75">
              <w:rPr>
                <w:rFonts w:eastAsia="Calibri"/>
                <w:lang w:eastAsia="en-GB"/>
              </w:rPr>
              <w:t xml:space="preserve"> Illumina. </w:t>
            </w:r>
          </w:p>
          <w:p w:rsidRPr="00455A75" w:rsidR="00681493" w:rsidP="00681493" w:rsidRDefault="00681493" w14:paraId="14EE45FD" w14:textId="77777777">
            <w:pPr>
              <w:spacing w:before="60" w:after="60"/>
              <w:contextualSpacing/>
              <w:rPr>
                <w:rFonts w:eastAsia="Calibri"/>
                <w:lang w:eastAsia="en-GB"/>
              </w:rPr>
            </w:pPr>
            <w:r w:rsidRPr="00455A75">
              <w:rPr>
                <w:rFonts w:eastAsia="Calibri"/>
                <w:lang w:eastAsia="en-GB"/>
              </w:rPr>
              <w:lastRenderedPageBreak/>
              <w:t xml:space="preserve">Software: QIIME  </w:t>
            </w:r>
          </w:p>
          <w:p w:rsidRPr="00455A75" w:rsidR="00681493" w:rsidP="00681493" w:rsidRDefault="00681493" w14:paraId="13FFB68E" w14:textId="77777777">
            <w:pPr>
              <w:spacing w:before="60" w:after="60"/>
              <w:contextualSpacing/>
              <w:rPr>
                <w:rFonts w:eastAsia="Calibri"/>
                <w:lang w:eastAsia="en-GB"/>
              </w:rPr>
            </w:pPr>
            <w:r w:rsidRPr="00455A75">
              <w:rPr>
                <w:rFonts w:eastAsia="Calibri"/>
                <w:lang w:eastAsia="en-GB"/>
              </w:rPr>
              <w:t>References DB: RDP</w:t>
            </w:r>
          </w:p>
          <w:p w:rsidRPr="00455A75" w:rsidR="00681493" w:rsidP="00681493" w:rsidRDefault="00681493" w14:paraId="540B2F8A" w14:textId="77777777">
            <w:pPr>
              <w:spacing w:before="60" w:after="60"/>
              <w:contextualSpacing/>
            </w:pPr>
            <w:r w:rsidRPr="00455A75">
              <w:rPr>
                <w:rFonts w:eastAsia="Calibri"/>
                <w:lang w:eastAsia="en-GB"/>
              </w:rPr>
              <w:t>Outcome: OTU</w:t>
            </w:r>
          </w:p>
        </w:tc>
        <w:tc>
          <w:tcPr>
            <w:tcW w:w="4786" w:type="dxa"/>
            <w:tcBorders>
              <w:top w:val="single" w:color="auto" w:sz="4" w:space="0"/>
              <w:left w:val="nil"/>
              <w:bottom w:val="single" w:color="auto" w:sz="4" w:space="0"/>
              <w:right w:val="nil"/>
            </w:tcBorders>
          </w:tcPr>
          <w:p w:rsidRPr="00455A75" w:rsidR="00681493" w:rsidP="00681493" w:rsidRDefault="00681493" w14:paraId="4C2BA5B0" w14:textId="77777777">
            <w:pPr>
              <w:spacing w:before="60" w:after="60"/>
              <w:contextualSpacing/>
            </w:pPr>
            <w:r w:rsidRPr="00455A75">
              <w:lastRenderedPageBreak/>
              <w:t>Statistical analysis: PERMANOVA and ANOVA</w:t>
            </w:r>
          </w:p>
          <w:p w:rsidRPr="00455A75" w:rsidR="00681493" w:rsidP="00681493" w:rsidRDefault="00681493" w14:paraId="418021A3" w14:textId="77777777">
            <w:pPr>
              <w:spacing w:before="60" w:after="60"/>
              <w:contextualSpacing/>
              <w:rPr>
                <w:color w:val="92D050"/>
              </w:rPr>
            </w:pPr>
            <w:r w:rsidRPr="00455A75">
              <w:t xml:space="preserve">α-diversity: no difference between groups after </w:t>
            </w:r>
            <w:r w:rsidRPr="00455A75">
              <w:lastRenderedPageBreak/>
              <w:t>exercise or in the washout period</w:t>
            </w:r>
          </w:p>
          <w:p w:rsidRPr="00455A75" w:rsidR="00681493" w:rsidP="00681493" w:rsidRDefault="00681493" w14:paraId="6B9735BD" w14:textId="77777777">
            <w:pPr>
              <w:spacing w:before="60" w:after="60"/>
              <w:contextualSpacing/>
              <w:rPr>
                <w:rFonts w:eastAsia="Calibri"/>
                <w:lang w:eastAsia="en-GB"/>
              </w:rPr>
            </w:pPr>
            <w:proofErr w:type="gramStart"/>
            <w:r w:rsidRPr="00455A75">
              <w:rPr>
                <w:rFonts w:eastAsia="Calibri"/>
                <w:lang w:eastAsia="en-GB"/>
              </w:rPr>
              <w:t>β-</w:t>
            </w:r>
            <w:r w:rsidRPr="00455A75">
              <w:t>diversity</w:t>
            </w:r>
            <w:proofErr w:type="gramEnd"/>
            <w:r w:rsidRPr="00455A75">
              <w:t xml:space="preserve">: </w:t>
            </w:r>
            <w:r w:rsidRPr="00455A75">
              <w:rPr>
                <w:rFonts w:eastAsia="Calibri"/>
                <w:lang w:eastAsia="en-GB"/>
              </w:rPr>
              <w:t xml:space="preserve"> No </w:t>
            </w:r>
            <w:r w:rsidRPr="00455A75">
              <w:rPr>
                <w:rFonts w:eastAsia="Calibri"/>
                <w:color w:val="000000" w:themeColor="text1"/>
                <w:lang w:eastAsia="en-GB"/>
              </w:rPr>
              <w:t xml:space="preserve">distinct difference </w:t>
            </w:r>
            <w:r w:rsidRPr="00455A75">
              <w:rPr>
                <w:rFonts w:eastAsia="Calibri"/>
                <w:lang w:eastAsia="en-GB"/>
              </w:rPr>
              <w:t>between groups after the intervention.</w:t>
            </w:r>
          </w:p>
          <w:p w:rsidRPr="00455A75" w:rsidR="00681493" w:rsidP="00681493" w:rsidRDefault="00681493" w14:paraId="22F59776" w14:textId="77777777">
            <w:pPr>
              <w:spacing w:before="60" w:after="60"/>
              <w:contextualSpacing/>
              <w:rPr>
                <w:rFonts w:eastAsia="Calibri"/>
                <w:lang w:eastAsia="en-GB"/>
              </w:rPr>
            </w:pPr>
          </w:p>
          <w:p w:rsidRPr="00455A75" w:rsidR="00681493" w:rsidP="00681493" w:rsidRDefault="00681493" w14:paraId="42C050D3" w14:textId="77777777">
            <w:pPr>
              <w:spacing w:before="60" w:after="60"/>
              <w:contextualSpacing/>
              <w:rPr>
                <w:rFonts w:eastAsia="Calibri"/>
                <w:lang w:eastAsia="en-GB"/>
              </w:rPr>
            </w:pPr>
            <w:r w:rsidRPr="00455A75">
              <w:rPr>
                <w:rFonts w:eastAsia="Calibri"/>
                <w:lang w:eastAsia="en-GB"/>
              </w:rPr>
              <w:t xml:space="preserve">After training vs baseline: </w:t>
            </w:r>
          </w:p>
          <w:p w:rsidRPr="00455A75" w:rsidR="00681493" w:rsidP="00681493" w:rsidRDefault="00681493" w14:paraId="66E98904" w14:textId="77777777">
            <w:pPr>
              <w:pStyle w:val="Prrafodelista"/>
              <w:numPr>
                <w:ilvl w:val="0"/>
                <w:numId w:val="39"/>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Order: </w:t>
            </w:r>
          </w:p>
          <w:p w:rsidRPr="00455A75" w:rsidR="00681493" w:rsidP="00681493" w:rsidRDefault="00681493" w14:paraId="283A3A8B" w14:textId="77777777">
            <w:pPr>
              <w:pStyle w:val="Prrafodelista"/>
              <w:numPr>
                <w:ilvl w:val="1"/>
                <w:numId w:val="34"/>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5632FD">
              <w:rPr>
                <w:rFonts w:ascii="Times New Roman" w:hAnsi="Times New Roman" w:eastAsia="Calibri" w:cs="Times New Roman"/>
                <w:i/>
                <w:lang w:eastAsia="en-GB"/>
              </w:rPr>
              <w:t>Clostridiales</w:t>
            </w:r>
            <w:proofErr w:type="spellEnd"/>
            <w:r w:rsidRPr="00455A75">
              <w:rPr>
                <w:rFonts w:ascii="Times New Roman" w:hAnsi="Times New Roman" w:eastAsia="Calibri" w:cs="Times New Roman"/>
                <w:lang w:eastAsia="en-GB"/>
              </w:rPr>
              <w:t xml:space="preserve"> </w:t>
            </w:r>
          </w:p>
          <w:p w:rsidRPr="00455A75" w:rsidR="00681493" w:rsidP="00681493" w:rsidRDefault="00681493" w14:paraId="5CE4A309" w14:textId="77777777">
            <w:pPr>
              <w:pStyle w:val="Prrafodelista"/>
              <w:numPr>
                <w:ilvl w:val="0"/>
                <w:numId w:val="34"/>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lang w:eastAsia="en-GB"/>
              </w:rPr>
              <w:t xml:space="preserve">Genus: </w:t>
            </w:r>
          </w:p>
          <w:p w:rsidRPr="00455A75" w:rsidR="00681493" w:rsidP="00681493" w:rsidRDefault="00681493" w14:paraId="4A4F877B" w14:textId="77777777">
            <w:pPr>
              <w:pStyle w:val="Prrafodelista"/>
              <w:numPr>
                <w:ilvl w:val="1"/>
                <w:numId w:val="34"/>
              </w:numPr>
              <w:spacing w:before="60" w:after="60" w:line="240" w:lineRule="auto"/>
              <w:rPr>
                <w:rFonts w:ascii="Times New Roman" w:hAnsi="Times New Roman" w:eastAsia="Calibri" w:cs="Times New Roman"/>
                <w:i/>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Roseburia</w:t>
            </w:r>
            <w:proofErr w:type="spellEnd"/>
            <w:r w:rsidRPr="00455A75">
              <w:rPr>
                <w:rFonts w:ascii="Times New Roman" w:hAnsi="Times New Roman" w:eastAsia="Calibri" w:cs="Times New Roman"/>
                <w:i/>
                <w:lang w:eastAsia="en-GB"/>
              </w:rPr>
              <w:t xml:space="preserve"> </w:t>
            </w:r>
          </w:p>
          <w:p w:rsidRPr="00455A75" w:rsidR="00681493" w:rsidP="00681493" w:rsidRDefault="00681493" w14:paraId="680D5325" w14:textId="77777777">
            <w:pPr>
              <w:pStyle w:val="Prrafodelista"/>
              <w:numPr>
                <w:ilvl w:val="1"/>
                <w:numId w:val="34"/>
              </w:numPr>
              <w:spacing w:before="60" w:after="60" w:line="240" w:lineRule="auto"/>
              <w:rPr>
                <w:rFonts w:ascii="Times New Roman" w:hAnsi="Times New Roman" w:eastAsia="Calibri" w:cs="Times New Roman"/>
                <w:i/>
                <w:lang w:eastAsia="en-GB"/>
              </w:rPr>
            </w:pPr>
            <w:r w:rsidRPr="00455A75">
              <w:rPr>
                <w:rFonts w:ascii="Times New Roman" w:hAnsi="Times New Roman" w:eastAsia="Calibri" w:cs="Times New Roman"/>
                <w:b/>
                <w:i/>
                <w:sz w:val="24"/>
                <w:lang w:eastAsia="en-GB"/>
              </w:rPr>
              <w:t>↑</w:t>
            </w:r>
            <w:r w:rsidRPr="00455A75">
              <w:rPr>
                <w:rFonts w:ascii="Times New Roman" w:hAnsi="Times New Roman" w:eastAsia="Calibri" w:cs="Times New Roman"/>
                <w:i/>
                <w:color w:val="92D050"/>
                <w:lang w:eastAsia="en-GB"/>
              </w:rPr>
              <w:t xml:space="preserve"> </w:t>
            </w:r>
            <w:proofErr w:type="spellStart"/>
            <w:r w:rsidRPr="00455A75">
              <w:rPr>
                <w:rFonts w:ascii="Times New Roman" w:hAnsi="Times New Roman" w:eastAsia="Calibri" w:cs="Times New Roman"/>
                <w:i/>
                <w:lang w:eastAsia="en-GB"/>
              </w:rPr>
              <w:t>Lachnospira</w:t>
            </w:r>
            <w:proofErr w:type="spellEnd"/>
          </w:p>
          <w:p w:rsidRPr="00455A75" w:rsidR="00681493" w:rsidP="00681493" w:rsidRDefault="00681493" w14:paraId="623BADFF" w14:textId="77777777">
            <w:pPr>
              <w:pStyle w:val="Prrafodelista"/>
              <w:numPr>
                <w:ilvl w:val="1"/>
                <w:numId w:val="34"/>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455A75">
              <w:rPr>
                <w:rFonts w:ascii="Times New Roman" w:hAnsi="Times New Roman" w:eastAsia="Calibri" w:cs="Times New Roman"/>
                <w:i/>
                <w:lang w:eastAsia="en-GB"/>
              </w:rPr>
              <w:t>Faecalibacterium</w:t>
            </w:r>
            <w:proofErr w:type="spellEnd"/>
          </w:p>
          <w:p w:rsidRPr="005632FD" w:rsidR="00681493" w:rsidP="00681493" w:rsidRDefault="00681493" w14:paraId="268EFDA2" w14:textId="77777777">
            <w:pPr>
              <w:pStyle w:val="Prrafodelista"/>
              <w:numPr>
                <w:ilvl w:val="1"/>
                <w:numId w:val="34"/>
              </w:numPr>
              <w:spacing w:before="60" w:after="60" w:line="240" w:lineRule="auto"/>
              <w:rPr>
                <w:rFonts w:ascii="Times New Roman" w:hAnsi="Times New Roman" w:eastAsia="Calibri" w:cs="Times New Roman"/>
                <w:i/>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w:t>
            </w:r>
            <w:proofErr w:type="spellStart"/>
            <w:r w:rsidRPr="005632FD">
              <w:rPr>
                <w:rFonts w:ascii="Times New Roman" w:hAnsi="Times New Roman" w:eastAsia="Calibri" w:cs="Times New Roman"/>
                <w:i/>
                <w:lang w:eastAsia="en-GB"/>
              </w:rPr>
              <w:t>f_Lachnospiraceae</w:t>
            </w:r>
            <w:proofErr w:type="spellEnd"/>
            <w:r w:rsidRPr="005632FD">
              <w:rPr>
                <w:rFonts w:ascii="Times New Roman" w:hAnsi="Times New Roman" w:eastAsia="Calibri" w:cs="Times New Roman"/>
                <w:i/>
                <w:lang w:eastAsia="en-GB"/>
              </w:rPr>
              <w:t xml:space="preserve"> UC</w:t>
            </w:r>
          </w:p>
          <w:p w:rsidRPr="00455A75" w:rsidR="00681493" w:rsidP="00681493" w:rsidRDefault="00681493" w14:paraId="56A4FC34" w14:textId="77777777">
            <w:pPr>
              <w:spacing w:before="60" w:after="60"/>
              <w:contextualSpacing/>
              <w:rPr>
                <w:rFonts w:eastAsia="Calibri"/>
                <w:lang w:eastAsia="en-GB"/>
              </w:rPr>
            </w:pPr>
          </w:p>
          <w:p w:rsidRPr="00455A75" w:rsidR="00681493" w:rsidP="00681493" w:rsidRDefault="00681493" w14:paraId="126C3441" w14:textId="77777777">
            <w:pPr>
              <w:spacing w:before="60" w:after="60"/>
              <w:contextualSpacing/>
              <w:rPr>
                <w:rFonts w:eastAsia="Calibri"/>
                <w:lang w:eastAsia="en-GB"/>
              </w:rPr>
            </w:pPr>
            <w:r w:rsidRPr="00455A75">
              <w:rPr>
                <w:rFonts w:eastAsia="Calibri"/>
                <w:lang w:eastAsia="en-GB"/>
              </w:rPr>
              <w:t xml:space="preserve">SCFAs in normal weight group: </w:t>
            </w:r>
          </w:p>
          <w:p w:rsidRPr="00455A75" w:rsidR="00681493" w:rsidP="00681493" w:rsidRDefault="00681493" w14:paraId="5C1D6187" w14:textId="77777777">
            <w:pPr>
              <w:pStyle w:val="Prrafodelista"/>
              <w:numPr>
                <w:ilvl w:val="0"/>
                <w:numId w:val="38"/>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Acetate</w:t>
            </w:r>
          </w:p>
          <w:p w:rsidRPr="00455A75" w:rsidR="00681493" w:rsidP="00681493" w:rsidRDefault="00681493" w14:paraId="6E334F8F" w14:textId="77777777">
            <w:pPr>
              <w:pStyle w:val="Prrafodelista"/>
              <w:numPr>
                <w:ilvl w:val="0"/>
                <w:numId w:val="38"/>
              </w:numPr>
              <w:spacing w:before="60" w:after="60" w:line="240" w:lineRule="auto"/>
              <w:rPr>
                <w:rFonts w:ascii="Times New Roman" w:hAnsi="Times New Roman" w:eastAsia="Calibri" w:cs="Times New Roman"/>
                <w:lang w:eastAsia="en-GB"/>
              </w:rPr>
            </w:pPr>
            <w:r w:rsidRPr="00455A75">
              <w:rPr>
                <w:rFonts w:ascii="Times New Roman" w:hAnsi="Times New Roman" w:eastAsia="Calibri" w:cs="Times New Roman"/>
                <w:b/>
                <w:sz w:val="24"/>
                <w:lang w:eastAsia="en-GB"/>
              </w:rPr>
              <w:t>↑</w:t>
            </w:r>
            <w:r w:rsidRPr="00455A75">
              <w:rPr>
                <w:rFonts w:ascii="Times New Roman" w:hAnsi="Times New Roman" w:eastAsia="Calibri" w:cs="Times New Roman"/>
                <w:lang w:eastAsia="en-GB"/>
              </w:rPr>
              <w:t xml:space="preserve"> Butyrate</w:t>
            </w:r>
          </w:p>
        </w:tc>
      </w:tr>
      <w:tr w:rsidRPr="00455A75" w:rsidR="00681493" w:rsidTr="00681493" w14:paraId="44318E99" w14:textId="77777777">
        <w:trPr>
          <w:trHeight w:val="416"/>
          <w:jc w:val="center"/>
        </w:trPr>
        <w:tc>
          <w:tcPr>
            <w:tcW w:w="15981" w:type="dxa"/>
            <w:gridSpan w:val="8"/>
            <w:tcBorders>
              <w:top w:val="single" w:color="auto" w:sz="4" w:space="0"/>
              <w:left w:val="nil"/>
              <w:bottom w:val="nil"/>
              <w:right w:val="nil"/>
            </w:tcBorders>
          </w:tcPr>
          <w:p w:rsidRPr="00455A75" w:rsidR="00681493" w:rsidP="00681493" w:rsidRDefault="00681493" w14:paraId="66AADEC8" w14:textId="77777777">
            <w:pPr>
              <w:spacing w:before="60" w:after="60"/>
              <w:contextualSpacing/>
              <w:rPr>
                <w:rFonts w:eastAsia="Calibri"/>
                <w:lang w:eastAsia="en-GB"/>
              </w:rPr>
            </w:pPr>
            <w:r w:rsidRPr="00455A75">
              <w:rPr>
                <w:rFonts w:eastAsia="Calibri"/>
                <w:lang w:eastAsia="en-GB"/>
              </w:rPr>
              <w:lastRenderedPageBreak/>
              <w:t xml:space="preserve">ANOVA, analysis of variance, DB, database; HRR, heart rate reserve; MJ, </w:t>
            </w:r>
            <w:proofErr w:type="spellStart"/>
            <w:r w:rsidRPr="00455A75">
              <w:t>megajoules</w:t>
            </w:r>
            <w:proofErr w:type="spellEnd"/>
            <w:r w:rsidRPr="00455A75">
              <w:t xml:space="preserve">; METs, metabolic equivalent of task; </w:t>
            </w:r>
            <w:r w:rsidRPr="00455A75">
              <w:rPr>
                <w:rFonts w:eastAsia="Calibri"/>
                <w:lang w:eastAsia="en-GB"/>
              </w:rPr>
              <w:t>NR, not reported; OTU, operational taxonomic unit; qPCR, quantitative polymerase chain reaction; RDP, Ribosomal Database Project; SCFAs, short-chain fatty acids; UC, unclassified. Standardized diet: Participants followed an established standard diet; Adjusted for diet: to statistically adjust the results based on nutritional questionnaires.</w:t>
            </w:r>
          </w:p>
        </w:tc>
      </w:tr>
    </w:tbl>
    <w:p w:rsidR="00681493" w:rsidP="0034188A" w:rsidRDefault="00681493" w14:paraId="3C386BA8" w14:textId="77777777"/>
    <w:tbl>
      <w:tblPr>
        <w:tblpPr w:leftFromText="180" w:rightFromText="180" w:bottomFromText="200" w:vertAnchor="page" w:horzAnchor="margin" w:tblpY="3391"/>
        <w:tblW w:w="4700" w:type="pct"/>
        <w:tblLayout w:type="fixed"/>
        <w:tblCellMar>
          <w:left w:w="70" w:type="dxa"/>
          <w:right w:w="70" w:type="dxa"/>
        </w:tblCellMar>
        <w:tblLook w:val="04A0" w:firstRow="1" w:lastRow="0" w:firstColumn="1" w:lastColumn="0" w:noHBand="0" w:noVBand="1"/>
      </w:tblPr>
      <w:tblGrid>
        <w:gridCol w:w="429"/>
        <w:gridCol w:w="3409"/>
        <w:gridCol w:w="476"/>
        <w:gridCol w:w="566"/>
        <w:gridCol w:w="457"/>
        <w:gridCol w:w="541"/>
        <w:gridCol w:w="562"/>
        <w:gridCol w:w="760"/>
        <w:gridCol w:w="428"/>
        <w:gridCol w:w="574"/>
        <w:gridCol w:w="510"/>
        <w:gridCol w:w="631"/>
        <w:gridCol w:w="640"/>
        <w:gridCol w:w="514"/>
        <w:gridCol w:w="478"/>
        <w:gridCol w:w="478"/>
        <w:gridCol w:w="425"/>
        <w:gridCol w:w="426"/>
        <w:gridCol w:w="425"/>
        <w:gridCol w:w="566"/>
      </w:tblGrid>
      <w:tr w:rsidR="00681493" w:rsidTr="00D63558" w14:paraId="62E539E5" w14:textId="77777777">
        <w:trPr>
          <w:trHeight w:val="900"/>
        </w:trPr>
        <w:tc>
          <w:tcPr>
            <w:tcW w:w="13295" w:type="dxa"/>
            <w:gridSpan w:val="20"/>
          </w:tcPr>
          <w:p w:rsidR="00681493" w:rsidP="00D63558" w:rsidRDefault="00681493" w14:paraId="5B86F155" w14:textId="77777777">
            <w:pPr>
              <w:spacing w:before="120" w:after="120"/>
              <w:jc w:val="both"/>
              <w:rPr>
                <w:b/>
                <w:lang w:eastAsia="es-ES"/>
              </w:rPr>
            </w:pPr>
            <w:r>
              <w:rPr>
                <w:b/>
                <w:lang w:eastAsia="es-ES"/>
              </w:rPr>
              <w:lastRenderedPageBreak/>
              <w:t>Table S8.</w:t>
            </w:r>
            <w:r>
              <w:rPr>
                <w:lang w:eastAsia="es-ES"/>
              </w:rPr>
              <w:t xml:space="preserve"> Taxonomic ranks used in the studies included in the present review. The first column represents the different taxonomic classifications: phylum, class, order, family, genus and species; the second column represents the different microorganisms belong to those classifications. The numeration indicates the higher-level taxonomic rank to which a microorganism belongs.  Each row shows the different articles examined, grouped by study type. </w:t>
            </w:r>
          </w:p>
        </w:tc>
      </w:tr>
      <w:tr w:rsidR="00681493" w:rsidTr="00D63558" w14:paraId="670682A7" w14:textId="77777777">
        <w:trPr>
          <w:trHeight w:val="358"/>
        </w:trPr>
        <w:tc>
          <w:tcPr>
            <w:tcW w:w="3838" w:type="dxa"/>
            <w:gridSpan w:val="2"/>
            <w:tcBorders>
              <w:top w:val="nil"/>
              <w:left w:val="nil"/>
              <w:bottom w:val="single" w:color="auto" w:sz="4" w:space="0"/>
              <w:right w:val="nil"/>
            </w:tcBorders>
            <w:noWrap/>
            <w:vAlign w:val="bottom"/>
            <w:hideMark/>
          </w:tcPr>
          <w:p w:rsidRPr="00506836" w:rsidR="00681493" w:rsidP="00D63558" w:rsidRDefault="00681493" w14:paraId="0EEAF53D" w14:textId="77777777">
            <w:pPr>
              <w:spacing w:line="276" w:lineRule="auto"/>
              <w:rPr>
                <w:sz w:val="22"/>
                <w:szCs w:val="22"/>
              </w:rPr>
            </w:pPr>
          </w:p>
        </w:tc>
        <w:tc>
          <w:tcPr>
            <w:tcW w:w="4874" w:type="dxa"/>
            <w:gridSpan w:val="9"/>
            <w:tcBorders>
              <w:top w:val="single" w:color="auto" w:sz="4" w:space="0"/>
              <w:left w:val="nil"/>
              <w:bottom w:val="single" w:color="auto" w:sz="4" w:space="0"/>
              <w:right w:val="dashed" w:color="auto" w:sz="4" w:space="0"/>
            </w:tcBorders>
            <w:hideMark/>
          </w:tcPr>
          <w:p w:rsidR="00681493" w:rsidP="00D63558" w:rsidRDefault="00681493" w14:paraId="66CEDFFA" w14:textId="77777777">
            <w:pPr>
              <w:jc w:val="center"/>
              <w:rPr>
                <w:b/>
                <w:color w:val="000000"/>
                <w:sz w:val="18"/>
                <w:szCs w:val="18"/>
                <w:lang w:eastAsia="es-ES"/>
              </w:rPr>
            </w:pPr>
            <w:r>
              <w:rPr>
                <w:b/>
                <w:color w:val="000000"/>
                <w:sz w:val="18"/>
                <w:szCs w:val="18"/>
                <w:lang w:eastAsia="es-ES"/>
              </w:rPr>
              <w:t>Observational</w:t>
            </w:r>
          </w:p>
        </w:tc>
        <w:tc>
          <w:tcPr>
            <w:tcW w:w="2263" w:type="dxa"/>
            <w:gridSpan w:val="4"/>
            <w:tcBorders>
              <w:top w:val="single" w:color="auto" w:sz="4" w:space="0"/>
              <w:left w:val="dashed" w:color="auto" w:sz="4" w:space="0"/>
              <w:bottom w:val="single" w:color="auto" w:sz="4" w:space="0"/>
              <w:right w:val="dashed" w:color="auto" w:sz="4" w:space="0"/>
            </w:tcBorders>
            <w:vAlign w:val="center"/>
            <w:hideMark/>
          </w:tcPr>
          <w:p w:rsidR="00681493" w:rsidP="00D63558" w:rsidRDefault="00681493" w14:paraId="29736A37" w14:textId="77777777">
            <w:pPr>
              <w:jc w:val="center"/>
              <w:rPr>
                <w:b/>
                <w:color w:val="000000"/>
                <w:sz w:val="18"/>
                <w:szCs w:val="18"/>
                <w:lang w:eastAsia="es-ES"/>
              </w:rPr>
            </w:pPr>
            <w:r>
              <w:rPr>
                <w:b/>
                <w:color w:val="000000"/>
                <w:sz w:val="18"/>
                <w:szCs w:val="18"/>
                <w:lang w:eastAsia="es-ES"/>
              </w:rPr>
              <w:t>Very short-term exercise Interventions</w:t>
            </w:r>
          </w:p>
        </w:tc>
        <w:tc>
          <w:tcPr>
            <w:tcW w:w="2320" w:type="dxa"/>
            <w:gridSpan w:val="5"/>
            <w:tcBorders>
              <w:top w:val="single" w:color="auto" w:sz="4" w:space="0"/>
              <w:left w:val="dashed" w:color="auto" w:sz="4" w:space="0"/>
              <w:bottom w:val="single" w:color="auto" w:sz="4" w:space="0"/>
              <w:right w:val="nil"/>
            </w:tcBorders>
            <w:vAlign w:val="center"/>
            <w:hideMark/>
          </w:tcPr>
          <w:p w:rsidR="00681493" w:rsidP="00D63558" w:rsidRDefault="00681493" w14:paraId="4BBE8524" w14:textId="77777777">
            <w:pPr>
              <w:jc w:val="center"/>
              <w:rPr>
                <w:b/>
                <w:color w:val="000000"/>
                <w:sz w:val="18"/>
                <w:szCs w:val="18"/>
                <w:lang w:eastAsia="es-ES"/>
              </w:rPr>
            </w:pPr>
            <w:r>
              <w:rPr>
                <w:b/>
                <w:color w:val="000000"/>
                <w:sz w:val="18"/>
                <w:szCs w:val="18"/>
                <w:lang w:eastAsia="es-ES"/>
              </w:rPr>
              <w:t>Medium/long-term exercise Interventions</w:t>
            </w:r>
          </w:p>
        </w:tc>
      </w:tr>
      <w:tr w:rsidR="00681493" w:rsidTr="00D63558" w14:paraId="706C1ACD" w14:textId="77777777">
        <w:trPr>
          <w:cantSplit/>
          <w:trHeight w:val="2064"/>
        </w:trPr>
        <w:tc>
          <w:tcPr>
            <w:tcW w:w="3838" w:type="dxa"/>
            <w:gridSpan w:val="2"/>
            <w:tcBorders>
              <w:top w:val="single" w:color="auto" w:sz="4" w:space="0"/>
              <w:left w:val="nil"/>
              <w:bottom w:val="single" w:color="auto" w:sz="4" w:space="0"/>
              <w:right w:val="single" w:color="auto" w:sz="4" w:space="0"/>
            </w:tcBorders>
            <w:textDirection w:val="btLr"/>
            <w:vAlign w:val="center"/>
          </w:tcPr>
          <w:p w:rsidR="00681493" w:rsidP="00D63558" w:rsidRDefault="00681493" w14:paraId="7FCF32EE" w14:textId="77777777">
            <w:pPr>
              <w:ind w:left="113" w:right="113"/>
              <w:rPr>
                <w:b/>
                <w:color w:val="000000"/>
                <w:sz w:val="18"/>
                <w:szCs w:val="18"/>
                <w:lang w:eastAsia="es-ES"/>
              </w:rPr>
            </w:pPr>
          </w:p>
          <w:p w:rsidR="00681493" w:rsidP="00D63558" w:rsidRDefault="00681493" w14:paraId="4AE1D4BD" w14:textId="77777777">
            <w:pPr>
              <w:ind w:left="113" w:right="113"/>
              <w:rPr>
                <w:b/>
                <w:color w:val="000000"/>
                <w:sz w:val="18"/>
                <w:szCs w:val="18"/>
                <w:lang w:eastAsia="es-ES"/>
              </w:rPr>
            </w:pPr>
          </w:p>
          <w:p w:rsidR="00681493" w:rsidP="00D63558" w:rsidRDefault="00681493" w14:paraId="54AB2F4D" w14:textId="77777777">
            <w:pPr>
              <w:ind w:left="113" w:right="113"/>
              <w:rPr>
                <w:b/>
                <w:color w:val="000000"/>
                <w:sz w:val="18"/>
                <w:szCs w:val="18"/>
                <w:lang w:eastAsia="es-ES"/>
              </w:rPr>
            </w:pPr>
          </w:p>
          <w:p w:rsidR="00681493" w:rsidP="00D63558" w:rsidRDefault="00681493" w14:paraId="4642723E" w14:textId="77777777">
            <w:pPr>
              <w:ind w:left="113" w:right="113"/>
              <w:rPr>
                <w:b/>
                <w:color w:val="000000"/>
                <w:sz w:val="18"/>
                <w:szCs w:val="18"/>
                <w:lang w:eastAsia="es-ES"/>
              </w:rPr>
            </w:pPr>
          </w:p>
          <w:p w:rsidR="00681493" w:rsidP="00D63558" w:rsidRDefault="00681493" w14:paraId="7E25831F" w14:textId="77777777">
            <w:pPr>
              <w:ind w:left="113" w:right="113"/>
              <w:rPr>
                <w:b/>
                <w:color w:val="000000"/>
                <w:sz w:val="18"/>
                <w:szCs w:val="18"/>
                <w:lang w:eastAsia="es-ES"/>
              </w:rPr>
            </w:pPr>
          </w:p>
          <w:p w:rsidR="00681493" w:rsidP="00D63558" w:rsidRDefault="00681493" w14:paraId="00242ADC" w14:textId="77777777">
            <w:pPr>
              <w:ind w:left="113" w:right="113"/>
              <w:rPr>
                <w:b/>
                <w:color w:val="000000"/>
                <w:sz w:val="18"/>
                <w:szCs w:val="18"/>
                <w:lang w:eastAsia="es-ES"/>
              </w:rPr>
            </w:pPr>
          </w:p>
          <w:p w:rsidR="00681493" w:rsidP="00D63558" w:rsidRDefault="00681493" w14:paraId="068CF14C" w14:textId="77777777">
            <w:pPr>
              <w:ind w:left="113" w:right="113"/>
              <w:rPr>
                <w:b/>
                <w:color w:val="000000"/>
                <w:sz w:val="18"/>
                <w:szCs w:val="18"/>
                <w:lang w:eastAsia="es-ES"/>
              </w:rPr>
            </w:pPr>
          </w:p>
          <w:p w:rsidR="00681493" w:rsidP="00D63558" w:rsidRDefault="00681493" w14:paraId="6811AD00" w14:textId="77777777">
            <w:pPr>
              <w:ind w:left="113" w:right="113"/>
              <w:rPr>
                <w:b/>
                <w:color w:val="000000"/>
                <w:sz w:val="18"/>
                <w:szCs w:val="18"/>
                <w:lang w:eastAsia="es-ES"/>
              </w:rPr>
            </w:pPr>
          </w:p>
          <w:p w:rsidR="00681493" w:rsidP="00D63558" w:rsidRDefault="00681493" w14:paraId="0926D0A6" w14:textId="77777777">
            <w:pPr>
              <w:ind w:left="113" w:right="113"/>
              <w:rPr>
                <w:b/>
                <w:color w:val="000000"/>
                <w:sz w:val="18"/>
                <w:szCs w:val="18"/>
                <w:lang w:eastAsia="es-ES"/>
              </w:rPr>
            </w:pPr>
          </w:p>
          <w:p w:rsidR="00681493" w:rsidP="00D63558" w:rsidRDefault="00681493" w14:paraId="311F365D" w14:textId="77777777">
            <w:pPr>
              <w:ind w:left="113" w:right="113"/>
              <w:rPr>
                <w:b/>
                <w:color w:val="000000"/>
                <w:sz w:val="18"/>
                <w:szCs w:val="18"/>
                <w:lang w:eastAsia="es-ES"/>
              </w:rPr>
            </w:pPr>
          </w:p>
          <w:p w:rsidR="00681493" w:rsidP="00D63558" w:rsidRDefault="00681493" w14:paraId="15756142" w14:textId="77777777">
            <w:pPr>
              <w:ind w:left="113" w:right="113"/>
              <w:rPr>
                <w:b/>
                <w:color w:val="000000"/>
                <w:sz w:val="18"/>
                <w:szCs w:val="18"/>
                <w:lang w:eastAsia="es-ES"/>
              </w:rPr>
            </w:pPr>
          </w:p>
          <w:p w:rsidR="00681493" w:rsidP="00D63558" w:rsidRDefault="00681493" w14:paraId="5320E1CA" w14:textId="77777777">
            <w:pPr>
              <w:ind w:left="113" w:right="113"/>
              <w:rPr>
                <w:b/>
                <w:color w:val="000000"/>
                <w:sz w:val="18"/>
                <w:szCs w:val="18"/>
                <w:lang w:eastAsia="es-ES"/>
              </w:rPr>
            </w:pPr>
            <w:r>
              <w:rPr>
                <w:b/>
                <w:color w:val="000000"/>
                <w:sz w:val="28"/>
                <w:szCs w:val="18"/>
                <w:lang w:eastAsia="es-ES"/>
              </w:rPr>
              <w:t>References</w:t>
            </w:r>
          </w:p>
        </w:tc>
        <w:tc>
          <w:tcPr>
            <w:tcW w:w="476" w:type="dxa"/>
            <w:tcBorders>
              <w:top w:val="single" w:color="auto" w:sz="4" w:space="0"/>
              <w:left w:val="single" w:color="auto" w:sz="4" w:space="0"/>
              <w:bottom w:val="single" w:color="auto" w:sz="4" w:space="0"/>
              <w:right w:val="nil"/>
            </w:tcBorders>
            <w:noWrap/>
            <w:textDirection w:val="btLr"/>
            <w:vAlign w:val="center"/>
            <w:hideMark/>
          </w:tcPr>
          <w:p w:rsidR="00681493" w:rsidP="00D63558" w:rsidRDefault="00681493" w14:paraId="2F82E0CB" w14:textId="77777777">
            <w:pPr>
              <w:ind w:left="113" w:right="113"/>
              <w:rPr>
                <w:color w:val="000000"/>
                <w:sz w:val="18"/>
                <w:szCs w:val="18"/>
                <w:lang w:eastAsia="es-ES"/>
              </w:rPr>
            </w:pPr>
            <w:proofErr w:type="spellStart"/>
            <w:r>
              <w:rPr>
                <w:color w:val="000000"/>
                <w:sz w:val="18"/>
                <w:szCs w:val="18"/>
                <w:lang w:eastAsia="es-ES"/>
              </w:rPr>
              <w:t>McFadzean</w:t>
            </w:r>
            <w:proofErr w:type="spellEnd"/>
            <w:r>
              <w:rPr>
                <w:color w:val="000000"/>
                <w:sz w:val="18"/>
                <w:szCs w:val="18"/>
                <w:lang w:eastAsia="es-ES"/>
              </w:rPr>
              <w:t xml:space="preserve"> et al., 2014</w:t>
            </w:r>
          </w:p>
        </w:tc>
        <w:tc>
          <w:tcPr>
            <w:tcW w:w="566" w:type="dxa"/>
            <w:tcBorders>
              <w:top w:val="single" w:color="auto" w:sz="4" w:space="0"/>
              <w:left w:val="nil"/>
              <w:bottom w:val="single" w:color="auto" w:sz="4" w:space="0"/>
              <w:right w:val="nil"/>
            </w:tcBorders>
            <w:noWrap/>
            <w:textDirection w:val="btLr"/>
            <w:vAlign w:val="center"/>
            <w:hideMark/>
          </w:tcPr>
          <w:p w:rsidR="00681493" w:rsidP="00D63558" w:rsidRDefault="00681493" w14:paraId="4AF6A07D" w14:textId="77777777">
            <w:pPr>
              <w:ind w:left="113" w:right="113"/>
              <w:rPr>
                <w:color w:val="000000"/>
                <w:sz w:val="18"/>
                <w:szCs w:val="18"/>
                <w:lang w:eastAsia="es-ES"/>
              </w:rPr>
            </w:pPr>
            <w:r>
              <w:rPr>
                <w:color w:val="000000"/>
                <w:sz w:val="18"/>
                <w:szCs w:val="18"/>
                <w:lang w:eastAsia="es-ES"/>
              </w:rPr>
              <w:t>Clarke et al., 2014</w:t>
            </w:r>
          </w:p>
        </w:tc>
        <w:tc>
          <w:tcPr>
            <w:tcW w:w="457" w:type="dxa"/>
            <w:tcBorders>
              <w:top w:val="single" w:color="auto" w:sz="4" w:space="0"/>
              <w:left w:val="nil"/>
              <w:bottom w:val="single" w:color="auto" w:sz="4" w:space="0"/>
              <w:right w:val="nil"/>
            </w:tcBorders>
            <w:noWrap/>
            <w:textDirection w:val="btLr"/>
            <w:vAlign w:val="center"/>
            <w:hideMark/>
          </w:tcPr>
          <w:p w:rsidR="00681493" w:rsidP="00D63558" w:rsidRDefault="00681493" w14:paraId="7277C5F5" w14:textId="77777777">
            <w:pPr>
              <w:ind w:left="113" w:right="113"/>
              <w:rPr>
                <w:color w:val="000000"/>
                <w:sz w:val="18"/>
                <w:szCs w:val="18"/>
                <w:lang w:eastAsia="es-ES"/>
              </w:rPr>
            </w:pPr>
            <w:proofErr w:type="spellStart"/>
            <w:r>
              <w:rPr>
                <w:color w:val="000000"/>
                <w:sz w:val="18"/>
                <w:szCs w:val="18"/>
                <w:lang w:eastAsia="es-ES"/>
              </w:rPr>
              <w:t>Estaki</w:t>
            </w:r>
            <w:proofErr w:type="spellEnd"/>
            <w:r>
              <w:rPr>
                <w:color w:val="000000"/>
                <w:sz w:val="18"/>
                <w:szCs w:val="18"/>
                <w:lang w:eastAsia="es-ES"/>
              </w:rPr>
              <w:t xml:space="preserve"> et al., 2016</w:t>
            </w:r>
          </w:p>
        </w:tc>
        <w:tc>
          <w:tcPr>
            <w:tcW w:w="541" w:type="dxa"/>
            <w:tcBorders>
              <w:top w:val="single" w:color="auto" w:sz="4" w:space="0"/>
              <w:left w:val="nil"/>
              <w:bottom w:val="single" w:color="auto" w:sz="4" w:space="0"/>
              <w:right w:val="nil"/>
            </w:tcBorders>
            <w:noWrap/>
            <w:textDirection w:val="btLr"/>
            <w:vAlign w:val="center"/>
            <w:hideMark/>
          </w:tcPr>
          <w:p w:rsidR="00681493" w:rsidP="00D63558" w:rsidRDefault="00681493" w14:paraId="77F22D14" w14:textId="77777777">
            <w:pPr>
              <w:ind w:left="113" w:right="113"/>
              <w:rPr>
                <w:color w:val="000000"/>
                <w:sz w:val="18"/>
                <w:szCs w:val="18"/>
                <w:lang w:eastAsia="es-ES"/>
              </w:rPr>
            </w:pPr>
            <w:r>
              <w:rPr>
                <w:color w:val="000000"/>
                <w:sz w:val="18"/>
                <w:szCs w:val="18"/>
                <w:lang w:eastAsia="es-ES"/>
              </w:rPr>
              <w:t>Yang et al., 2017</w:t>
            </w:r>
          </w:p>
        </w:tc>
        <w:tc>
          <w:tcPr>
            <w:tcW w:w="562" w:type="dxa"/>
            <w:tcBorders>
              <w:top w:val="single" w:color="auto" w:sz="4" w:space="0"/>
              <w:left w:val="nil"/>
              <w:bottom w:val="single" w:color="auto" w:sz="4" w:space="0"/>
              <w:right w:val="nil"/>
            </w:tcBorders>
            <w:noWrap/>
            <w:textDirection w:val="btLr"/>
            <w:vAlign w:val="center"/>
            <w:hideMark/>
          </w:tcPr>
          <w:p w:rsidR="00681493" w:rsidP="00D63558" w:rsidRDefault="00681493" w14:paraId="20B859D2" w14:textId="77777777">
            <w:pPr>
              <w:ind w:left="113" w:right="113"/>
              <w:rPr>
                <w:color w:val="000000"/>
                <w:sz w:val="18"/>
                <w:szCs w:val="18"/>
                <w:lang w:eastAsia="es-ES"/>
              </w:rPr>
            </w:pPr>
            <w:proofErr w:type="spellStart"/>
            <w:r>
              <w:rPr>
                <w:color w:val="000000"/>
                <w:sz w:val="18"/>
                <w:szCs w:val="18"/>
                <w:lang w:eastAsia="es-ES"/>
              </w:rPr>
              <w:t>Bressa</w:t>
            </w:r>
            <w:proofErr w:type="spellEnd"/>
            <w:r>
              <w:rPr>
                <w:color w:val="000000"/>
                <w:sz w:val="18"/>
                <w:szCs w:val="18"/>
                <w:lang w:eastAsia="es-ES"/>
              </w:rPr>
              <w:t xml:space="preserve"> et al., 2017</w:t>
            </w:r>
          </w:p>
        </w:tc>
        <w:tc>
          <w:tcPr>
            <w:tcW w:w="760" w:type="dxa"/>
            <w:tcBorders>
              <w:top w:val="single" w:color="auto" w:sz="4" w:space="0"/>
              <w:left w:val="nil"/>
              <w:bottom w:val="single" w:color="auto" w:sz="4" w:space="0"/>
              <w:right w:val="nil"/>
            </w:tcBorders>
            <w:textDirection w:val="btLr"/>
            <w:vAlign w:val="center"/>
            <w:hideMark/>
          </w:tcPr>
          <w:p w:rsidR="00681493" w:rsidP="00D63558" w:rsidRDefault="00681493" w14:paraId="5B5A8303" w14:textId="77777777">
            <w:pPr>
              <w:ind w:left="113" w:right="113"/>
              <w:rPr>
                <w:color w:val="000000"/>
                <w:sz w:val="18"/>
                <w:szCs w:val="18"/>
                <w:lang w:eastAsia="es-ES"/>
              </w:rPr>
            </w:pPr>
            <w:r>
              <w:rPr>
                <w:color w:val="000000"/>
                <w:sz w:val="18"/>
                <w:szCs w:val="18"/>
                <w:lang w:eastAsia="es-ES"/>
              </w:rPr>
              <w:t>Petersen et al., 2017</w:t>
            </w:r>
          </w:p>
        </w:tc>
        <w:tc>
          <w:tcPr>
            <w:tcW w:w="428" w:type="dxa"/>
            <w:tcBorders>
              <w:top w:val="single" w:color="auto" w:sz="4" w:space="0"/>
              <w:left w:val="nil"/>
              <w:bottom w:val="single" w:color="auto" w:sz="4" w:space="0"/>
              <w:right w:val="nil"/>
            </w:tcBorders>
            <w:noWrap/>
            <w:textDirection w:val="btLr"/>
            <w:vAlign w:val="center"/>
            <w:hideMark/>
          </w:tcPr>
          <w:p w:rsidR="00681493" w:rsidP="00D63558" w:rsidRDefault="00681493" w14:paraId="3A60ECFF" w14:textId="77777777">
            <w:pPr>
              <w:ind w:left="113" w:right="113"/>
              <w:rPr>
                <w:color w:val="000000"/>
                <w:sz w:val="18"/>
                <w:szCs w:val="18"/>
                <w:lang w:eastAsia="es-ES"/>
              </w:rPr>
            </w:pPr>
            <w:r>
              <w:rPr>
                <w:color w:val="000000"/>
                <w:sz w:val="18"/>
                <w:szCs w:val="18"/>
                <w:lang w:eastAsia="es-ES"/>
              </w:rPr>
              <w:t>Barton et al., 2018</w:t>
            </w:r>
          </w:p>
        </w:tc>
        <w:tc>
          <w:tcPr>
            <w:tcW w:w="574" w:type="dxa"/>
            <w:tcBorders>
              <w:top w:val="single" w:color="auto" w:sz="4" w:space="0"/>
              <w:left w:val="nil"/>
              <w:bottom w:val="single" w:color="auto" w:sz="4" w:space="0"/>
              <w:right w:val="nil"/>
            </w:tcBorders>
            <w:noWrap/>
            <w:textDirection w:val="btLr"/>
            <w:vAlign w:val="center"/>
            <w:hideMark/>
          </w:tcPr>
          <w:p w:rsidR="00681493" w:rsidP="00D63558" w:rsidRDefault="00681493" w14:paraId="3370C37C" w14:textId="77777777">
            <w:pPr>
              <w:ind w:left="113" w:right="113"/>
              <w:rPr>
                <w:color w:val="000000"/>
                <w:sz w:val="18"/>
                <w:szCs w:val="18"/>
                <w:lang w:eastAsia="es-ES"/>
              </w:rPr>
            </w:pPr>
            <w:proofErr w:type="spellStart"/>
            <w:r>
              <w:rPr>
                <w:color w:val="000000"/>
                <w:sz w:val="18"/>
                <w:szCs w:val="18"/>
                <w:lang w:eastAsia="es-ES"/>
              </w:rPr>
              <w:t>Mörkl</w:t>
            </w:r>
            <w:proofErr w:type="spellEnd"/>
            <w:r>
              <w:rPr>
                <w:color w:val="000000"/>
                <w:sz w:val="18"/>
                <w:szCs w:val="18"/>
                <w:lang w:eastAsia="es-ES"/>
              </w:rPr>
              <w:t xml:space="preserve"> et al., 2018</w:t>
            </w:r>
          </w:p>
        </w:tc>
        <w:tc>
          <w:tcPr>
            <w:tcW w:w="510" w:type="dxa"/>
            <w:tcBorders>
              <w:top w:val="single" w:color="auto" w:sz="4" w:space="0"/>
              <w:left w:val="nil"/>
              <w:bottom w:val="single" w:color="auto" w:sz="4" w:space="0"/>
              <w:right w:val="dashed" w:color="auto" w:sz="4" w:space="0"/>
            </w:tcBorders>
            <w:noWrap/>
            <w:textDirection w:val="btLr"/>
            <w:vAlign w:val="center"/>
            <w:hideMark/>
          </w:tcPr>
          <w:p w:rsidR="00681493" w:rsidP="00D63558" w:rsidRDefault="00681493" w14:paraId="08084584" w14:textId="77777777">
            <w:pPr>
              <w:ind w:left="113" w:right="113"/>
              <w:rPr>
                <w:color w:val="000000"/>
                <w:sz w:val="18"/>
                <w:szCs w:val="18"/>
                <w:lang w:eastAsia="es-ES"/>
              </w:rPr>
            </w:pPr>
            <w:proofErr w:type="spellStart"/>
            <w:r>
              <w:rPr>
                <w:color w:val="000000"/>
                <w:sz w:val="18"/>
                <w:szCs w:val="18"/>
                <w:lang w:eastAsia="es-ES"/>
              </w:rPr>
              <w:t>Durk</w:t>
            </w:r>
            <w:proofErr w:type="spellEnd"/>
            <w:r>
              <w:rPr>
                <w:color w:val="000000"/>
                <w:sz w:val="18"/>
                <w:szCs w:val="18"/>
                <w:lang w:eastAsia="es-ES"/>
              </w:rPr>
              <w:t xml:space="preserve"> et al., 2018</w:t>
            </w:r>
          </w:p>
        </w:tc>
        <w:tc>
          <w:tcPr>
            <w:tcW w:w="631" w:type="dxa"/>
            <w:tcBorders>
              <w:top w:val="single" w:color="auto" w:sz="4" w:space="0"/>
              <w:left w:val="dashed" w:color="auto" w:sz="4" w:space="0"/>
              <w:bottom w:val="single" w:color="auto" w:sz="4" w:space="0"/>
              <w:right w:val="nil"/>
            </w:tcBorders>
            <w:noWrap/>
            <w:textDirection w:val="btLr"/>
            <w:vAlign w:val="center"/>
            <w:hideMark/>
          </w:tcPr>
          <w:p w:rsidR="00681493" w:rsidP="00D63558" w:rsidRDefault="00681493" w14:paraId="405F87C9" w14:textId="77777777">
            <w:pPr>
              <w:ind w:left="113" w:right="113"/>
              <w:rPr>
                <w:color w:val="000000"/>
                <w:sz w:val="18"/>
                <w:szCs w:val="18"/>
                <w:lang w:eastAsia="es-ES"/>
              </w:rPr>
            </w:pPr>
            <w:r>
              <w:rPr>
                <w:color w:val="000000"/>
                <w:sz w:val="18"/>
                <w:szCs w:val="18"/>
                <w:lang w:eastAsia="es-ES"/>
              </w:rPr>
              <w:t>Shukla et al., 2015</w:t>
            </w:r>
          </w:p>
        </w:tc>
        <w:tc>
          <w:tcPr>
            <w:tcW w:w="640" w:type="dxa"/>
            <w:tcBorders>
              <w:top w:val="single" w:color="auto" w:sz="4" w:space="0"/>
              <w:left w:val="nil"/>
              <w:bottom w:val="single" w:color="auto" w:sz="4" w:space="0"/>
              <w:right w:val="nil"/>
            </w:tcBorders>
            <w:noWrap/>
            <w:textDirection w:val="btLr"/>
            <w:vAlign w:val="center"/>
            <w:hideMark/>
          </w:tcPr>
          <w:p w:rsidR="00681493" w:rsidP="00D63558" w:rsidRDefault="00681493" w14:paraId="2BE8F1A7" w14:textId="77777777">
            <w:pPr>
              <w:ind w:left="113" w:right="113"/>
              <w:rPr>
                <w:color w:val="000000"/>
                <w:sz w:val="18"/>
                <w:szCs w:val="18"/>
                <w:lang w:eastAsia="es-ES"/>
              </w:rPr>
            </w:pPr>
            <w:r>
              <w:rPr>
                <w:color w:val="000000"/>
                <w:sz w:val="18"/>
                <w:szCs w:val="18"/>
                <w:lang w:eastAsia="es-ES"/>
              </w:rPr>
              <w:t>Lundgren-</w:t>
            </w:r>
            <w:proofErr w:type="spellStart"/>
            <w:r>
              <w:rPr>
                <w:color w:val="000000"/>
                <w:sz w:val="18"/>
                <w:szCs w:val="18"/>
                <w:lang w:eastAsia="es-ES"/>
              </w:rPr>
              <w:t>Kownacki</w:t>
            </w:r>
            <w:proofErr w:type="spellEnd"/>
            <w:r>
              <w:rPr>
                <w:color w:val="000000"/>
                <w:sz w:val="18"/>
                <w:szCs w:val="18"/>
                <w:lang w:eastAsia="es-ES"/>
              </w:rPr>
              <w:t xml:space="preserve"> et al., 2018</w:t>
            </w:r>
          </w:p>
        </w:tc>
        <w:tc>
          <w:tcPr>
            <w:tcW w:w="514" w:type="dxa"/>
            <w:tcBorders>
              <w:top w:val="single" w:color="auto" w:sz="4" w:space="0"/>
              <w:left w:val="nil"/>
              <w:bottom w:val="single" w:color="auto" w:sz="4" w:space="0"/>
              <w:right w:val="nil"/>
            </w:tcBorders>
            <w:noWrap/>
            <w:textDirection w:val="btLr"/>
            <w:vAlign w:val="center"/>
            <w:hideMark/>
          </w:tcPr>
          <w:p w:rsidR="00681493" w:rsidP="00D63558" w:rsidRDefault="00681493" w14:paraId="228B6006" w14:textId="77777777">
            <w:pPr>
              <w:ind w:left="113" w:right="113"/>
              <w:rPr>
                <w:color w:val="000000"/>
                <w:sz w:val="18"/>
                <w:szCs w:val="18"/>
                <w:lang w:eastAsia="es-ES"/>
              </w:rPr>
            </w:pPr>
            <w:r>
              <w:rPr>
                <w:color w:val="000000"/>
                <w:sz w:val="18"/>
                <w:szCs w:val="18"/>
                <w:lang w:eastAsia="es-ES"/>
              </w:rPr>
              <w:t>Zhao et al., 2018</w:t>
            </w:r>
          </w:p>
        </w:tc>
        <w:tc>
          <w:tcPr>
            <w:tcW w:w="478" w:type="dxa"/>
            <w:tcBorders>
              <w:top w:val="single" w:color="auto" w:sz="4" w:space="0"/>
              <w:left w:val="nil"/>
              <w:bottom w:val="single" w:color="auto" w:sz="4" w:space="0"/>
              <w:right w:val="dashed" w:color="auto" w:sz="4" w:space="0"/>
            </w:tcBorders>
            <w:textDirection w:val="btLr"/>
            <w:hideMark/>
          </w:tcPr>
          <w:p w:rsidR="00681493" w:rsidP="00D63558" w:rsidRDefault="00681493" w14:paraId="57EF7D2D" w14:textId="77777777">
            <w:pPr>
              <w:ind w:left="113" w:right="113"/>
              <w:rPr>
                <w:color w:val="000000"/>
                <w:sz w:val="18"/>
                <w:szCs w:val="18"/>
                <w:lang w:eastAsia="es-ES"/>
              </w:rPr>
            </w:pPr>
            <w:proofErr w:type="spellStart"/>
            <w:r>
              <w:rPr>
                <w:color w:val="000000"/>
                <w:sz w:val="18"/>
                <w:szCs w:val="18"/>
                <w:lang w:eastAsia="es-ES"/>
              </w:rPr>
              <w:t>Scheiman</w:t>
            </w:r>
            <w:proofErr w:type="spellEnd"/>
            <w:r>
              <w:rPr>
                <w:color w:val="000000"/>
                <w:sz w:val="18"/>
                <w:szCs w:val="18"/>
                <w:lang w:eastAsia="es-ES"/>
              </w:rPr>
              <w:t xml:space="preserve"> et al., 2019</w:t>
            </w:r>
          </w:p>
        </w:tc>
        <w:tc>
          <w:tcPr>
            <w:tcW w:w="478" w:type="dxa"/>
            <w:tcBorders>
              <w:top w:val="single" w:color="auto" w:sz="4" w:space="0"/>
              <w:left w:val="dashed" w:color="auto" w:sz="4" w:space="0"/>
              <w:bottom w:val="single" w:color="auto" w:sz="4" w:space="0"/>
              <w:right w:val="nil"/>
            </w:tcBorders>
            <w:noWrap/>
            <w:textDirection w:val="btLr"/>
            <w:vAlign w:val="center"/>
            <w:hideMark/>
          </w:tcPr>
          <w:p w:rsidR="00681493" w:rsidP="00D63558" w:rsidRDefault="00681493" w14:paraId="19A20DA1" w14:textId="77777777">
            <w:pPr>
              <w:ind w:left="113" w:right="113"/>
              <w:rPr>
                <w:color w:val="000000"/>
                <w:sz w:val="18"/>
                <w:szCs w:val="18"/>
                <w:lang w:eastAsia="es-ES"/>
              </w:rPr>
            </w:pPr>
            <w:r>
              <w:rPr>
                <w:color w:val="000000"/>
                <w:sz w:val="18"/>
                <w:szCs w:val="18"/>
                <w:lang w:eastAsia="es-ES"/>
              </w:rPr>
              <w:t>Allen et al., 2017</w:t>
            </w:r>
          </w:p>
        </w:tc>
        <w:tc>
          <w:tcPr>
            <w:tcW w:w="425" w:type="dxa"/>
            <w:tcBorders>
              <w:top w:val="single" w:color="auto" w:sz="4" w:space="0"/>
              <w:left w:val="nil"/>
              <w:bottom w:val="single" w:color="auto" w:sz="4" w:space="0"/>
              <w:right w:val="nil"/>
            </w:tcBorders>
            <w:noWrap/>
            <w:textDirection w:val="btLr"/>
            <w:vAlign w:val="center"/>
            <w:hideMark/>
          </w:tcPr>
          <w:p w:rsidR="00681493" w:rsidP="00D63558" w:rsidRDefault="00681493" w14:paraId="78F18AA3" w14:textId="77777777">
            <w:pPr>
              <w:ind w:left="113" w:right="113"/>
              <w:rPr>
                <w:color w:val="000000"/>
                <w:sz w:val="18"/>
                <w:szCs w:val="18"/>
                <w:lang w:eastAsia="es-ES"/>
              </w:rPr>
            </w:pPr>
            <w:r>
              <w:rPr>
                <w:color w:val="000000"/>
                <w:sz w:val="18"/>
                <w:szCs w:val="18"/>
                <w:lang w:eastAsia="es-ES"/>
              </w:rPr>
              <w:t>Cronin et al., 2018</w:t>
            </w:r>
          </w:p>
        </w:tc>
        <w:tc>
          <w:tcPr>
            <w:tcW w:w="426" w:type="dxa"/>
            <w:tcBorders>
              <w:top w:val="single" w:color="auto" w:sz="4" w:space="0"/>
              <w:left w:val="nil"/>
              <w:bottom w:val="single" w:color="auto" w:sz="4" w:space="0"/>
              <w:right w:val="nil"/>
            </w:tcBorders>
            <w:noWrap/>
            <w:textDirection w:val="btLr"/>
            <w:vAlign w:val="center"/>
            <w:hideMark/>
          </w:tcPr>
          <w:p w:rsidR="00681493" w:rsidP="00D63558" w:rsidRDefault="00681493" w14:paraId="65609569" w14:textId="77777777">
            <w:pPr>
              <w:ind w:left="113" w:right="113"/>
              <w:rPr>
                <w:color w:val="000000"/>
                <w:sz w:val="18"/>
                <w:szCs w:val="18"/>
                <w:lang w:eastAsia="es-ES"/>
              </w:rPr>
            </w:pPr>
            <w:proofErr w:type="spellStart"/>
            <w:r>
              <w:rPr>
                <w:color w:val="000000"/>
                <w:sz w:val="18"/>
                <w:szCs w:val="18"/>
                <w:lang w:eastAsia="es-ES"/>
              </w:rPr>
              <w:t>Munukka</w:t>
            </w:r>
            <w:proofErr w:type="spellEnd"/>
            <w:r>
              <w:rPr>
                <w:color w:val="000000"/>
                <w:sz w:val="18"/>
                <w:szCs w:val="18"/>
                <w:lang w:eastAsia="es-ES"/>
              </w:rPr>
              <w:t xml:space="preserve"> et al., 2018</w:t>
            </w:r>
          </w:p>
        </w:tc>
        <w:tc>
          <w:tcPr>
            <w:tcW w:w="425" w:type="dxa"/>
            <w:tcBorders>
              <w:top w:val="single" w:color="auto" w:sz="4" w:space="0"/>
              <w:left w:val="nil"/>
              <w:bottom w:val="single" w:color="auto" w:sz="4" w:space="0"/>
              <w:right w:val="nil"/>
            </w:tcBorders>
            <w:textDirection w:val="btLr"/>
            <w:hideMark/>
          </w:tcPr>
          <w:p w:rsidR="00681493" w:rsidP="00D63558" w:rsidRDefault="00681493" w14:paraId="4550C346" w14:textId="77777777">
            <w:pPr>
              <w:ind w:left="113" w:right="113"/>
              <w:rPr>
                <w:color w:val="000000"/>
                <w:sz w:val="18"/>
                <w:szCs w:val="18"/>
                <w:lang w:eastAsia="es-ES"/>
              </w:rPr>
            </w:pPr>
            <w:r>
              <w:rPr>
                <w:color w:val="000000"/>
                <w:sz w:val="18"/>
                <w:szCs w:val="18"/>
                <w:lang w:eastAsia="es-ES"/>
              </w:rPr>
              <w:t>Morita et al., 2019</w:t>
            </w:r>
          </w:p>
        </w:tc>
        <w:tc>
          <w:tcPr>
            <w:tcW w:w="566" w:type="dxa"/>
            <w:tcBorders>
              <w:top w:val="single" w:color="auto" w:sz="4" w:space="0"/>
              <w:left w:val="nil"/>
              <w:bottom w:val="single" w:color="auto" w:sz="4" w:space="0"/>
              <w:right w:val="nil"/>
            </w:tcBorders>
            <w:textDirection w:val="btLr"/>
            <w:hideMark/>
          </w:tcPr>
          <w:p w:rsidR="00681493" w:rsidP="00D63558" w:rsidRDefault="00681493" w14:paraId="46601E02" w14:textId="77777777">
            <w:pPr>
              <w:ind w:left="113" w:right="113"/>
              <w:rPr>
                <w:color w:val="000000"/>
                <w:sz w:val="18"/>
                <w:szCs w:val="18"/>
                <w:lang w:eastAsia="es-ES"/>
              </w:rPr>
            </w:pPr>
            <w:proofErr w:type="spellStart"/>
            <w:r>
              <w:rPr>
                <w:color w:val="000000"/>
                <w:sz w:val="18"/>
                <w:szCs w:val="18"/>
                <w:lang w:eastAsia="es-ES"/>
              </w:rPr>
              <w:t>Keohane</w:t>
            </w:r>
            <w:proofErr w:type="spellEnd"/>
            <w:r>
              <w:rPr>
                <w:color w:val="000000"/>
                <w:sz w:val="18"/>
                <w:szCs w:val="18"/>
                <w:lang w:eastAsia="es-ES"/>
              </w:rPr>
              <w:t xml:space="preserve"> et al., 2019</w:t>
            </w:r>
          </w:p>
        </w:tc>
      </w:tr>
      <w:tr w:rsidR="00681493" w:rsidTr="00D63558" w14:paraId="7AD003B7" w14:textId="77777777">
        <w:trPr>
          <w:trHeight w:val="300"/>
        </w:trPr>
        <w:tc>
          <w:tcPr>
            <w:tcW w:w="3838" w:type="dxa"/>
            <w:gridSpan w:val="2"/>
            <w:tcBorders>
              <w:top w:val="single" w:color="auto" w:sz="4" w:space="0"/>
              <w:left w:val="nil"/>
              <w:bottom w:val="nil"/>
              <w:right w:val="single" w:color="auto" w:sz="4" w:space="0"/>
            </w:tcBorders>
            <w:vAlign w:val="center"/>
            <w:hideMark/>
          </w:tcPr>
          <w:p w:rsidR="00681493" w:rsidP="00D63558" w:rsidRDefault="00681493" w14:paraId="7E4D0FC6" w14:textId="77777777">
            <w:pPr>
              <w:rPr>
                <w:b/>
                <w:color w:val="000000"/>
                <w:sz w:val="18"/>
                <w:szCs w:val="18"/>
                <w:lang w:eastAsia="es-ES"/>
              </w:rPr>
            </w:pPr>
            <w:r>
              <w:rPr>
                <w:b/>
                <w:color w:val="000000"/>
                <w:sz w:val="18"/>
                <w:szCs w:val="18"/>
                <w:lang w:eastAsia="es-ES"/>
              </w:rPr>
              <w:t xml:space="preserve">Alpha diversity </w:t>
            </w:r>
          </w:p>
        </w:tc>
        <w:tc>
          <w:tcPr>
            <w:tcW w:w="476" w:type="dxa"/>
            <w:tcBorders>
              <w:top w:val="single" w:color="auto" w:sz="4" w:space="0"/>
              <w:left w:val="single" w:color="auto" w:sz="4" w:space="0"/>
              <w:bottom w:val="nil"/>
              <w:right w:val="nil"/>
            </w:tcBorders>
            <w:shd w:val="clear" w:color="auto" w:fill="C6EFCE"/>
            <w:noWrap/>
            <w:vAlign w:val="center"/>
            <w:hideMark/>
          </w:tcPr>
          <w:p w:rsidR="00681493" w:rsidP="00D63558" w:rsidRDefault="00681493" w14:paraId="6D630EF2" w14:textId="77777777">
            <w:pPr>
              <w:jc w:val="center"/>
              <w:rPr>
                <w:color w:val="000000"/>
                <w:sz w:val="18"/>
                <w:szCs w:val="18"/>
                <w:lang w:eastAsia="es-ES"/>
              </w:rPr>
            </w:pPr>
            <w:r>
              <w:rPr>
                <w:color w:val="006100"/>
                <w:sz w:val="18"/>
                <w:szCs w:val="18"/>
                <w:lang w:eastAsia="es-ES"/>
              </w:rPr>
              <w:t>+</w:t>
            </w:r>
          </w:p>
        </w:tc>
        <w:tc>
          <w:tcPr>
            <w:tcW w:w="566" w:type="dxa"/>
            <w:tcBorders>
              <w:top w:val="single" w:color="auto" w:sz="4" w:space="0"/>
              <w:left w:val="nil"/>
              <w:bottom w:val="nil"/>
              <w:right w:val="nil"/>
            </w:tcBorders>
            <w:shd w:val="clear" w:color="auto" w:fill="C6EFCE"/>
            <w:noWrap/>
            <w:vAlign w:val="center"/>
            <w:hideMark/>
          </w:tcPr>
          <w:p w:rsidR="00681493" w:rsidP="00D63558" w:rsidRDefault="00681493" w14:paraId="0C414909" w14:textId="77777777">
            <w:pPr>
              <w:jc w:val="center"/>
              <w:rPr>
                <w:color w:val="000000"/>
                <w:sz w:val="18"/>
                <w:szCs w:val="18"/>
                <w:lang w:eastAsia="es-ES"/>
              </w:rPr>
            </w:pPr>
            <w:r>
              <w:rPr>
                <w:color w:val="006100"/>
                <w:sz w:val="18"/>
                <w:szCs w:val="18"/>
                <w:lang w:eastAsia="es-ES"/>
              </w:rPr>
              <w:t>+</w:t>
            </w:r>
          </w:p>
        </w:tc>
        <w:tc>
          <w:tcPr>
            <w:tcW w:w="457" w:type="dxa"/>
            <w:tcBorders>
              <w:top w:val="single" w:color="auto" w:sz="4" w:space="0"/>
              <w:left w:val="nil"/>
              <w:bottom w:val="nil"/>
              <w:right w:val="nil"/>
            </w:tcBorders>
            <w:shd w:val="clear" w:color="auto" w:fill="C6EFCE"/>
            <w:noWrap/>
            <w:vAlign w:val="center"/>
            <w:hideMark/>
          </w:tcPr>
          <w:p w:rsidR="00681493" w:rsidP="00D63558" w:rsidRDefault="00681493" w14:paraId="3F9BA022" w14:textId="77777777">
            <w:pPr>
              <w:jc w:val="center"/>
              <w:rPr>
                <w:color w:val="000000"/>
                <w:sz w:val="18"/>
                <w:szCs w:val="18"/>
                <w:lang w:eastAsia="es-ES"/>
              </w:rPr>
            </w:pPr>
            <w:r>
              <w:rPr>
                <w:color w:val="006100"/>
                <w:sz w:val="18"/>
                <w:szCs w:val="18"/>
                <w:lang w:eastAsia="es-ES"/>
              </w:rPr>
              <w:t>+</w:t>
            </w:r>
          </w:p>
        </w:tc>
        <w:tc>
          <w:tcPr>
            <w:tcW w:w="541" w:type="dxa"/>
            <w:tcBorders>
              <w:top w:val="single" w:color="auto" w:sz="4" w:space="0"/>
              <w:left w:val="nil"/>
              <w:bottom w:val="nil"/>
              <w:right w:val="nil"/>
            </w:tcBorders>
            <w:noWrap/>
            <w:hideMark/>
          </w:tcPr>
          <w:p w:rsidR="00681493" w:rsidP="00D63558" w:rsidRDefault="00681493" w14:paraId="505B053A" w14:textId="77777777">
            <w:pPr>
              <w:jc w:val="center"/>
              <w:rPr>
                <w:color w:val="000000"/>
                <w:sz w:val="18"/>
                <w:szCs w:val="18"/>
                <w:lang w:eastAsia="es-ES"/>
              </w:rPr>
            </w:pPr>
            <w:r>
              <w:rPr>
                <w:color w:val="A6A6A6" w:themeColor="background1" w:themeShade="A6"/>
                <w:sz w:val="18"/>
                <w:szCs w:val="18"/>
                <w:lang w:eastAsia="es-ES"/>
              </w:rPr>
              <w:t>NR</w:t>
            </w:r>
          </w:p>
        </w:tc>
        <w:tc>
          <w:tcPr>
            <w:tcW w:w="562" w:type="dxa"/>
            <w:tcBorders>
              <w:top w:val="single" w:color="auto" w:sz="4" w:space="0"/>
              <w:left w:val="nil"/>
              <w:bottom w:val="nil"/>
              <w:right w:val="nil"/>
            </w:tcBorders>
            <w:noWrap/>
            <w:vAlign w:val="center"/>
            <w:hideMark/>
          </w:tcPr>
          <w:p w:rsidR="00681493" w:rsidP="00D63558" w:rsidRDefault="00681493" w14:paraId="4EE469D8" w14:textId="77777777">
            <w:pPr>
              <w:jc w:val="center"/>
              <w:rPr>
                <w:color w:val="000000"/>
                <w:sz w:val="18"/>
                <w:szCs w:val="18"/>
                <w:lang w:eastAsia="es-ES"/>
              </w:rPr>
            </w:pPr>
            <w:r>
              <w:rPr>
                <w:color w:val="000000"/>
                <w:sz w:val="18"/>
                <w:szCs w:val="18"/>
                <w:lang w:eastAsia="es-ES"/>
              </w:rPr>
              <w:t>0</w:t>
            </w:r>
          </w:p>
        </w:tc>
        <w:tc>
          <w:tcPr>
            <w:tcW w:w="760" w:type="dxa"/>
            <w:tcBorders>
              <w:top w:val="single" w:color="auto" w:sz="4" w:space="0"/>
              <w:left w:val="nil"/>
              <w:bottom w:val="nil"/>
              <w:right w:val="nil"/>
            </w:tcBorders>
            <w:hideMark/>
          </w:tcPr>
          <w:p w:rsidR="00681493" w:rsidP="00D63558" w:rsidRDefault="00681493" w14:paraId="2BBD7343" w14:textId="77777777">
            <w:pPr>
              <w:jc w:val="center"/>
              <w:rPr>
                <w:color w:val="006100"/>
                <w:sz w:val="18"/>
                <w:szCs w:val="18"/>
                <w:lang w:eastAsia="es-ES"/>
              </w:rPr>
            </w:pPr>
            <w:r>
              <w:rPr>
                <w:color w:val="A6A6A6" w:themeColor="background1" w:themeShade="A6"/>
                <w:sz w:val="18"/>
                <w:szCs w:val="18"/>
                <w:lang w:eastAsia="es-ES"/>
              </w:rPr>
              <w:t>NR</w:t>
            </w:r>
          </w:p>
        </w:tc>
        <w:tc>
          <w:tcPr>
            <w:tcW w:w="428" w:type="dxa"/>
            <w:tcBorders>
              <w:top w:val="single" w:color="auto" w:sz="4" w:space="0"/>
              <w:left w:val="nil"/>
              <w:bottom w:val="nil"/>
              <w:right w:val="nil"/>
            </w:tcBorders>
            <w:shd w:val="clear" w:color="auto" w:fill="C6EFCE"/>
            <w:noWrap/>
            <w:vAlign w:val="center"/>
            <w:hideMark/>
          </w:tcPr>
          <w:p w:rsidR="00681493" w:rsidP="00D63558" w:rsidRDefault="00681493" w14:paraId="1DFBAB7B" w14:textId="77777777">
            <w:pPr>
              <w:jc w:val="center"/>
              <w:rPr>
                <w:color w:val="000000"/>
                <w:sz w:val="18"/>
                <w:szCs w:val="18"/>
                <w:lang w:eastAsia="es-ES"/>
              </w:rPr>
            </w:pPr>
            <w:r>
              <w:rPr>
                <w:color w:val="006100"/>
                <w:sz w:val="18"/>
                <w:szCs w:val="18"/>
                <w:lang w:eastAsia="es-ES"/>
              </w:rPr>
              <w:t>+</w:t>
            </w:r>
          </w:p>
        </w:tc>
        <w:tc>
          <w:tcPr>
            <w:tcW w:w="574" w:type="dxa"/>
            <w:tcBorders>
              <w:top w:val="single" w:color="auto" w:sz="4" w:space="0"/>
              <w:left w:val="nil"/>
              <w:bottom w:val="nil"/>
              <w:right w:val="nil"/>
            </w:tcBorders>
            <w:shd w:val="clear" w:color="auto" w:fill="C6EFCE"/>
            <w:noWrap/>
            <w:vAlign w:val="center"/>
            <w:hideMark/>
          </w:tcPr>
          <w:p w:rsidR="00681493" w:rsidP="00D63558" w:rsidRDefault="00681493" w14:paraId="5AEE54DD" w14:textId="77777777">
            <w:pPr>
              <w:jc w:val="center"/>
              <w:rPr>
                <w:color w:val="000000"/>
                <w:sz w:val="18"/>
                <w:szCs w:val="18"/>
                <w:lang w:eastAsia="es-ES"/>
              </w:rPr>
            </w:pPr>
            <w:r>
              <w:rPr>
                <w:color w:val="006100"/>
                <w:sz w:val="18"/>
                <w:szCs w:val="18"/>
                <w:lang w:eastAsia="es-ES"/>
              </w:rPr>
              <w:t>+</w:t>
            </w:r>
          </w:p>
        </w:tc>
        <w:tc>
          <w:tcPr>
            <w:tcW w:w="510" w:type="dxa"/>
            <w:tcBorders>
              <w:top w:val="single" w:color="auto" w:sz="4" w:space="0"/>
              <w:left w:val="nil"/>
              <w:bottom w:val="nil"/>
              <w:right w:val="dashed" w:color="auto" w:sz="4" w:space="0"/>
            </w:tcBorders>
            <w:noWrap/>
            <w:hideMark/>
          </w:tcPr>
          <w:p w:rsidR="00681493" w:rsidP="00D63558" w:rsidRDefault="00681493" w14:paraId="043A918F" w14:textId="77777777">
            <w:pPr>
              <w:jc w:val="center"/>
              <w:rPr>
                <w:color w:val="000000"/>
                <w:sz w:val="18"/>
                <w:szCs w:val="18"/>
                <w:lang w:eastAsia="es-ES"/>
              </w:rPr>
            </w:pPr>
            <w:r>
              <w:rPr>
                <w:color w:val="A6A6A6" w:themeColor="background1" w:themeShade="A6"/>
                <w:sz w:val="18"/>
                <w:szCs w:val="18"/>
                <w:lang w:eastAsia="es-ES"/>
              </w:rPr>
              <w:t>NR</w:t>
            </w:r>
          </w:p>
        </w:tc>
        <w:tc>
          <w:tcPr>
            <w:tcW w:w="631" w:type="dxa"/>
            <w:tcBorders>
              <w:top w:val="single" w:color="auto" w:sz="4" w:space="0"/>
              <w:left w:val="dashed" w:color="auto" w:sz="4" w:space="0"/>
              <w:bottom w:val="nil"/>
              <w:right w:val="nil"/>
            </w:tcBorders>
            <w:noWrap/>
            <w:hideMark/>
          </w:tcPr>
          <w:p w:rsidR="00681493" w:rsidP="00D63558" w:rsidRDefault="00681493" w14:paraId="55EEC44F" w14:textId="77777777">
            <w:pPr>
              <w:jc w:val="center"/>
              <w:rPr>
                <w:color w:val="000000"/>
                <w:sz w:val="18"/>
                <w:szCs w:val="18"/>
                <w:lang w:eastAsia="es-ES"/>
              </w:rPr>
            </w:pPr>
            <w:r>
              <w:rPr>
                <w:color w:val="A6A6A6" w:themeColor="background1" w:themeShade="A6"/>
                <w:sz w:val="18"/>
                <w:szCs w:val="18"/>
                <w:lang w:eastAsia="es-ES"/>
              </w:rPr>
              <w:t>NR</w:t>
            </w:r>
          </w:p>
        </w:tc>
        <w:tc>
          <w:tcPr>
            <w:tcW w:w="640" w:type="dxa"/>
            <w:tcBorders>
              <w:top w:val="single" w:color="auto" w:sz="4" w:space="0"/>
              <w:left w:val="nil"/>
              <w:bottom w:val="nil"/>
              <w:right w:val="nil"/>
            </w:tcBorders>
            <w:noWrap/>
            <w:vAlign w:val="center"/>
            <w:hideMark/>
          </w:tcPr>
          <w:p w:rsidR="00681493" w:rsidP="00D63558" w:rsidRDefault="00681493" w14:paraId="43EDEEBB" w14:textId="77777777">
            <w:pPr>
              <w:jc w:val="center"/>
              <w:rPr>
                <w:color w:val="000000"/>
                <w:sz w:val="18"/>
                <w:szCs w:val="18"/>
                <w:lang w:eastAsia="es-ES"/>
              </w:rPr>
            </w:pPr>
            <w:r>
              <w:rPr>
                <w:color w:val="000000"/>
                <w:sz w:val="18"/>
                <w:szCs w:val="18"/>
                <w:lang w:eastAsia="es-ES"/>
              </w:rPr>
              <w:t>0</w:t>
            </w:r>
          </w:p>
        </w:tc>
        <w:tc>
          <w:tcPr>
            <w:tcW w:w="514" w:type="dxa"/>
            <w:tcBorders>
              <w:top w:val="single" w:color="auto" w:sz="4" w:space="0"/>
              <w:left w:val="nil"/>
              <w:bottom w:val="nil"/>
              <w:right w:val="nil"/>
            </w:tcBorders>
            <w:noWrap/>
            <w:vAlign w:val="center"/>
            <w:hideMark/>
          </w:tcPr>
          <w:p w:rsidR="00681493" w:rsidP="00D63558" w:rsidRDefault="00681493" w14:paraId="19EC4238" w14:textId="77777777">
            <w:pPr>
              <w:jc w:val="center"/>
              <w:rPr>
                <w:color w:val="000000"/>
                <w:sz w:val="18"/>
                <w:szCs w:val="18"/>
                <w:lang w:eastAsia="es-ES"/>
              </w:rPr>
            </w:pPr>
            <w:r>
              <w:rPr>
                <w:color w:val="000000"/>
                <w:sz w:val="18"/>
                <w:szCs w:val="18"/>
                <w:lang w:eastAsia="es-ES"/>
              </w:rPr>
              <w:t>0</w:t>
            </w:r>
          </w:p>
        </w:tc>
        <w:tc>
          <w:tcPr>
            <w:tcW w:w="478" w:type="dxa"/>
            <w:tcBorders>
              <w:top w:val="single" w:color="auto" w:sz="4" w:space="0"/>
              <w:left w:val="nil"/>
              <w:bottom w:val="nil"/>
              <w:right w:val="dashed" w:color="auto" w:sz="4" w:space="0"/>
            </w:tcBorders>
            <w:hideMark/>
          </w:tcPr>
          <w:p w:rsidR="00681493" w:rsidP="00D63558" w:rsidRDefault="00681493" w14:paraId="17B5205C" w14:textId="77777777">
            <w:pPr>
              <w:jc w:val="center"/>
              <w:rPr>
                <w:color w:val="000000"/>
                <w:sz w:val="18"/>
                <w:szCs w:val="18"/>
                <w:lang w:eastAsia="es-ES"/>
              </w:rPr>
            </w:pPr>
            <w:r>
              <w:rPr>
                <w:color w:val="A6A6A6" w:themeColor="background1" w:themeShade="A6"/>
                <w:sz w:val="18"/>
                <w:szCs w:val="18"/>
                <w:lang w:eastAsia="es-ES"/>
              </w:rPr>
              <w:t>NR</w:t>
            </w:r>
          </w:p>
        </w:tc>
        <w:tc>
          <w:tcPr>
            <w:tcW w:w="478" w:type="dxa"/>
            <w:tcBorders>
              <w:top w:val="single" w:color="auto" w:sz="4" w:space="0"/>
              <w:left w:val="dashed" w:color="auto" w:sz="4" w:space="0"/>
              <w:bottom w:val="nil"/>
              <w:right w:val="nil"/>
            </w:tcBorders>
            <w:noWrap/>
            <w:vAlign w:val="center"/>
            <w:hideMark/>
          </w:tcPr>
          <w:p w:rsidR="00681493" w:rsidP="00D63558" w:rsidRDefault="00681493" w14:paraId="1AA71DE0" w14:textId="77777777">
            <w:pPr>
              <w:jc w:val="center"/>
              <w:rPr>
                <w:color w:val="000000"/>
                <w:sz w:val="18"/>
                <w:szCs w:val="18"/>
                <w:lang w:eastAsia="es-ES"/>
              </w:rPr>
            </w:pPr>
            <w:r>
              <w:rPr>
                <w:color w:val="000000"/>
                <w:sz w:val="18"/>
                <w:szCs w:val="18"/>
                <w:lang w:eastAsia="es-ES"/>
              </w:rPr>
              <w:t>0</w:t>
            </w:r>
          </w:p>
        </w:tc>
        <w:tc>
          <w:tcPr>
            <w:tcW w:w="425" w:type="dxa"/>
            <w:tcBorders>
              <w:top w:val="single" w:color="auto" w:sz="4" w:space="0"/>
              <w:left w:val="nil"/>
              <w:bottom w:val="nil"/>
              <w:right w:val="nil"/>
            </w:tcBorders>
            <w:noWrap/>
            <w:vAlign w:val="center"/>
            <w:hideMark/>
          </w:tcPr>
          <w:p w:rsidR="00681493" w:rsidP="00D63558" w:rsidRDefault="00681493" w14:paraId="1831D38C" w14:textId="77777777">
            <w:pPr>
              <w:jc w:val="center"/>
              <w:rPr>
                <w:color w:val="000000"/>
                <w:sz w:val="18"/>
                <w:szCs w:val="18"/>
                <w:lang w:eastAsia="es-ES"/>
              </w:rPr>
            </w:pPr>
            <w:r>
              <w:rPr>
                <w:color w:val="000000"/>
                <w:sz w:val="18"/>
                <w:szCs w:val="18"/>
                <w:lang w:eastAsia="es-ES"/>
              </w:rPr>
              <w:t>0</w:t>
            </w:r>
          </w:p>
        </w:tc>
        <w:tc>
          <w:tcPr>
            <w:tcW w:w="426" w:type="dxa"/>
            <w:tcBorders>
              <w:top w:val="single" w:color="auto" w:sz="4" w:space="0"/>
              <w:left w:val="nil"/>
              <w:bottom w:val="nil"/>
              <w:right w:val="nil"/>
            </w:tcBorders>
            <w:noWrap/>
            <w:vAlign w:val="center"/>
            <w:hideMark/>
          </w:tcPr>
          <w:p w:rsidR="00681493" w:rsidP="00D63558" w:rsidRDefault="00681493" w14:paraId="4A8D6C0A" w14:textId="77777777">
            <w:pPr>
              <w:jc w:val="center"/>
              <w:rPr>
                <w:color w:val="000000"/>
                <w:sz w:val="18"/>
                <w:szCs w:val="18"/>
                <w:lang w:eastAsia="es-ES"/>
              </w:rPr>
            </w:pPr>
            <w:r>
              <w:rPr>
                <w:color w:val="000000"/>
                <w:sz w:val="18"/>
                <w:szCs w:val="18"/>
                <w:lang w:eastAsia="es-ES"/>
              </w:rPr>
              <w:t>0</w:t>
            </w:r>
          </w:p>
        </w:tc>
        <w:tc>
          <w:tcPr>
            <w:tcW w:w="425" w:type="dxa"/>
            <w:tcBorders>
              <w:top w:val="single" w:color="auto" w:sz="4" w:space="0"/>
              <w:left w:val="nil"/>
              <w:bottom w:val="nil"/>
              <w:right w:val="nil"/>
            </w:tcBorders>
            <w:hideMark/>
          </w:tcPr>
          <w:p w:rsidR="00681493" w:rsidP="00D63558" w:rsidRDefault="00681493" w14:paraId="2E768EBB" w14:textId="77777777">
            <w:pPr>
              <w:jc w:val="center"/>
              <w:rPr>
                <w:color w:val="000000"/>
                <w:sz w:val="18"/>
                <w:szCs w:val="18"/>
                <w:lang w:eastAsia="es-ES"/>
              </w:rPr>
            </w:pPr>
            <w:r>
              <w:rPr>
                <w:color w:val="A6A6A6" w:themeColor="background1" w:themeShade="A6"/>
                <w:sz w:val="18"/>
                <w:szCs w:val="18"/>
                <w:lang w:eastAsia="es-ES"/>
              </w:rPr>
              <w:t>NR</w:t>
            </w:r>
          </w:p>
        </w:tc>
        <w:tc>
          <w:tcPr>
            <w:tcW w:w="566" w:type="dxa"/>
            <w:tcBorders>
              <w:top w:val="single" w:color="auto" w:sz="4" w:space="0"/>
              <w:left w:val="nil"/>
              <w:bottom w:val="nil"/>
              <w:right w:val="nil"/>
            </w:tcBorders>
            <w:shd w:val="clear" w:color="auto" w:fill="C6EFCE"/>
            <w:vAlign w:val="center"/>
            <w:hideMark/>
          </w:tcPr>
          <w:p w:rsidR="00681493" w:rsidP="00D63558" w:rsidRDefault="00681493" w14:paraId="154E6045" w14:textId="77777777">
            <w:pPr>
              <w:jc w:val="center"/>
              <w:rPr>
                <w:color w:val="000000"/>
                <w:sz w:val="18"/>
                <w:szCs w:val="18"/>
                <w:lang w:eastAsia="es-ES"/>
              </w:rPr>
            </w:pPr>
            <w:r>
              <w:rPr>
                <w:color w:val="006100"/>
                <w:sz w:val="18"/>
                <w:szCs w:val="18"/>
                <w:lang w:eastAsia="es-ES"/>
              </w:rPr>
              <w:t>+</w:t>
            </w:r>
          </w:p>
        </w:tc>
      </w:tr>
      <w:tr w:rsidR="00681493" w:rsidTr="00D63558" w14:paraId="091AFCD8" w14:textId="77777777">
        <w:trPr>
          <w:trHeight w:val="300"/>
        </w:trPr>
        <w:tc>
          <w:tcPr>
            <w:tcW w:w="3838" w:type="dxa"/>
            <w:gridSpan w:val="2"/>
            <w:tcBorders>
              <w:top w:val="nil"/>
              <w:left w:val="nil"/>
              <w:bottom w:val="single" w:color="auto" w:sz="4" w:space="0"/>
              <w:right w:val="single" w:color="auto" w:sz="4" w:space="0"/>
            </w:tcBorders>
            <w:vAlign w:val="center"/>
            <w:hideMark/>
          </w:tcPr>
          <w:p w:rsidR="00681493" w:rsidP="00D63558" w:rsidRDefault="00681493" w14:paraId="192B7CB8" w14:textId="77777777">
            <w:pPr>
              <w:rPr>
                <w:b/>
                <w:color w:val="000000"/>
                <w:sz w:val="18"/>
                <w:szCs w:val="18"/>
                <w:lang w:eastAsia="es-ES"/>
              </w:rPr>
            </w:pPr>
            <w:r>
              <w:rPr>
                <w:b/>
                <w:color w:val="000000"/>
                <w:sz w:val="18"/>
                <w:szCs w:val="18"/>
                <w:lang w:eastAsia="es-ES"/>
              </w:rPr>
              <w:t xml:space="preserve">Beta diversity </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345C4E6D" w14:textId="77777777">
            <w:pPr>
              <w:jc w:val="center"/>
              <w:rPr>
                <w:color w:val="000000"/>
                <w:sz w:val="18"/>
                <w:szCs w:val="18"/>
                <w:lang w:eastAsia="es-ES"/>
              </w:rPr>
            </w:pPr>
            <w:r>
              <w:rPr>
                <w:color w:val="000000"/>
                <w:sz w:val="18"/>
                <w:szCs w:val="18"/>
                <w:lang w:eastAsia="es-ES"/>
              </w:rPr>
              <w:t>0</w:t>
            </w:r>
          </w:p>
        </w:tc>
        <w:tc>
          <w:tcPr>
            <w:tcW w:w="566" w:type="dxa"/>
            <w:tcBorders>
              <w:top w:val="nil"/>
              <w:left w:val="nil"/>
              <w:bottom w:val="single" w:color="auto" w:sz="2" w:space="0"/>
              <w:right w:val="nil"/>
            </w:tcBorders>
            <w:noWrap/>
            <w:vAlign w:val="center"/>
            <w:hideMark/>
          </w:tcPr>
          <w:p w:rsidR="00681493" w:rsidP="00D63558" w:rsidRDefault="00681493" w14:paraId="54396C2F" w14:textId="77777777">
            <w:pPr>
              <w:jc w:val="center"/>
              <w:rPr>
                <w:color w:val="000000"/>
                <w:sz w:val="18"/>
                <w:szCs w:val="18"/>
                <w:lang w:eastAsia="es-ES"/>
              </w:rPr>
            </w:pPr>
            <w:r>
              <w:rPr>
                <w:color w:val="A6A6A6" w:themeColor="background1" w:themeShade="A6"/>
                <w:sz w:val="18"/>
                <w:szCs w:val="18"/>
                <w:lang w:eastAsia="es-ES"/>
              </w:rPr>
              <w:t>NR</w:t>
            </w:r>
          </w:p>
        </w:tc>
        <w:tc>
          <w:tcPr>
            <w:tcW w:w="457" w:type="dxa"/>
            <w:tcBorders>
              <w:top w:val="nil"/>
              <w:left w:val="nil"/>
              <w:bottom w:val="single" w:color="auto" w:sz="2" w:space="0"/>
              <w:right w:val="nil"/>
            </w:tcBorders>
            <w:noWrap/>
            <w:vAlign w:val="center"/>
            <w:hideMark/>
          </w:tcPr>
          <w:p w:rsidR="00681493" w:rsidP="00D63558" w:rsidRDefault="00681493" w14:paraId="39F836F1" w14:textId="77777777">
            <w:pPr>
              <w:jc w:val="center"/>
              <w:rPr>
                <w:color w:val="000000"/>
                <w:sz w:val="18"/>
                <w:szCs w:val="18"/>
                <w:lang w:eastAsia="es-ES"/>
              </w:rPr>
            </w:pPr>
            <w:r>
              <w:rPr>
                <w:color w:val="000000"/>
                <w:sz w:val="18"/>
                <w:szCs w:val="18"/>
                <w:lang w:eastAsia="es-ES"/>
              </w:rPr>
              <w:t>0</w:t>
            </w:r>
          </w:p>
        </w:tc>
        <w:tc>
          <w:tcPr>
            <w:tcW w:w="541" w:type="dxa"/>
            <w:tcBorders>
              <w:top w:val="nil"/>
              <w:left w:val="nil"/>
              <w:bottom w:val="single" w:color="auto" w:sz="2" w:space="0"/>
              <w:right w:val="nil"/>
            </w:tcBorders>
            <w:noWrap/>
            <w:hideMark/>
          </w:tcPr>
          <w:p w:rsidR="00681493" w:rsidP="00D63558" w:rsidRDefault="00681493" w14:paraId="02609CA9" w14:textId="77777777">
            <w:pPr>
              <w:jc w:val="center"/>
              <w:rPr>
                <w:color w:val="000000"/>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noWrap/>
            <w:vAlign w:val="center"/>
            <w:hideMark/>
          </w:tcPr>
          <w:p w:rsidR="00681493" w:rsidP="00D63558" w:rsidRDefault="00681493" w14:paraId="4F66C274" w14:textId="77777777">
            <w:pPr>
              <w:jc w:val="center"/>
              <w:rPr>
                <w:color w:val="000000"/>
                <w:sz w:val="18"/>
                <w:szCs w:val="18"/>
                <w:lang w:eastAsia="es-ES"/>
              </w:rPr>
            </w:pPr>
            <w:r>
              <w:rPr>
                <w:color w:val="000000"/>
                <w:sz w:val="18"/>
                <w:szCs w:val="18"/>
                <w:lang w:eastAsia="es-ES"/>
              </w:rPr>
              <w:t>0</w:t>
            </w:r>
          </w:p>
        </w:tc>
        <w:tc>
          <w:tcPr>
            <w:tcW w:w="760" w:type="dxa"/>
            <w:tcBorders>
              <w:top w:val="nil"/>
              <w:left w:val="nil"/>
              <w:bottom w:val="single" w:color="auto" w:sz="2" w:space="0"/>
              <w:right w:val="nil"/>
            </w:tcBorders>
            <w:hideMark/>
          </w:tcPr>
          <w:p w:rsidR="00681493" w:rsidP="00D63558" w:rsidRDefault="00681493" w14:paraId="343ECBCA" w14:textId="77777777">
            <w:pPr>
              <w:jc w:val="center"/>
              <w:rPr>
                <w:color w:val="000000"/>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681CC139" w14:textId="77777777">
            <w:pPr>
              <w:jc w:val="center"/>
              <w:rPr>
                <w:color w:val="000000"/>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shd w:val="clear" w:color="auto" w:fill="C6EFCE"/>
            <w:noWrap/>
            <w:vAlign w:val="center"/>
            <w:hideMark/>
          </w:tcPr>
          <w:p w:rsidR="00681493" w:rsidP="00D63558" w:rsidRDefault="00681493" w14:paraId="322D946E" w14:textId="77777777">
            <w:pPr>
              <w:jc w:val="center"/>
              <w:rPr>
                <w:color w:val="000000"/>
                <w:sz w:val="18"/>
                <w:szCs w:val="18"/>
                <w:lang w:eastAsia="es-ES"/>
              </w:rPr>
            </w:pPr>
            <w:r>
              <w:rPr>
                <w:color w:val="006100"/>
                <w:sz w:val="18"/>
                <w:szCs w:val="18"/>
                <w:lang w:eastAsia="es-ES"/>
              </w:rPr>
              <w:t>+</w:t>
            </w:r>
          </w:p>
        </w:tc>
        <w:tc>
          <w:tcPr>
            <w:tcW w:w="510" w:type="dxa"/>
            <w:tcBorders>
              <w:top w:val="nil"/>
              <w:left w:val="nil"/>
              <w:bottom w:val="single" w:color="auto" w:sz="2" w:space="0"/>
              <w:right w:val="dashed" w:color="auto" w:sz="4" w:space="0"/>
            </w:tcBorders>
            <w:noWrap/>
            <w:hideMark/>
          </w:tcPr>
          <w:p w:rsidR="00681493" w:rsidP="00D63558" w:rsidRDefault="00681493" w14:paraId="19A408F2" w14:textId="77777777">
            <w:pPr>
              <w:jc w:val="center"/>
              <w:rPr>
                <w:color w:val="000000"/>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hideMark/>
          </w:tcPr>
          <w:p w:rsidR="00681493" w:rsidP="00D63558" w:rsidRDefault="00681493" w14:paraId="44F7DC3E" w14:textId="77777777">
            <w:pPr>
              <w:jc w:val="center"/>
              <w:rPr>
                <w:color w:val="000000"/>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hideMark/>
          </w:tcPr>
          <w:p w:rsidR="00681493" w:rsidP="00D63558" w:rsidRDefault="00681493" w14:paraId="73C9166E" w14:textId="77777777">
            <w:pPr>
              <w:jc w:val="center"/>
              <w:rPr>
                <w:color w:val="000000"/>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2" w:space="0"/>
              <w:right w:val="nil"/>
            </w:tcBorders>
            <w:noWrap/>
            <w:hideMark/>
          </w:tcPr>
          <w:p w:rsidR="00681493" w:rsidP="00D63558" w:rsidRDefault="00681493" w14:paraId="046E66FC" w14:textId="77777777">
            <w:pPr>
              <w:jc w:val="center"/>
              <w:rPr>
                <w:color w:val="000000"/>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hideMark/>
          </w:tcPr>
          <w:p w:rsidR="00681493" w:rsidP="00D63558" w:rsidRDefault="00681493" w14:paraId="1A71901D" w14:textId="77777777">
            <w:pPr>
              <w:jc w:val="center"/>
              <w:rPr>
                <w:color w:val="0000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11B275B7" w14:textId="77777777">
            <w:pPr>
              <w:jc w:val="center"/>
              <w:rPr>
                <w:color w:val="000000"/>
                <w:sz w:val="18"/>
                <w:szCs w:val="18"/>
                <w:lang w:eastAsia="es-ES"/>
              </w:rPr>
            </w:pPr>
            <w:r>
              <w:rPr>
                <w:color w:val="000000"/>
                <w:sz w:val="18"/>
                <w:szCs w:val="18"/>
                <w:lang w:eastAsia="es-ES"/>
              </w:rPr>
              <w:t>0</w:t>
            </w:r>
          </w:p>
        </w:tc>
        <w:tc>
          <w:tcPr>
            <w:tcW w:w="425" w:type="dxa"/>
            <w:tcBorders>
              <w:top w:val="nil"/>
              <w:left w:val="nil"/>
              <w:bottom w:val="single" w:color="auto" w:sz="2" w:space="0"/>
              <w:right w:val="nil"/>
            </w:tcBorders>
            <w:shd w:val="clear" w:color="auto" w:fill="C6EFCE"/>
            <w:noWrap/>
            <w:vAlign w:val="center"/>
            <w:hideMark/>
          </w:tcPr>
          <w:p w:rsidR="00681493" w:rsidP="00D63558" w:rsidRDefault="00681493" w14:paraId="065AA468" w14:textId="77777777">
            <w:pPr>
              <w:jc w:val="center"/>
              <w:rPr>
                <w:color w:val="000000"/>
                <w:sz w:val="18"/>
                <w:szCs w:val="18"/>
                <w:lang w:eastAsia="es-ES"/>
              </w:rPr>
            </w:pPr>
            <w:r>
              <w:rPr>
                <w:color w:val="006100"/>
                <w:sz w:val="18"/>
                <w:szCs w:val="18"/>
                <w:lang w:eastAsia="es-ES"/>
              </w:rPr>
              <w:t>+</w:t>
            </w:r>
          </w:p>
        </w:tc>
        <w:tc>
          <w:tcPr>
            <w:tcW w:w="426" w:type="dxa"/>
            <w:tcBorders>
              <w:top w:val="nil"/>
              <w:left w:val="nil"/>
              <w:bottom w:val="single" w:color="auto" w:sz="4" w:space="0"/>
              <w:right w:val="nil"/>
            </w:tcBorders>
            <w:shd w:val="clear" w:color="auto" w:fill="C6EFCE"/>
            <w:noWrap/>
            <w:vAlign w:val="center"/>
            <w:hideMark/>
          </w:tcPr>
          <w:p w:rsidR="00681493" w:rsidP="00D63558" w:rsidRDefault="00681493" w14:paraId="5E61E2BA" w14:textId="77777777">
            <w:pPr>
              <w:jc w:val="center"/>
              <w:rPr>
                <w:color w:val="000000"/>
                <w:sz w:val="18"/>
                <w:szCs w:val="18"/>
                <w:lang w:eastAsia="es-ES"/>
              </w:rPr>
            </w:pPr>
            <w:r>
              <w:rPr>
                <w:color w:val="006100"/>
                <w:sz w:val="18"/>
                <w:szCs w:val="18"/>
                <w:lang w:eastAsia="es-ES"/>
              </w:rPr>
              <w:t>+</w:t>
            </w:r>
          </w:p>
        </w:tc>
        <w:tc>
          <w:tcPr>
            <w:tcW w:w="425" w:type="dxa"/>
            <w:tcBorders>
              <w:top w:val="nil"/>
              <w:left w:val="nil"/>
              <w:bottom w:val="single" w:color="auto" w:sz="4" w:space="0"/>
              <w:right w:val="nil"/>
            </w:tcBorders>
            <w:hideMark/>
          </w:tcPr>
          <w:p w:rsidR="00681493" w:rsidP="00D63558" w:rsidRDefault="00681493" w14:paraId="6C43D535"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4" w:space="0"/>
              <w:right w:val="nil"/>
            </w:tcBorders>
            <w:hideMark/>
          </w:tcPr>
          <w:p w:rsidR="00681493" w:rsidP="00D63558" w:rsidRDefault="00681493" w14:paraId="015731B7"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1899A1E3" w14:textId="77777777">
        <w:trPr>
          <w:trHeight w:val="300"/>
        </w:trPr>
        <w:tc>
          <w:tcPr>
            <w:tcW w:w="429" w:type="dxa"/>
            <w:vMerge w:val="restart"/>
            <w:tcBorders>
              <w:top w:val="single" w:color="auto" w:sz="4" w:space="0"/>
              <w:left w:val="nil"/>
              <w:bottom w:val="single" w:color="auto" w:sz="4" w:space="0"/>
              <w:right w:val="nil"/>
            </w:tcBorders>
            <w:noWrap/>
            <w:textDirection w:val="btLr"/>
            <w:vAlign w:val="center"/>
            <w:hideMark/>
          </w:tcPr>
          <w:p w:rsidR="00681493" w:rsidP="00D63558" w:rsidRDefault="00681493" w14:paraId="6B62A942" w14:textId="77777777">
            <w:pPr>
              <w:jc w:val="center"/>
              <w:rPr>
                <w:b/>
                <w:color w:val="000000"/>
                <w:sz w:val="18"/>
                <w:szCs w:val="18"/>
                <w:lang w:eastAsia="es-ES"/>
              </w:rPr>
            </w:pPr>
            <w:r>
              <w:rPr>
                <w:b/>
                <w:color w:val="000000"/>
                <w:sz w:val="18"/>
                <w:szCs w:val="18"/>
                <w:lang w:eastAsia="es-ES"/>
              </w:rPr>
              <w:t xml:space="preserve">Phylum </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4304368F" w14:textId="77777777">
            <w:pPr>
              <w:rPr>
                <w:i/>
                <w:color w:val="000000"/>
                <w:sz w:val="18"/>
                <w:szCs w:val="18"/>
                <w:lang w:eastAsia="es-ES"/>
              </w:rPr>
            </w:pPr>
            <w:r>
              <w:rPr>
                <w:color w:val="000000"/>
                <w:sz w:val="18"/>
                <w:szCs w:val="18"/>
                <w:lang w:eastAsia="es-ES"/>
              </w:rPr>
              <w:t>1.</w:t>
            </w:r>
            <w:r>
              <w:rPr>
                <w:i/>
                <w:color w:val="000000"/>
                <w:sz w:val="18"/>
                <w:szCs w:val="18"/>
                <w:lang w:eastAsia="es-ES"/>
              </w:rPr>
              <w:t>Firmicutes</w:t>
            </w:r>
          </w:p>
        </w:tc>
        <w:tc>
          <w:tcPr>
            <w:tcW w:w="476" w:type="dxa"/>
            <w:tcBorders>
              <w:top w:val="single" w:color="auto" w:sz="2" w:space="0"/>
              <w:left w:val="single" w:color="auto" w:sz="4" w:space="0"/>
              <w:bottom w:val="nil"/>
              <w:right w:val="nil"/>
            </w:tcBorders>
            <w:shd w:val="clear" w:color="auto" w:fill="C6EFCE"/>
            <w:noWrap/>
            <w:vAlign w:val="center"/>
            <w:hideMark/>
          </w:tcPr>
          <w:p w:rsidR="00681493" w:rsidP="00D63558" w:rsidRDefault="00681493" w14:paraId="13ADEBA3" w14:textId="77777777">
            <w:pPr>
              <w:jc w:val="center"/>
              <w:rPr>
                <w:color w:val="006100"/>
                <w:sz w:val="18"/>
                <w:szCs w:val="18"/>
                <w:lang w:eastAsia="es-ES"/>
              </w:rPr>
            </w:pPr>
            <w:r>
              <w:rPr>
                <w:color w:val="006100"/>
                <w:sz w:val="18"/>
                <w:szCs w:val="18"/>
                <w:lang w:eastAsia="es-ES"/>
              </w:rPr>
              <w:t>+</w:t>
            </w:r>
          </w:p>
        </w:tc>
        <w:tc>
          <w:tcPr>
            <w:tcW w:w="566" w:type="dxa"/>
            <w:tcBorders>
              <w:top w:val="single" w:color="auto" w:sz="2" w:space="0"/>
              <w:left w:val="nil"/>
              <w:bottom w:val="nil"/>
              <w:right w:val="nil"/>
            </w:tcBorders>
            <w:shd w:val="clear" w:color="auto" w:fill="FFEB9C"/>
            <w:noWrap/>
            <w:vAlign w:val="center"/>
            <w:hideMark/>
          </w:tcPr>
          <w:p w:rsidR="00681493" w:rsidP="00D63558" w:rsidRDefault="00681493" w14:paraId="12357DF8" w14:textId="77777777">
            <w:pPr>
              <w:jc w:val="center"/>
              <w:rPr>
                <w:color w:val="9C6500"/>
                <w:sz w:val="18"/>
                <w:szCs w:val="18"/>
                <w:lang w:eastAsia="es-ES"/>
              </w:rPr>
            </w:pPr>
            <w:r>
              <w:rPr>
                <w:color w:val="9C6500"/>
                <w:sz w:val="18"/>
                <w:szCs w:val="18"/>
                <w:lang w:eastAsia="es-ES"/>
              </w:rPr>
              <w:t>+/-</w:t>
            </w:r>
          </w:p>
        </w:tc>
        <w:tc>
          <w:tcPr>
            <w:tcW w:w="457" w:type="dxa"/>
            <w:tcBorders>
              <w:top w:val="single" w:color="auto" w:sz="2" w:space="0"/>
              <w:left w:val="nil"/>
              <w:bottom w:val="nil"/>
              <w:right w:val="nil"/>
            </w:tcBorders>
            <w:shd w:val="clear" w:color="auto" w:fill="C6EFCE"/>
            <w:noWrap/>
            <w:vAlign w:val="center"/>
            <w:hideMark/>
          </w:tcPr>
          <w:p w:rsidR="00681493" w:rsidP="00D63558" w:rsidRDefault="00681493" w14:paraId="292E5DF3" w14:textId="77777777">
            <w:pPr>
              <w:jc w:val="center"/>
              <w:rPr>
                <w:color w:val="006100"/>
                <w:sz w:val="18"/>
                <w:szCs w:val="18"/>
                <w:lang w:eastAsia="es-ES"/>
              </w:rPr>
            </w:pPr>
            <w:r>
              <w:rPr>
                <w:color w:val="006100"/>
                <w:sz w:val="18"/>
                <w:szCs w:val="18"/>
                <w:lang w:eastAsia="es-ES"/>
              </w:rPr>
              <w:t>+</w:t>
            </w:r>
          </w:p>
        </w:tc>
        <w:tc>
          <w:tcPr>
            <w:tcW w:w="541" w:type="dxa"/>
            <w:tcBorders>
              <w:top w:val="single" w:color="auto" w:sz="2" w:space="0"/>
              <w:left w:val="nil"/>
              <w:bottom w:val="nil"/>
              <w:right w:val="nil"/>
            </w:tcBorders>
            <w:noWrap/>
            <w:vAlign w:val="center"/>
            <w:hideMark/>
          </w:tcPr>
          <w:p w:rsidR="00681493" w:rsidP="00D63558" w:rsidRDefault="00681493" w14:paraId="72D6F85C" w14:textId="77777777">
            <w:pPr>
              <w:jc w:val="center"/>
              <w:rPr>
                <w:color w:val="000000"/>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shd w:val="clear" w:color="auto" w:fill="FFEB9C"/>
            <w:noWrap/>
            <w:hideMark/>
          </w:tcPr>
          <w:p w:rsidR="00681493" w:rsidP="00D63558" w:rsidRDefault="00681493" w14:paraId="3C02CD65" w14:textId="77777777">
            <w:pPr>
              <w:jc w:val="center"/>
              <w:rPr>
                <w:color w:val="9C6500"/>
                <w:sz w:val="18"/>
                <w:szCs w:val="18"/>
                <w:lang w:eastAsia="es-ES"/>
              </w:rPr>
            </w:pPr>
            <w:r>
              <w:rPr>
                <w:color w:val="9C6500"/>
                <w:sz w:val="18"/>
                <w:szCs w:val="18"/>
                <w:lang w:eastAsia="es-ES"/>
              </w:rPr>
              <w:t>+/-</w:t>
            </w:r>
          </w:p>
        </w:tc>
        <w:tc>
          <w:tcPr>
            <w:tcW w:w="760" w:type="dxa"/>
            <w:tcBorders>
              <w:top w:val="single" w:color="auto" w:sz="2" w:space="0"/>
              <w:left w:val="nil"/>
              <w:bottom w:val="nil"/>
              <w:right w:val="nil"/>
            </w:tcBorders>
            <w:vAlign w:val="center"/>
            <w:hideMark/>
          </w:tcPr>
          <w:p w:rsidR="00681493" w:rsidP="00D63558" w:rsidRDefault="00681493" w14:paraId="528E6B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3CCA04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2D2A76D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511F0CE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2F3E9C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1010AA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2" w:space="0"/>
              <w:left w:val="nil"/>
              <w:bottom w:val="nil"/>
              <w:right w:val="nil"/>
            </w:tcBorders>
            <w:shd w:val="clear" w:color="auto" w:fill="C6EFCE"/>
            <w:noWrap/>
            <w:hideMark/>
          </w:tcPr>
          <w:p w:rsidR="00681493" w:rsidP="00D63558" w:rsidRDefault="00681493" w14:paraId="6A596E72"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shd w:val="clear" w:color="auto" w:fill="C6EFCE"/>
            <w:hideMark/>
          </w:tcPr>
          <w:p w:rsidR="00681493" w:rsidP="00D63558" w:rsidRDefault="00681493" w14:paraId="03EEF990"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dashed" w:color="auto" w:sz="4" w:space="0"/>
              <w:bottom w:val="nil"/>
              <w:right w:val="nil"/>
            </w:tcBorders>
            <w:shd w:val="clear" w:color="auto" w:fill="C6EFCE"/>
            <w:noWrap/>
            <w:hideMark/>
          </w:tcPr>
          <w:p w:rsidR="00681493" w:rsidP="00D63558" w:rsidRDefault="00681493" w14:paraId="01E8BD3E" w14:textId="77777777">
            <w:pPr>
              <w:jc w:val="center"/>
              <w:rPr>
                <w:color w:val="006100"/>
                <w:sz w:val="18"/>
                <w:szCs w:val="18"/>
                <w:lang w:eastAsia="es-ES"/>
              </w:rPr>
            </w:pPr>
            <w:r>
              <w:rPr>
                <w:color w:val="006100"/>
                <w:sz w:val="18"/>
                <w:szCs w:val="18"/>
                <w:lang w:eastAsia="es-ES"/>
              </w:rPr>
              <w:t>+</w:t>
            </w:r>
          </w:p>
        </w:tc>
        <w:tc>
          <w:tcPr>
            <w:tcW w:w="425" w:type="dxa"/>
            <w:tcBorders>
              <w:top w:val="single" w:color="auto" w:sz="2" w:space="0"/>
              <w:left w:val="nil"/>
              <w:bottom w:val="nil"/>
              <w:right w:val="nil"/>
            </w:tcBorders>
            <w:noWrap/>
            <w:vAlign w:val="center"/>
            <w:hideMark/>
          </w:tcPr>
          <w:p w:rsidR="00681493" w:rsidP="00D63558" w:rsidRDefault="00681493" w14:paraId="58B0A2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4" w:space="0"/>
              <w:left w:val="nil"/>
              <w:bottom w:val="nil"/>
              <w:right w:val="nil"/>
            </w:tcBorders>
            <w:noWrap/>
            <w:vAlign w:val="center"/>
            <w:hideMark/>
          </w:tcPr>
          <w:p w:rsidR="00681493" w:rsidP="00D63558" w:rsidRDefault="00681493" w14:paraId="0B4E64D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4" w:space="0"/>
              <w:left w:val="nil"/>
              <w:bottom w:val="nil"/>
              <w:right w:val="nil"/>
            </w:tcBorders>
            <w:shd w:val="clear" w:color="auto" w:fill="FFEB9C"/>
            <w:hideMark/>
          </w:tcPr>
          <w:p w:rsidR="00681493" w:rsidP="00D63558" w:rsidRDefault="00681493" w14:paraId="597EB3C4" w14:textId="77777777">
            <w:pPr>
              <w:jc w:val="center"/>
              <w:rPr>
                <w:color w:val="A6A6A6" w:themeColor="background1" w:themeShade="A6"/>
                <w:sz w:val="18"/>
                <w:szCs w:val="18"/>
                <w:lang w:eastAsia="es-ES"/>
              </w:rPr>
            </w:pPr>
            <w:r>
              <w:rPr>
                <w:color w:val="9C6500"/>
                <w:sz w:val="18"/>
                <w:szCs w:val="18"/>
                <w:lang w:eastAsia="es-ES"/>
              </w:rPr>
              <w:t>+/-</w:t>
            </w:r>
          </w:p>
        </w:tc>
        <w:tc>
          <w:tcPr>
            <w:tcW w:w="566" w:type="dxa"/>
            <w:tcBorders>
              <w:top w:val="single" w:color="auto" w:sz="4" w:space="0"/>
              <w:left w:val="nil"/>
              <w:bottom w:val="nil"/>
              <w:right w:val="nil"/>
            </w:tcBorders>
            <w:shd w:val="clear" w:color="auto" w:fill="C6EFCE"/>
            <w:hideMark/>
          </w:tcPr>
          <w:p w:rsidR="00681493" w:rsidP="00D63558" w:rsidRDefault="00681493" w14:paraId="6CC33A1F"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4C8E3B94"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58E44739"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88D33AB" w14:textId="77777777">
            <w:pPr>
              <w:rPr>
                <w:i/>
                <w:color w:val="000000"/>
                <w:sz w:val="18"/>
                <w:szCs w:val="18"/>
                <w:lang w:eastAsia="es-ES"/>
              </w:rPr>
            </w:pPr>
            <w:r>
              <w:rPr>
                <w:color w:val="000000"/>
                <w:sz w:val="18"/>
                <w:szCs w:val="18"/>
                <w:lang w:eastAsia="es-ES"/>
              </w:rPr>
              <w:t>2.</w:t>
            </w:r>
            <w:r>
              <w:rPr>
                <w:i/>
                <w:color w:val="000000"/>
                <w:sz w:val="18"/>
                <w:szCs w:val="18"/>
                <w:lang w:eastAsia="es-ES"/>
              </w:rPr>
              <w:t>Bacteroidetes</w:t>
            </w:r>
          </w:p>
        </w:tc>
        <w:tc>
          <w:tcPr>
            <w:tcW w:w="476" w:type="dxa"/>
            <w:tcBorders>
              <w:left w:val="single" w:color="auto" w:sz="4" w:space="0"/>
            </w:tcBorders>
            <w:noWrap/>
            <w:vAlign w:val="center"/>
            <w:hideMark/>
          </w:tcPr>
          <w:p w:rsidR="00681493" w:rsidP="00D63558" w:rsidRDefault="00681493" w14:paraId="6C03F8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EB9C"/>
            <w:noWrap/>
            <w:vAlign w:val="center"/>
            <w:hideMark/>
          </w:tcPr>
          <w:p w:rsidR="00681493" w:rsidP="00D63558" w:rsidRDefault="00681493" w14:paraId="6F5DFDC8" w14:textId="77777777">
            <w:pPr>
              <w:jc w:val="center"/>
              <w:rPr>
                <w:color w:val="9C6500"/>
                <w:sz w:val="18"/>
                <w:szCs w:val="18"/>
                <w:lang w:eastAsia="es-ES"/>
              </w:rPr>
            </w:pPr>
            <w:r>
              <w:rPr>
                <w:color w:val="9C6500"/>
                <w:sz w:val="18"/>
                <w:szCs w:val="18"/>
                <w:lang w:eastAsia="es-ES"/>
              </w:rPr>
              <w:t>+/-</w:t>
            </w:r>
          </w:p>
        </w:tc>
        <w:tc>
          <w:tcPr>
            <w:tcW w:w="457" w:type="dxa"/>
            <w:noWrap/>
            <w:vAlign w:val="center"/>
            <w:hideMark/>
          </w:tcPr>
          <w:p w:rsidR="00681493" w:rsidP="00D63558" w:rsidRDefault="00681493" w14:paraId="03DDC47E" w14:textId="77777777">
            <w:pPr>
              <w:jc w:val="center"/>
              <w:rPr>
                <w:color w:val="000000"/>
                <w:sz w:val="18"/>
                <w:szCs w:val="18"/>
                <w:lang w:eastAsia="es-ES"/>
              </w:rPr>
            </w:pPr>
            <w:r>
              <w:rPr>
                <w:color w:val="A6A6A6" w:themeColor="background1" w:themeShade="A6"/>
                <w:sz w:val="18"/>
                <w:szCs w:val="18"/>
                <w:lang w:eastAsia="es-ES"/>
              </w:rPr>
              <w:t>NR</w:t>
            </w:r>
          </w:p>
        </w:tc>
        <w:tc>
          <w:tcPr>
            <w:tcW w:w="541" w:type="dxa"/>
            <w:shd w:val="clear" w:color="auto" w:fill="C6EFCE"/>
            <w:noWrap/>
            <w:vAlign w:val="center"/>
            <w:hideMark/>
          </w:tcPr>
          <w:p w:rsidR="00681493" w:rsidP="00D63558" w:rsidRDefault="00681493" w14:paraId="6DC7B95D" w14:textId="77777777">
            <w:pPr>
              <w:jc w:val="center"/>
              <w:rPr>
                <w:color w:val="006100"/>
                <w:sz w:val="18"/>
                <w:szCs w:val="18"/>
                <w:lang w:eastAsia="es-ES"/>
              </w:rPr>
            </w:pPr>
            <w:r>
              <w:rPr>
                <w:color w:val="006100"/>
                <w:sz w:val="18"/>
                <w:szCs w:val="18"/>
                <w:lang w:eastAsia="es-ES"/>
              </w:rPr>
              <w:t>+</w:t>
            </w:r>
          </w:p>
        </w:tc>
        <w:tc>
          <w:tcPr>
            <w:tcW w:w="562" w:type="dxa"/>
            <w:shd w:val="clear" w:color="auto" w:fill="FFEB9C"/>
            <w:noWrap/>
            <w:hideMark/>
          </w:tcPr>
          <w:p w:rsidR="00681493" w:rsidP="00D63558" w:rsidRDefault="00681493" w14:paraId="221F0957" w14:textId="77777777">
            <w:pPr>
              <w:jc w:val="center"/>
              <w:rPr>
                <w:color w:val="9C6500"/>
                <w:sz w:val="18"/>
                <w:szCs w:val="18"/>
                <w:lang w:eastAsia="es-ES"/>
              </w:rPr>
            </w:pPr>
            <w:r>
              <w:rPr>
                <w:color w:val="9C6500"/>
                <w:sz w:val="18"/>
                <w:szCs w:val="18"/>
                <w:lang w:eastAsia="es-ES"/>
              </w:rPr>
              <w:t>+/-</w:t>
            </w:r>
          </w:p>
        </w:tc>
        <w:tc>
          <w:tcPr>
            <w:tcW w:w="760" w:type="dxa"/>
            <w:shd w:val="clear" w:color="auto" w:fill="C6EFCE"/>
            <w:vAlign w:val="center"/>
            <w:hideMark/>
          </w:tcPr>
          <w:p w:rsidR="00681493" w:rsidP="00D63558" w:rsidRDefault="00681493" w14:paraId="1BB61F75" w14:textId="77777777">
            <w:pPr>
              <w:jc w:val="center"/>
              <w:rPr>
                <w:color w:val="000000"/>
                <w:sz w:val="18"/>
                <w:szCs w:val="18"/>
                <w:lang w:eastAsia="es-ES"/>
              </w:rPr>
            </w:pPr>
            <w:r>
              <w:rPr>
                <w:color w:val="006100"/>
                <w:sz w:val="18"/>
                <w:szCs w:val="18"/>
                <w:lang w:eastAsia="es-ES"/>
              </w:rPr>
              <w:t>+</w:t>
            </w:r>
          </w:p>
        </w:tc>
        <w:tc>
          <w:tcPr>
            <w:tcW w:w="428" w:type="dxa"/>
            <w:noWrap/>
            <w:vAlign w:val="center"/>
            <w:hideMark/>
          </w:tcPr>
          <w:p w:rsidR="00681493" w:rsidP="00D63558" w:rsidRDefault="00681493" w14:paraId="34E17E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9C2D5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2857D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shd w:val="clear" w:color="auto" w:fill="C6EFCE"/>
            <w:noWrap/>
            <w:vAlign w:val="center"/>
            <w:hideMark/>
          </w:tcPr>
          <w:p w:rsidR="00681493" w:rsidP="00D63558" w:rsidRDefault="00681493" w14:paraId="662C3D7D" w14:textId="77777777">
            <w:pPr>
              <w:jc w:val="center"/>
              <w:rPr>
                <w:color w:val="006100"/>
                <w:sz w:val="18"/>
                <w:szCs w:val="18"/>
                <w:lang w:eastAsia="es-ES"/>
              </w:rPr>
            </w:pPr>
            <w:r>
              <w:rPr>
                <w:color w:val="006100"/>
                <w:sz w:val="18"/>
                <w:szCs w:val="18"/>
                <w:lang w:eastAsia="es-ES"/>
              </w:rPr>
              <w:t>+</w:t>
            </w:r>
          </w:p>
        </w:tc>
        <w:tc>
          <w:tcPr>
            <w:tcW w:w="640" w:type="dxa"/>
            <w:noWrap/>
            <w:vAlign w:val="center"/>
            <w:hideMark/>
          </w:tcPr>
          <w:p w:rsidR="00681493" w:rsidP="00D63558" w:rsidRDefault="00681493" w14:paraId="4A3FC1C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AF988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22039D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FD0AC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371EB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45C5F0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C6EFCE"/>
            <w:hideMark/>
          </w:tcPr>
          <w:p w:rsidR="00681493" w:rsidP="00D63558" w:rsidRDefault="00681493" w14:paraId="26B5A380" w14:textId="77777777">
            <w:pPr>
              <w:jc w:val="center"/>
              <w:rPr>
                <w:color w:val="A6A6A6" w:themeColor="background1" w:themeShade="A6"/>
                <w:sz w:val="18"/>
                <w:szCs w:val="18"/>
                <w:lang w:eastAsia="es-ES"/>
              </w:rPr>
            </w:pPr>
            <w:r>
              <w:rPr>
                <w:color w:val="006100"/>
                <w:sz w:val="18"/>
                <w:szCs w:val="18"/>
                <w:lang w:eastAsia="es-ES"/>
              </w:rPr>
              <w:t>+</w:t>
            </w:r>
          </w:p>
        </w:tc>
        <w:tc>
          <w:tcPr>
            <w:tcW w:w="566" w:type="dxa"/>
            <w:shd w:val="clear" w:color="auto" w:fill="FFEB9C"/>
            <w:hideMark/>
          </w:tcPr>
          <w:p w:rsidR="00681493" w:rsidP="00D63558" w:rsidRDefault="00681493" w14:paraId="214E1BD3" w14:textId="77777777">
            <w:pPr>
              <w:jc w:val="center"/>
              <w:rPr>
                <w:color w:val="A6A6A6" w:themeColor="background1" w:themeShade="A6"/>
                <w:sz w:val="18"/>
                <w:szCs w:val="18"/>
                <w:lang w:eastAsia="es-ES"/>
              </w:rPr>
            </w:pPr>
            <w:r>
              <w:rPr>
                <w:color w:val="9C6500"/>
                <w:sz w:val="18"/>
                <w:szCs w:val="18"/>
                <w:lang w:eastAsia="es-ES"/>
              </w:rPr>
              <w:t>+/-</w:t>
            </w:r>
          </w:p>
        </w:tc>
      </w:tr>
      <w:tr w:rsidR="00681493" w:rsidTr="00D63558" w14:paraId="5418FBD6" w14:textId="77777777">
        <w:trPr>
          <w:trHeight w:val="255"/>
        </w:trPr>
        <w:tc>
          <w:tcPr>
            <w:tcW w:w="429" w:type="dxa"/>
            <w:vMerge/>
            <w:tcBorders>
              <w:top w:val="single" w:color="auto" w:sz="4" w:space="0"/>
              <w:left w:val="nil"/>
              <w:bottom w:val="single" w:color="auto" w:sz="4" w:space="0"/>
              <w:right w:val="nil"/>
            </w:tcBorders>
            <w:vAlign w:val="center"/>
            <w:hideMark/>
          </w:tcPr>
          <w:p w:rsidR="00681493" w:rsidP="00D63558" w:rsidRDefault="00681493" w14:paraId="0790730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B98F030" w14:textId="77777777">
            <w:pPr>
              <w:rPr>
                <w:i/>
                <w:color w:val="000000"/>
                <w:sz w:val="18"/>
                <w:szCs w:val="18"/>
                <w:lang w:eastAsia="es-ES"/>
              </w:rPr>
            </w:pPr>
            <w:r>
              <w:rPr>
                <w:color w:val="000000"/>
                <w:sz w:val="18"/>
                <w:szCs w:val="18"/>
                <w:lang w:eastAsia="es-ES"/>
              </w:rPr>
              <w:t>3.</w:t>
            </w:r>
            <w:r>
              <w:rPr>
                <w:i/>
                <w:color w:val="000000"/>
                <w:sz w:val="18"/>
                <w:szCs w:val="18"/>
                <w:lang w:eastAsia="es-ES"/>
              </w:rPr>
              <w:t>Actinobacteria</w:t>
            </w:r>
          </w:p>
        </w:tc>
        <w:tc>
          <w:tcPr>
            <w:tcW w:w="476" w:type="dxa"/>
            <w:tcBorders>
              <w:left w:val="single" w:color="auto" w:sz="4" w:space="0"/>
            </w:tcBorders>
            <w:noWrap/>
            <w:vAlign w:val="center"/>
            <w:hideMark/>
          </w:tcPr>
          <w:p w:rsidR="00681493" w:rsidP="00D63558" w:rsidRDefault="00681493" w14:paraId="454340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401A9AE5" w14:textId="77777777">
            <w:pPr>
              <w:jc w:val="center"/>
              <w:rPr>
                <w:color w:val="000000"/>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57B51E87"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5A610AF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57EF85F8"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1AF350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3700D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CC6EF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6E0611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8FA89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E7D9A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139784DB"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hideMark/>
          </w:tcPr>
          <w:p w:rsidR="00681493" w:rsidP="00D63558" w:rsidRDefault="00681493" w14:paraId="36D0795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6CB9F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CAFE1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26AE1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595FFB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523EF3B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3EE2FFA"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5D8235B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75328FC" w14:textId="77777777">
            <w:pPr>
              <w:rPr>
                <w:i/>
                <w:color w:val="000000"/>
                <w:sz w:val="18"/>
                <w:szCs w:val="18"/>
                <w:lang w:eastAsia="es-ES"/>
              </w:rPr>
            </w:pPr>
            <w:r>
              <w:rPr>
                <w:color w:val="000000"/>
                <w:sz w:val="18"/>
                <w:szCs w:val="18"/>
                <w:lang w:eastAsia="es-ES"/>
              </w:rPr>
              <w:t>4.</w:t>
            </w:r>
            <w:r>
              <w:rPr>
                <w:i/>
                <w:color w:val="000000"/>
                <w:sz w:val="18"/>
                <w:szCs w:val="18"/>
                <w:lang w:eastAsia="es-ES"/>
              </w:rPr>
              <w:t>Proteobacteria</w:t>
            </w:r>
          </w:p>
        </w:tc>
        <w:tc>
          <w:tcPr>
            <w:tcW w:w="476" w:type="dxa"/>
            <w:tcBorders>
              <w:left w:val="single" w:color="auto" w:sz="4" w:space="0"/>
            </w:tcBorders>
            <w:noWrap/>
            <w:vAlign w:val="center"/>
            <w:hideMark/>
          </w:tcPr>
          <w:p w:rsidR="00681493" w:rsidP="00D63558" w:rsidRDefault="00681493" w14:paraId="7C5829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5D3491E9"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44CE81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13A58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EB9C"/>
            <w:noWrap/>
            <w:vAlign w:val="center"/>
            <w:hideMark/>
          </w:tcPr>
          <w:p w:rsidR="00681493" w:rsidP="00D63558" w:rsidRDefault="00681493" w14:paraId="766E3C7D" w14:textId="77777777">
            <w:pPr>
              <w:jc w:val="center"/>
              <w:rPr>
                <w:color w:val="9C6500"/>
                <w:sz w:val="18"/>
                <w:szCs w:val="18"/>
                <w:lang w:eastAsia="es-ES"/>
              </w:rPr>
            </w:pPr>
            <w:r>
              <w:rPr>
                <w:color w:val="9C6500"/>
                <w:sz w:val="18"/>
                <w:szCs w:val="18"/>
                <w:lang w:eastAsia="es-ES"/>
              </w:rPr>
              <w:t>+/-</w:t>
            </w:r>
          </w:p>
        </w:tc>
        <w:tc>
          <w:tcPr>
            <w:tcW w:w="760" w:type="dxa"/>
            <w:vAlign w:val="center"/>
            <w:hideMark/>
          </w:tcPr>
          <w:p w:rsidR="00681493" w:rsidP="00D63558" w:rsidRDefault="00681493" w14:paraId="7E137D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CB6D5A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D30716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67BDD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8E7AA7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A83C9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1CD8587B"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hideMark/>
          </w:tcPr>
          <w:p w:rsidR="00681493" w:rsidP="00D63558" w:rsidRDefault="00681493" w14:paraId="32C71E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BF880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7636B2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shd w:val="clear" w:color="auto" w:fill="FFC7CE"/>
            <w:noWrap/>
            <w:vAlign w:val="center"/>
            <w:hideMark/>
          </w:tcPr>
          <w:p w:rsidR="00681493" w:rsidP="00D63558" w:rsidRDefault="00681493" w14:paraId="2C13832D" w14:textId="77777777">
            <w:pPr>
              <w:jc w:val="center"/>
              <w:rPr>
                <w:color w:val="9C0006"/>
                <w:sz w:val="18"/>
                <w:szCs w:val="18"/>
                <w:lang w:eastAsia="es-ES"/>
              </w:rPr>
            </w:pPr>
            <w:r>
              <w:rPr>
                <w:color w:val="9C0006"/>
                <w:sz w:val="18"/>
                <w:szCs w:val="18"/>
                <w:lang w:eastAsia="es-ES"/>
              </w:rPr>
              <w:t>-</w:t>
            </w:r>
          </w:p>
        </w:tc>
        <w:tc>
          <w:tcPr>
            <w:tcW w:w="425" w:type="dxa"/>
            <w:hideMark/>
          </w:tcPr>
          <w:p w:rsidR="00681493" w:rsidP="00D63558" w:rsidRDefault="00681493" w14:paraId="039C296C" w14:textId="77777777">
            <w:pPr>
              <w:jc w:val="center"/>
              <w:rPr>
                <w:color w:val="9C000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18EDC012" w14:textId="77777777">
            <w:pPr>
              <w:jc w:val="center"/>
              <w:rPr>
                <w:color w:val="9C0006"/>
                <w:sz w:val="18"/>
                <w:szCs w:val="18"/>
                <w:lang w:eastAsia="es-ES"/>
              </w:rPr>
            </w:pPr>
            <w:r>
              <w:rPr>
                <w:color w:val="A6A6A6" w:themeColor="background1" w:themeShade="A6"/>
                <w:sz w:val="18"/>
                <w:szCs w:val="18"/>
                <w:lang w:eastAsia="es-ES"/>
              </w:rPr>
              <w:t>NR</w:t>
            </w:r>
          </w:p>
        </w:tc>
      </w:tr>
      <w:tr w:rsidR="00681493" w:rsidTr="00D63558" w14:paraId="6ABCC607"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13B387ED"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69725D8C" w14:textId="77777777">
            <w:pPr>
              <w:rPr>
                <w:i/>
                <w:color w:val="000000"/>
                <w:sz w:val="18"/>
                <w:szCs w:val="18"/>
                <w:lang w:eastAsia="es-ES"/>
              </w:rPr>
            </w:pPr>
            <w:r>
              <w:rPr>
                <w:color w:val="000000"/>
                <w:sz w:val="18"/>
                <w:szCs w:val="18"/>
                <w:lang w:eastAsia="es-ES"/>
              </w:rPr>
              <w:t>5.</w:t>
            </w:r>
            <w:r>
              <w:rPr>
                <w:i/>
                <w:color w:val="000000"/>
                <w:sz w:val="18"/>
                <w:szCs w:val="18"/>
                <w:lang w:eastAsia="es-ES"/>
              </w:rPr>
              <w:t>Verrucomicrobia</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637BA4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shd w:val="clear" w:color="auto" w:fill="C6EFCE"/>
            <w:noWrap/>
            <w:hideMark/>
          </w:tcPr>
          <w:p w:rsidR="00681493" w:rsidP="00D63558" w:rsidRDefault="00681493" w14:paraId="196341EF" w14:textId="77777777">
            <w:pPr>
              <w:jc w:val="center"/>
              <w:rPr>
                <w:color w:val="006100"/>
                <w:sz w:val="18"/>
                <w:szCs w:val="18"/>
                <w:lang w:eastAsia="es-ES"/>
              </w:rPr>
            </w:pPr>
            <w:r>
              <w:rPr>
                <w:color w:val="006100"/>
                <w:sz w:val="18"/>
                <w:szCs w:val="18"/>
                <w:lang w:eastAsia="es-ES"/>
              </w:rPr>
              <w:t>+</w:t>
            </w:r>
          </w:p>
        </w:tc>
        <w:tc>
          <w:tcPr>
            <w:tcW w:w="457" w:type="dxa"/>
            <w:tcBorders>
              <w:top w:val="nil"/>
              <w:left w:val="nil"/>
              <w:bottom w:val="single" w:color="auto" w:sz="2" w:space="0"/>
              <w:right w:val="nil"/>
            </w:tcBorders>
            <w:noWrap/>
            <w:vAlign w:val="center"/>
            <w:hideMark/>
          </w:tcPr>
          <w:p w:rsidR="00681493" w:rsidP="00D63558" w:rsidRDefault="00681493" w14:paraId="0FE5297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6574AA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shd w:val="clear" w:color="auto" w:fill="C6EFCE"/>
            <w:noWrap/>
            <w:vAlign w:val="center"/>
            <w:hideMark/>
          </w:tcPr>
          <w:p w:rsidR="00681493" w:rsidP="00D63558" w:rsidRDefault="00681493" w14:paraId="47BFA16A" w14:textId="77777777">
            <w:pPr>
              <w:jc w:val="center"/>
              <w:rPr>
                <w:color w:val="006100"/>
                <w:sz w:val="18"/>
                <w:szCs w:val="18"/>
                <w:lang w:eastAsia="es-ES"/>
              </w:rPr>
            </w:pPr>
            <w:r>
              <w:rPr>
                <w:color w:val="006100"/>
                <w:sz w:val="18"/>
                <w:szCs w:val="18"/>
                <w:lang w:eastAsia="es-ES"/>
              </w:rPr>
              <w:t>+</w:t>
            </w:r>
          </w:p>
        </w:tc>
        <w:tc>
          <w:tcPr>
            <w:tcW w:w="760" w:type="dxa"/>
            <w:tcBorders>
              <w:top w:val="nil"/>
              <w:left w:val="nil"/>
              <w:bottom w:val="single" w:color="auto" w:sz="2" w:space="0"/>
              <w:right w:val="nil"/>
            </w:tcBorders>
            <w:vAlign w:val="center"/>
            <w:hideMark/>
          </w:tcPr>
          <w:p w:rsidR="00681493" w:rsidP="00D63558" w:rsidRDefault="00681493" w14:paraId="1DA0303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25662C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5BD0D2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7518A9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4E2F4C5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079085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4" w:space="0"/>
              <w:right w:val="nil"/>
            </w:tcBorders>
            <w:noWrap/>
            <w:vAlign w:val="center"/>
            <w:hideMark/>
          </w:tcPr>
          <w:p w:rsidR="00681493" w:rsidP="00D63558" w:rsidRDefault="00681493" w14:paraId="4E6D3EF7" w14:textId="77777777">
            <w:pPr>
              <w:jc w:val="center"/>
              <w:rPr>
                <w:color w:val="000000"/>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hideMark/>
          </w:tcPr>
          <w:p w:rsidR="00681493" w:rsidP="00D63558" w:rsidRDefault="00681493" w14:paraId="501559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5E29BA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01DB928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shd w:val="clear" w:color="auto" w:fill="C6EFCE"/>
            <w:noWrap/>
            <w:vAlign w:val="center"/>
            <w:hideMark/>
          </w:tcPr>
          <w:p w:rsidR="00681493" w:rsidP="00D63558" w:rsidRDefault="00681493" w14:paraId="5F90237F" w14:textId="77777777">
            <w:pPr>
              <w:jc w:val="center"/>
              <w:rPr>
                <w:color w:val="006100"/>
                <w:sz w:val="18"/>
                <w:szCs w:val="18"/>
                <w:lang w:eastAsia="es-ES"/>
              </w:rPr>
            </w:pPr>
            <w:r>
              <w:rPr>
                <w:color w:val="006100"/>
                <w:sz w:val="18"/>
                <w:szCs w:val="18"/>
                <w:lang w:eastAsia="es-ES"/>
              </w:rPr>
              <w:t>+</w:t>
            </w:r>
          </w:p>
        </w:tc>
        <w:tc>
          <w:tcPr>
            <w:tcW w:w="425" w:type="dxa"/>
            <w:tcBorders>
              <w:top w:val="nil"/>
              <w:left w:val="nil"/>
              <w:bottom w:val="single" w:color="auto" w:sz="2" w:space="0"/>
              <w:right w:val="nil"/>
            </w:tcBorders>
            <w:hideMark/>
          </w:tcPr>
          <w:p w:rsidR="00681493" w:rsidP="00D63558" w:rsidRDefault="00681493" w14:paraId="37AEA7AA"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hideMark/>
          </w:tcPr>
          <w:p w:rsidR="00681493" w:rsidP="00D63558" w:rsidRDefault="00681493" w14:paraId="4262FE26"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4FB83337" w14:textId="77777777">
        <w:trPr>
          <w:trHeight w:val="300"/>
        </w:trPr>
        <w:tc>
          <w:tcPr>
            <w:tcW w:w="429" w:type="dxa"/>
            <w:vMerge w:val="restart"/>
            <w:tcBorders>
              <w:top w:val="single" w:color="auto" w:sz="4" w:space="0"/>
              <w:left w:val="nil"/>
              <w:bottom w:val="nil"/>
              <w:right w:val="nil"/>
            </w:tcBorders>
            <w:noWrap/>
            <w:textDirection w:val="btLr"/>
            <w:vAlign w:val="center"/>
            <w:hideMark/>
          </w:tcPr>
          <w:p w:rsidR="00681493" w:rsidP="00D63558" w:rsidRDefault="00681493" w14:paraId="6705ECA8" w14:textId="77777777">
            <w:pPr>
              <w:jc w:val="center"/>
              <w:rPr>
                <w:b/>
                <w:color w:val="000000"/>
                <w:sz w:val="18"/>
                <w:szCs w:val="18"/>
                <w:lang w:eastAsia="es-ES"/>
              </w:rPr>
            </w:pPr>
            <w:r>
              <w:rPr>
                <w:b/>
                <w:color w:val="000000"/>
                <w:sz w:val="18"/>
                <w:szCs w:val="18"/>
                <w:lang w:eastAsia="es-ES"/>
              </w:rPr>
              <w:t>Class</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6954DB5F" w14:textId="77777777">
            <w:pPr>
              <w:rPr>
                <w:color w:val="000000"/>
                <w:sz w:val="18"/>
                <w:szCs w:val="18"/>
                <w:lang w:eastAsia="es-ES"/>
              </w:rPr>
            </w:pPr>
            <w:r>
              <w:rPr>
                <w:color w:val="000000"/>
                <w:sz w:val="18"/>
                <w:szCs w:val="18"/>
                <w:lang w:eastAsia="es-ES"/>
              </w:rPr>
              <w:t>1.1.</w:t>
            </w:r>
            <w:r>
              <w:rPr>
                <w:i/>
                <w:color w:val="000000"/>
                <w:sz w:val="18"/>
                <w:szCs w:val="18"/>
                <w:lang w:eastAsia="es-ES"/>
              </w:rPr>
              <w:t>Clostridia</w:t>
            </w:r>
          </w:p>
        </w:tc>
        <w:tc>
          <w:tcPr>
            <w:tcW w:w="476" w:type="dxa"/>
            <w:tcBorders>
              <w:top w:val="single" w:color="auto" w:sz="2" w:space="0"/>
              <w:left w:val="single" w:color="auto" w:sz="4" w:space="0"/>
              <w:bottom w:val="nil"/>
              <w:right w:val="nil"/>
            </w:tcBorders>
            <w:shd w:val="clear" w:color="auto" w:fill="C6EFCE"/>
            <w:noWrap/>
            <w:hideMark/>
          </w:tcPr>
          <w:p w:rsidR="00681493" w:rsidP="00D63558" w:rsidRDefault="00681493" w14:paraId="7770AC64" w14:textId="77777777">
            <w:pPr>
              <w:jc w:val="center"/>
              <w:rPr>
                <w:color w:val="006100"/>
                <w:sz w:val="18"/>
                <w:szCs w:val="18"/>
                <w:lang w:eastAsia="es-ES"/>
              </w:rPr>
            </w:pPr>
            <w:r>
              <w:rPr>
                <w:color w:val="006100"/>
                <w:sz w:val="18"/>
                <w:szCs w:val="18"/>
                <w:lang w:eastAsia="es-ES"/>
              </w:rPr>
              <w:t>+</w:t>
            </w:r>
          </w:p>
        </w:tc>
        <w:tc>
          <w:tcPr>
            <w:tcW w:w="566" w:type="dxa"/>
            <w:tcBorders>
              <w:top w:val="single" w:color="auto" w:sz="2" w:space="0"/>
              <w:left w:val="nil"/>
              <w:bottom w:val="nil"/>
              <w:right w:val="nil"/>
            </w:tcBorders>
            <w:shd w:val="clear" w:color="auto" w:fill="C6EFCE"/>
            <w:noWrap/>
            <w:hideMark/>
          </w:tcPr>
          <w:p w:rsidR="00681493" w:rsidP="00D63558" w:rsidRDefault="00681493" w14:paraId="38927336" w14:textId="77777777">
            <w:pPr>
              <w:jc w:val="center"/>
              <w:rPr>
                <w:color w:val="006100"/>
                <w:sz w:val="18"/>
                <w:szCs w:val="18"/>
                <w:lang w:eastAsia="es-ES"/>
              </w:rPr>
            </w:pPr>
            <w:r>
              <w:rPr>
                <w:color w:val="006100"/>
                <w:sz w:val="18"/>
                <w:szCs w:val="18"/>
                <w:lang w:eastAsia="es-ES"/>
              </w:rPr>
              <w:t>+</w:t>
            </w:r>
          </w:p>
        </w:tc>
        <w:tc>
          <w:tcPr>
            <w:tcW w:w="457" w:type="dxa"/>
            <w:tcBorders>
              <w:top w:val="single" w:color="auto" w:sz="2" w:space="0"/>
              <w:left w:val="nil"/>
              <w:bottom w:val="nil"/>
              <w:right w:val="nil"/>
            </w:tcBorders>
            <w:shd w:val="clear" w:color="auto" w:fill="C6EFCE"/>
            <w:noWrap/>
            <w:hideMark/>
          </w:tcPr>
          <w:p w:rsidR="00681493" w:rsidP="00D63558" w:rsidRDefault="00681493" w14:paraId="655AB442" w14:textId="77777777">
            <w:pPr>
              <w:jc w:val="center"/>
              <w:rPr>
                <w:color w:val="006100"/>
                <w:sz w:val="18"/>
                <w:szCs w:val="18"/>
                <w:lang w:eastAsia="es-ES"/>
              </w:rPr>
            </w:pPr>
            <w:r>
              <w:rPr>
                <w:color w:val="006100"/>
                <w:sz w:val="18"/>
                <w:szCs w:val="18"/>
                <w:lang w:eastAsia="es-ES"/>
              </w:rPr>
              <w:t>+</w:t>
            </w:r>
          </w:p>
        </w:tc>
        <w:tc>
          <w:tcPr>
            <w:tcW w:w="541" w:type="dxa"/>
            <w:tcBorders>
              <w:top w:val="single" w:color="auto" w:sz="2" w:space="0"/>
              <w:left w:val="nil"/>
              <w:bottom w:val="nil"/>
              <w:right w:val="nil"/>
            </w:tcBorders>
            <w:noWrap/>
            <w:vAlign w:val="center"/>
            <w:hideMark/>
          </w:tcPr>
          <w:p w:rsidR="00681493" w:rsidP="00D63558" w:rsidRDefault="00681493" w14:paraId="63C2396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shd w:val="clear" w:color="auto" w:fill="FFEB9C"/>
            <w:noWrap/>
            <w:vAlign w:val="center"/>
            <w:hideMark/>
          </w:tcPr>
          <w:p w:rsidR="00681493" w:rsidP="00D63558" w:rsidRDefault="00681493" w14:paraId="2D2197DD" w14:textId="77777777">
            <w:pPr>
              <w:jc w:val="center"/>
              <w:rPr>
                <w:color w:val="9C6500"/>
                <w:sz w:val="18"/>
                <w:szCs w:val="18"/>
                <w:lang w:eastAsia="es-ES"/>
              </w:rPr>
            </w:pPr>
            <w:r>
              <w:rPr>
                <w:color w:val="9C6500"/>
                <w:sz w:val="18"/>
                <w:szCs w:val="18"/>
                <w:lang w:eastAsia="es-ES"/>
              </w:rPr>
              <w:t>+/-</w:t>
            </w:r>
          </w:p>
        </w:tc>
        <w:tc>
          <w:tcPr>
            <w:tcW w:w="760" w:type="dxa"/>
            <w:tcBorders>
              <w:top w:val="single" w:color="auto" w:sz="2" w:space="0"/>
              <w:left w:val="nil"/>
              <w:bottom w:val="nil"/>
              <w:right w:val="nil"/>
            </w:tcBorders>
            <w:hideMark/>
          </w:tcPr>
          <w:p w:rsidR="00681493" w:rsidP="00D63558" w:rsidRDefault="00681493" w14:paraId="7CCBB2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2D8CDC8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0FF602A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6BCFF2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23A600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326289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4" w:space="0"/>
              <w:left w:val="nil"/>
              <w:bottom w:val="nil"/>
              <w:right w:val="nil"/>
            </w:tcBorders>
            <w:shd w:val="clear" w:color="auto" w:fill="C6EFCE"/>
            <w:noWrap/>
            <w:hideMark/>
          </w:tcPr>
          <w:p w:rsidR="00681493" w:rsidP="00D63558" w:rsidRDefault="00681493" w14:paraId="0945DA6D"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vAlign w:val="center"/>
            <w:hideMark/>
          </w:tcPr>
          <w:p w:rsidR="00681493" w:rsidP="00D63558" w:rsidRDefault="00681493" w14:paraId="57D93647"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shd w:val="clear" w:color="auto" w:fill="C6EFCE"/>
            <w:noWrap/>
            <w:hideMark/>
          </w:tcPr>
          <w:p w:rsidR="00681493" w:rsidP="00D63558" w:rsidRDefault="00681493" w14:paraId="430421DA" w14:textId="77777777">
            <w:pPr>
              <w:jc w:val="center"/>
              <w:rPr>
                <w:color w:val="006100"/>
                <w:sz w:val="18"/>
                <w:szCs w:val="18"/>
                <w:lang w:eastAsia="es-ES"/>
              </w:rPr>
            </w:pPr>
            <w:r>
              <w:rPr>
                <w:color w:val="006100"/>
                <w:sz w:val="18"/>
                <w:szCs w:val="18"/>
                <w:lang w:eastAsia="es-ES"/>
              </w:rPr>
              <w:t>+</w:t>
            </w:r>
          </w:p>
        </w:tc>
        <w:tc>
          <w:tcPr>
            <w:tcW w:w="425" w:type="dxa"/>
            <w:tcBorders>
              <w:top w:val="single" w:color="auto" w:sz="2" w:space="0"/>
              <w:left w:val="nil"/>
              <w:bottom w:val="nil"/>
              <w:right w:val="nil"/>
            </w:tcBorders>
            <w:noWrap/>
            <w:vAlign w:val="center"/>
            <w:hideMark/>
          </w:tcPr>
          <w:p w:rsidR="00681493" w:rsidP="00D63558" w:rsidRDefault="00681493" w14:paraId="10937C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05272E0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shd w:val="clear" w:color="auto" w:fill="FFEB9C"/>
            <w:hideMark/>
          </w:tcPr>
          <w:p w:rsidR="00681493" w:rsidP="00D63558" w:rsidRDefault="00681493" w14:paraId="4B1C5698" w14:textId="77777777">
            <w:pPr>
              <w:jc w:val="center"/>
              <w:rPr>
                <w:color w:val="A6A6A6" w:themeColor="background1" w:themeShade="A6"/>
                <w:sz w:val="18"/>
                <w:szCs w:val="18"/>
                <w:lang w:eastAsia="es-ES"/>
              </w:rPr>
            </w:pPr>
            <w:r>
              <w:rPr>
                <w:color w:val="9C6500"/>
                <w:sz w:val="18"/>
                <w:szCs w:val="18"/>
                <w:lang w:eastAsia="es-ES"/>
              </w:rPr>
              <w:t>+/-</w:t>
            </w:r>
          </w:p>
        </w:tc>
        <w:tc>
          <w:tcPr>
            <w:tcW w:w="566" w:type="dxa"/>
            <w:tcBorders>
              <w:top w:val="single" w:color="auto" w:sz="2" w:space="0"/>
              <w:left w:val="nil"/>
              <w:bottom w:val="nil"/>
              <w:right w:val="nil"/>
            </w:tcBorders>
            <w:shd w:val="clear" w:color="auto" w:fill="C6EFCE"/>
            <w:hideMark/>
          </w:tcPr>
          <w:p w:rsidR="00681493" w:rsidP="00D63558" w:rsidRDefault="00681493" w14:paraId="1932DF96"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44076B4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891A7E2"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6E28050" w14:textId="77777777">
            <w:pPr>
              <w:rPr>
                <w:color w:val="000000"/>
                <w:sz w:val="18"/>
                <w:szCs w:val="18"/>
                <w:lang w:eastAsia="es-ES"/>
              </w:rPr>
            </w:pPr>
            <w:r>
              <w:rPr>
                <w:color w:val="000000"/>
                <w:sz w:val="18"/>
                <w:szCs w:val="18"/>
                <w:lang w:eastAsia="es-ES"/>
              </w:rPr>
              <w:t>1.2.</w:t>
            </w:r>
            <w:r>
              <w:rPr>
                <w:i/>
                <w:color w:val="000000"/>
                <w:sz w:val="18"/>
                <w:szCs w:val="18"/>
                <w:lang w:eastAsia="es-ES"/>
              </w:rPr>
              <w:t>Erysipelotrichia</w:t>
            </w:r>
          </w:p>
        </w:tc>
        <w:tc>
          <w:tcPr>
            <w:tcW w:w="476" w:type="dxa"/>
            <w:tcBorders>
              <w:left w:val="single" w:color="auto" w:sz="4" w:space="0"/>
            </w:tcBorders>
            <w:shd w:val="clear" w:color="auto" w:fill="C6EFCE"/>
            <w:noWrap/>
            <w:hideMark/>
          </w:tcPr>
          <w:p w:rsidR="00681493" w:rsidP="00D63558" w:rsidRDefault="00681493" w14:paraId="2A615687" w14:textId="77777777">
            <w:pPr>
              <w:jc w:val="center"/>
              <w:rPr>
                <w:color w:val="006100"/>
                <w:sz w:val="18"/>
                <w:szCs w:val="18"/>
                <w:lang w:eastAsia="es-ES"/>
              </w:rPr>
            </w:pPr>
            <w:r>
              <w:rPr>
                <w:color w:val="006100"/>
                <w:sz w:val="18"/>
                <w:szCs w:val="18"/>
                <w:lang w:eastAsia="es-ES"/>
              </w:rPr>
              <w:t>+</w:t>
            </w:r>
          </w:p>
        </w:tc>
        <w:tc>
          <w:tcPr>
            <w:tcW w:w="566" w:type="dxa"/>
            <w:shd w:val="clear" w:color="auto" w:fill="C6EFCE"/>
            <w:noWrap/>
            <w:hideMark/>
          </w:tcPr>
          <w:p w:rsidR="00681493" w:rsidP="00D63558" w:rsidRDefault="00681493" w14:paraId="73414E3C" w14:textId="77777777">
            <w:pPr>
              <w:jc w:val="center"/>
              <w:rPr>
                <w:color w:val="006100"/>
                <w:sz w:val="18"/>
                <w:szCs w:val="18"/>
                <w:lang w:eastAsia="es-ES"/>
              </w:rPr>
            </w:pPr>
            <w:r>
              <w:rPr>
                <w:color w:val="006100"/>
                <w:sz w:val="18"/>
                <w:szCs w:val="18"/>
                <w:lang w:eastAsia="es-ES"/>
              </w:rPr>
              <w:t>+</w:t>
            </w:r>
          </w:p>
        </w:tc>
        <w:tc>
          <w:tcPr>
            <w:tcW w:w="457" w:type="dxa"/>
            <w:shd w:val="clear" w:color="auto" w:fill="C6EFCE"/>
            <w:noWrap/>
            <w:hideMark/>
          </w:tcPr>
          <w:p w:rsidR="00681493" w:rsidP="00D63558" w:rsidRDefault="00681493" w14:paraId="2B6341CB"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19DFD51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3AFEFD71" w14:textId="77777777">
            <w:pPr>
              <w:jc w:val="center"/>
              <w:rPr>
                <w:color w:val="9C0006"/>
                <w:sz w:val="18"/>
                <w:szCs w:val="18"/>
                <w:lang w:eastAsia="es-ES"/>
              </w:rPr>
            </w:pPr>
            <w:r>
              <w:rPr>
                <w:color w:val="9C0006"/>
                <w:sz w:val="18"/>
                <w:szCs w:val="18"/>
                <w:lang w:eastAsia="es-ES"/>
              </w:rPr>
              <w:t>-</w:t>
            </w:r>
          </w:p>
        </w:tc>
        <w:tc>
          <w:tcPr>
            <w:tcW w:w="760" w:type="dxa"/>
            <w:hideMark/>
          </w:tcPr>
          <w:p w:rsidR="00681493" w:rsidP="00D63558" w:rsidRDefault="00681493" w14:paraId="634DBE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88B74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8EF36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C13D6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020ED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A3477A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9DE210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09A5AC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3CD577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67A0FF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66EA74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E14301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678713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06E9E17"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BABAAC8"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3C39DA3" w14:textId="77777777">
            <w:pPr>
              <w:rPr>
                <w:color w:val="000000"/>
                <w:sz w:val="18"/>
                <w:szCs w:val="18"/>
                <w:lang w:eastAsia="es-ES"/>
              </w:rPr>
            </w:pPr>
            <w:r>
              <w:rPr>
                <w:color w:val="000000"/>
                <w:sz w:val="18"/>
                <w:szCs w:val="18"/>
                <w:lang w:eastAsia="es-ES"/>
              </w:rPr>
              <w:t>1.3.</w:t>
            </w:r>
            <w:r>
              <w:rPr>
                <w:i/>
                <w:color w:val="000000"/>
                <w:sz w:val="18"/>
                <w:szCs w:val="18"/>
                <w:lang w:eastAsia="es-ES"/>
              </w:rPr>
              <w:t>Bacilli</w:t>
            </w:r>
          </w:p>
        </w:tc>
        <w:tc>
          <w:tcPr>
            <w:tcW w:w="476" w:type="dxa"/>
            <w:tcBorders>
              <w:left w:val="single" w:color="auto" w:sz="4" w:space="0"/>
            </w:tcBorders>
            <w:noWrap/>
            <w:vAlign w:val="center"/>
            <w:hideMark/>
          </w:tcPr>
          <w:p w:rsidR="00681493" w:rsidP="00D63558" w:rsidRDefault="00681493" w14:paraId="72834E1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32583E1F"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7E53FC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71296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1F286C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6CDE4E3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76B694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EB18B0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C2E55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88628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DBDC4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41695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71801E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B1149A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1429DC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3AA96A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3263797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2D368A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00F9BA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EB3A1C9"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C527628" w14:textId="77777777">
            <w:pPr>
              <w:rPr>
                <w:color w:val="000000"/>
                <w:sz w:val="18"/>
                <w:szCs w:val="18"/>
                <w:lang w:eastAsia="es-ES"/>
              </w:rPr>
            </w:pPr>
            <w:r>
              <w:rPr>
                <w:color w:val="000000"/>
                <w:sz w:val="18"/>
                <w:szCs w:val="18"/>
                <w:lang w:eastAsia="es-ES"/>
              </w:rPr>
              <w:t>1.4.</w:t>
            </w:r>
            <w:r>
              <w:rPr>
                <w:i/>
                <w:color w:val="000000"/>
                <w:sz w:val="18"/>
                <w:szCs w:val="18"/>
                <w:lang w:eastAsia="es-ES"/>
              </w:rPr>
              <w:t>Negativicutes</w:t>
            </w:r>
          </w:p>
        </w:tc>
        <w:tc>
          <w:tcPr>
            <w:tcW w:w="476" w:type="dxa"/>
            <w:tcBorders>
              <w:left w:val="single" w:color="auto" w:sz="4" w:space="0"/>
            </w:tcBorders>
            <w:noWrap/>
            <w:vAlign w:val="center"/>
            <w:hideMark/>
          </w:tcPr>
          <w:p w:rsidR="00681493" w:rsidP="00D63558" w:rsidRDefault="00681493" w14:paraId="628BCA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7D42A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1162A9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11568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7D61AD4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27424B5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551703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04AFA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7861C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F0F2A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3D68C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38E3D96E"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shd w:val="clear" w:color="auto" w:fill="C6EFCE"/>
            <w:vAlign w:val="center"/>
            <w:hideMark/>
          </w:tcPr>
          <w:p w:rsidR="00681493" w:rsidP="00D63558" w:rsidRDefault="00681493" w14:paraId="181925B5" w14:textId="77777777">
            <w:pPr>
              <w:jc w:val="center"/>
              <w:rPr>
                <w:color w:val="A6A6A6" w:themeColor="background1" w:themeShade="A6"/>
                <w:sz w:val="18"/>
                <w:szCs w:val="18"/>
                <w:lang w:eastAsia="es-ES"/>
              </w:rPr>
            </w:pPr>
            <w:r>
              <w:rPr>
                <w:color w:val="006100"/>
                <w:sz w:val="18"/>
                <w:szCs w:val="18"/>
                <w:lang w:eastAsia="es-ES"/>
              </w:rPr>
              <w:t>+</w:t>
            </w:r>
          </w:p>
        </w:tc>
        <w:tc>
          <w:tcPr>
            <w:tcW w:w="478" w:type="dxa"/>
            <w:tcBorders>
              <w:top w:val="nil"/>
              <w:left w:val="dashed" w:color="auto" w:sz="4" w:space="0"/>
              <w:bottom w:val="nil"/>
              <w:right w:val="nil"/>
            </w:tcBorders>
            <w:noWrap/>
            <w:vAlign w:val="center"/>
            <w:hideMark/>
          </w:tcPr>
          <w:p w:rsidR="00681493" w:rsidP="00D63558" w:rsidRDefault="00681493" w14:paraId="17C854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B6F60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ACCEB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227F85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11435B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8BC5BA3"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1D26E5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0DFED4E" w14:textId="77777777">
            <w:pPr>
              <w:rPr>
                <w:color w:val="000000"/>
                <w:sz w:val="18"/>
                <w:szCs w:val="18"/>
                <w:lang w:eastAsia="es-ES"/>
              </w:rPr>
            </w:pPr>
            <w:r>
              <w:rPr>
                <w:color w:val="000000"/>
                <w:sz w:val="18"/>
                <w:szCs w:val="18"/>
                <w:lang w:eastAsia="es-ES"/>
              </w:rPr>
              <w:t>2.1.</w:t>
            </w:r>
            <w:r>
              <w:rPr>
                <w:i/>
                <w:color w:val="000000"/>
                <w:sz w:val="18"/>
                <w:szCs w:val="18"/>
                <w:lang w:eastAsia="es-ES"/>
              </w:rPr>
              <w:t>Bacteroidia</w:t>
            </w:r>
          </w:p>
        </w:tc>
        <w:tc>
          <w:tcPr>
            <w:tcW w:w="476" w:type="dxa"/>
            <w:tcBorders>
              <w:left w:val="single" w:color="auto" w:sz="4" w:space="0"/>
            </w:tcBorders>
            <w:noWrap/>
            <w:vAlign w:val="center"/>
            <w:hideMark/>
          </w:tcPr>
          <w:p w:rsidR="00681493" w:rsidP="00D63558" w:rsidRDefault="00681493" w14:paraId="799F79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EB9C"/>
            <w:noWrap/>
            <w:vAlign w:val="center"/>
            <w:hideMark/>
          </w:tcPr>
          <w:p w:rsidR="00681493" w:rsidP="00D63558" w:rsidRDefault="00681493" w14:paraId="76110E68" w14:textId="77777777">
            <w:pPr>
              <w:jc w:val="center"/>
              <w:rPr>
                <w:color w:val="9C6500"/>
                <w:sz w:val="18"/>
                <w:szCs w:val="18"/>
                <w:lang w:eastAsia="es-ES"/>
              </w:rPr>
            </w:pPr>
            <w:r>
              <w:rPr>
                <w:color w:val="9C6500"/>
                <w:sz w:val="18"/>
                <w:szCs w:val="18"/>
                <w:lang w:eastAsia="es-ES"/>
              </w:rPr>
              <w:t>+/-</w:t>
            </w:r>
          </w:p>
        </w:tc>
        <w:tc>
          <w:tcPr>
            <w:tcW w:w="457" w:type="dxa"/>
            <w:noWrap/>
            <w:vAlign w:val="center"/>
            <w:hideMark/>
          </w:tcPr>
          <w:p w:rsidR="00681493" w:rsidP="00D63558" w:rsidRDefault="00681493" w14:paraId="076290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B5663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EB9C"/>
            <w:noWrap/>
            <w:vAlign w:val="center"/>
            <w:hideMark/>
          </w:tcPr>
          <w:p w:rsidR="00681493" w:rsidP="00D63558" w:rsidRDefault="00681493" w14:paraId="6C2EF166" w14:textId="77777777">
            <w:pPr>
              <w:jc w:val="center"/>
              <w:rPr>
                <w:color w:val="9C6500"/>
                <w:sz w:val="18"/>
                <w:szCs w:val="18"/>
                <w:lang w:eastAsia="es-ES"/>
              </w:rPr>
            </w:pPr>
            <w:r>
              <w:rPr>
                <w:color w:val="9C6500"/>
                <w:sz w:val="18"/>
                <w:szCs w:val="18"/>
                <w:lang w:eastAsia="es-ES"/>
              </w:rPr>
              <w:t>+/-</w:t>
            </w:r>
          </w:p>
        </w:tc>
        <w:tc>
          <w:tcPr>
            <w:tcW w:w="760" w:type="dxa"/>
            <w:shd w:val="clear" w:color="auto" w:fill="C6EFCE"/>
            <w:vAlign w:val="center"/>
            <w:hideMark/>
          </w:tcPr>
          <w:p w:rsidR="00681493" w:rsidP="00D63558" w:rsidRDefault="00681493" w14:paraId="5FEFD7C1" w14:textId="77777777">
            <w:pPr>
              <w:jc w:val="center"/>
              <w:rPr>
                <w:color w:val="000000"/>
                <w:sz w:val="18"/>
                <w:szCs w:val="18"/>
                <w:lang w:eastAsia="es-ES"/>
              </w:rPr>
            </w:pPr>
            <w:r>
              <w:rPr>
                <w:color w:val="006100"/>
                <w:sz w:val="18"/>
                <w:szCs w:val="18"/>
                <w:lang w:eastAsia="es-ES"/>
              </w:rPr>
              <w:t>+</w:t>
            </w:r>
          </w:p>
        </w:tc>
        <w:tc>
          <w:tcPr>
            <w:tcW w:w="428" w:type="dxa"/>
            <w:noWrap/>
            <w:vAlign w:val="center"/>
            <w:hideMark/>
          </w:tcPr>
          <w:p w:rsidR="00681493" w:rsidP="00D63558" w:rsidRDefault="00681493" w14:paraId="0F34F1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D13A6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5E2A8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373EC3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13AB9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4ED24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89C1B8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7D8FC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A571C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AEC95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C6EFCE"/>
            <w:hideMark/>
          </w:tcPr>
          <w:p w:rsidR="00681493" w:rsidP="00D63558" w:rsidRDefault="00681493" w14:paraId="2132B152" w14:textId="77777777">
            <w:pPr>
              <w:jc w:val="center"/>
              <w:rPr>
                <w:color w:val="A6A6A6" w:themeColor="background1" w:themeShade="A6"/>
                <w:sz w:val="18"/>
                <w:szCs w:val="18"/>
                <w:lang w:eastAsia="es-ES"/>
              </w:rPr>
            </w:pPr>
            <w:r>
              <w:rPr>
                <w:color w:val="006100"/>
                <w:sz w:val="18"/>
                <w:szCs w:val="18"/>
                <w:lang w:eastAsia="es-ES"/>
              </w:rPr>
              <w:t>+</w:t>
            </w:r>
          </w:p>
        </w:tc>
        <w:tc>
          <w:tcPr>
            <w:tcW w:w="566" w:type="dxa"/>
            <w:shd w:val="clear" w:color="auto" w:fill="FFEB9C"/>
            <w:hideMark/>
          </w:tcPr>
          <w:p w:rsidR="00681493" w:rsidP="00D63558" w:rsidRDefault="00681493" w14:paraId="30C961DE" w14:textId="77777777">
            <w:pPr>
              <w:jc w:val="center"/>
              <w:rPr>
                <w:color w:val="A6A6A6" w:themeColor="background1" w:themeShade="A6"/>
                <w:sz w:val="18"/>
                <w:szCs w:val="18"/>
                <w:lang w:eastAsia="es-ES"/>
              </w:rPr>
            </w:pPr>
            <w:r>
              <w:rPr>
                <w:color w:val="9C6500"/>
                <w:sz w:val="18"/>
                <w:szCs w:val="18"/>
                <w:lang w:eastAsia="es-ES"/>
              </w:rPr>
              <w:t>+/-</w:t>
            </w:r>
          </w:p>
        </w:tc>
      </w:tr>
      <w:tr w:rsidR="00681493" w:rsidTr="00D63558" w14:paraId="2888B2FB"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D145BD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1137ECE" w14:textId="77777777">
            <w:pPr>
              <w:rPr>
                <w:color w:val="000000"/>
                <w:sz w:val="18"/>
                <w:szCs w:val="18"/>
                <w:lang w:eastAsia="es-ES"/>
              </w:rPr>
            </w:pPr>
            <w:r>
              <w:rPr>
                <w:color w:val="000000"/>
                <w:sz w:val="18"/>
                <w:szCs w:val="18"/>
                <w:lang w:eastAsia="es-ES"/>
              </w:rPr>
              <w:t>3.1.</w:t>
            </w:r>
            <w:r>
              <w:rPr>
                <w:i/>
                <w:color w:val="000000"/>
                <w:sz w:val="18"/>
                <w:szCs w:val="18"/>
                <w:lang w:eastAsia="es-ES"/>
              </w:rPr>
              <w:t>Actinobacteria</w:t>
            </w:r>
          </w:p>
        </w:tc>
        <w:tc>
          <w:tcPr>
            <w:tcW w:w="476" w:type="dxa"/>
            <w:tcBorders>
              <w:left w:val="single" w:color="auto" w:sz="4" w:space="0"/>
            </w:tcBorders>
            <w:noWrap/>
            <w:vAlign w:val="center"/>
            <w:hideMark/>
          </w:tcPr>
          <w:p w:rsidR="00681493" w:rsidP="00D63558" w:rsidRDefault="00681493" w14:paraId="63F44D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E4BF97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3AF050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C5FD3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6353E4C7"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47C80A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760891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D7926C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BD27D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52C7C0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69F60D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B526C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5421C8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F16BC4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641FC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C8C65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3112FA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401CB6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4CE03DC"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F47191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59A0290" w14:textId="77777777">
            <w:pPr>
              <w:rPr>
                <w:color w:val="000000"/>
                <w:sz w:val="18"/>
                <w:szCs w:val="18"/>
                <w:lang w:eastAsia="es-ES"/>
              </w:rPr>
            </w:pPr>
            <w:r>
              <w:rPr>
                <w:color w:val="000000"/>
                <w:sz w:val="18"/>
                <w:szCs w:val="18"/>
                <w:lang w:eastAsia="es-ES"/>
              </w:rPr>
              <w:t>3.2.</w:t>
            </w:r>
            <w:r>
              <w:rPr>
                <w:i/>
                <w:color w:val="000000"/>
                <w:sz w:val="18"/>
                <w:szCs w:val="18"/>
                <w:lang w:eastAsia="es-ES"/>
              </w:rPr>
              <w:t>Coriobacteriia</w:t>
            </w:r>
          </w:p>
        </w:tc>
        <w:tc>
          <w:tcPr>
            <w:tcW w:w="476" w:type="dxa"/>
            <w:tcBorders>
              <w:left w:val="single" w:color="auto" w:sz="4" w:space="0"/>
            </w:tcBorders>
            <w:noWrap/>
            <w:vAlign w:val="center"/>
            <w:hideMark/>
          </w:tcPr>
          <w:p w:rsidR="00681493" w:rsidP="00D63558" w:rsidRDefault="00681493" w14:paraId="0061102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6B65B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3CD6817C"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0C3249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04878A2" w14:textId="77777777">
            <w:pPr>
              <w:jc w:val="center"/>
              <w:rPr>
                <w:color w:val="000000"/>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77488E0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57E99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4D5EF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E52A2B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33972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DDCAE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561527DC"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04A70AA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74F5E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AEC7EC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DC778E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2876C2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6F03833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21D2060"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E770D5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8471379" w14:textId="77777777">
            <w:pPr>
              <w:rPr>
                <w:color w:val="000000"/>
                <w:sz w:val="18"/>
                <w:szCs w:val="18"/>
                <w:lang w:eastAsia="es-ES"/>
              </w:rPr>
            </w:pPr>
            <w:r>
              <w:rPr>
                <w:color w:val="000000"/>
                <w:sz w:val="18"/>
                <w:szCs w:val="18"/>
                <w:lang w:eastAsia="es-ES"/>
              </w:rPr>
              <w:t>4.1.</w:t>
            </w:r>
            <w:r>
              <w:rPr>
                <w:i/>
                <w:color w:val="000000"/>
                <w:sz w:val="18"/>
                <w:szCs w:val="18"/>
                <w:lang w:eastAsia="es-ES"/>
              </w:rPr>
              <w:t>Deltaproteobacteria</w:t>
            </w:r>
          </w:p>
        </w:tc>
        <w:tc>
          <w:tcPr>
            <w:tcW w:w="476" w:type="dxa"/>
            <w:tcBorders>
              <w:left w:val="single" w:color="auto" w:sz="4" w:space="0"/>
            </w:tcBorders>
            <w:noWrap/>
            <w:vAlign w:val="center"/>
            <w:hideMark/>
          </w:tcPr>
          <w:p w:rsidR="00681493" w:rsidP="00D63558" w:rsidRDefault="00681493" w14:paraId="39C2FF7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8D06C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ED5A7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57B073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7BD1C191"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38FBD5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028696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96051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F25BD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5D76C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46CF5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308AA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0E7866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C11F1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76BE1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0ADFF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4E2A70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4D37008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6DB7B4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26FE61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9DA79FC" w14:textId="77777777">
            <w:pPr>
              <w:rPr>
                <w:color w:val="000000"/>
                <w:sz w:val="18"/>
                <w:szCs w:val="18"/>
                <w:lang w:eastAsia="es-ES"/>
              </w:rPr>
            </w:pPr>
            <w:r>
              <w:rPr>
                <w:color w:val="000000"/>
                <w:sz w:val="18"/>
                <w:szCs w:val="18"/>
                <w:lang w:eastAsia="es-ES"/>
              </w:rPr>
              <w:t>4.2.</w:t>
            </w:r>
            <w:r>
              <w:rPr>
                <w:i/>
                <w:color w:val="000000"/>
                <w:sz w:val="18"/>
                <w:szCs w:val="18"/>
                <w:lang w:eastAsia="es-ES"/>
              </w:rPr>
              <w:t>Gammaproteobacteria</w:t>
            </w:r>
          </w:p>
        </w:tc>
        <w:tc>
          <w:tcPr>
            <w:tcW w:w="476" w:type="dxa"/>
            <w:tcBorders>
              <w:left w:val="single" w:color="auto" w:sz="4" w:space="0"/>
            </w:tcBorders>
            <w:noWrap/>
            <w:vAlign w:val="center"/>
            <w:hideMark/>
          </w:tcPr>
          <w:p w:rsidR="00681493" w:rsidP="00D63558" w:rsidRDefault="00681493" w14:paraId="2D86A7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21E3AC86"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365E4A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A5259B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2449196D"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36130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629A303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039997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CC0FC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2A9D3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82217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7EE10EB6"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1AFE60B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BD21F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721BA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3FE68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20CEE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7532BF2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1DE1B1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D1448DA"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2E3B9DAD" w14:textId="77777777">
            <w:pPr>
              <w:rPr>
                <w:color w:val="000000"/>
                <w:sz w:val="18"/>
                <w:szCs w:val="18"/>
                <w:lang w:eastAsia="es-ES"/>
              </w:rPr>
            </w:pPr>
            <w:r>
              <w:rPr>
                <w:color w:val="000000"/>
                <w:sz w:val="18"/>
                <w:szCs w:val="18"/>
                <w:lang w:eastAsia="es-ES"/>
              </w:rPr>
              <w:t>5.1.</w:t>
            </w:r>
            <w:r>
              <w:rPr>
                <w:i/>
                <w:color w:val="000000"/>
                <w:sz w:val="18"/>
                <w:szCs w:val="18"/>
                <w:lang w:eastAsia="es-ES"/>
              </w:rPr>
              <w:t>Verrucomicrobiae</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401CBE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shd w:val="clear" w:color="auto" w:fill="C6EFCE"/>
            <w:noWrap/>
            <w:hideMark/>
          </w:tcPr>
          <w:p w:rsidR="00681493" w:rsidP="00D63558" w:rsidRDefault="00681493" w14:paraId="29C3425B" w14:textId="77777777">
            <w:pPr>
              <w:jc w:val="center"/>
              <w:rPr>
                <w:color w:val="006100"/>
                <w:sz w:val="18"/>
                <w:szCs w:val="18"/>
                <w:lang w:eastAsia="es-ES"/>
              </w:rPr>
            </w:pPr>
            <w:r>
              <w:rPr>
                <w:color w:val="006100"/>
                <w:sz w:val="18"/>
                <w:szCs w:val="18"/>
                <w:lang w:eastAsia="es-ES"/>
              </w:rPr>
              <w:t>+</w:t>
            </w:r>
          </w:p>
        </w:tc>
        <w:tc>
          <w:tcPr>
            <w:tcW w:w="457" w:type="dxa"/>
            <w:tcBorders>
              <w:top w:val="nil"/>
              <w:left w:val="nil"/>
              <w:bottom w:val="single" w:color="auto" w:sz="2" w:space="0"/>
              <w:right w:val="nil"/>
            </w:tcBorders>
            <w:noWrap/>
            <w:vAlign w:val="center"/>
            <w:hideMark/>
          </w:tcPr>
          <w:p w:rsidR="00681493" w:rsidP="00D63558" w:rsidRDefault="00681493" w14:paraId="42D56B3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107EBB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shd w:val="clear" w:color="auto" w:fill="C6EFCE"/>
            <w:noWrap/>
            <w:hideMark/>
          </w:tcPr>
          <w:p w:rsidR="00681493" w:rsidP="00D63558" w:rsidRDefault="00681493" w14:paraId="68E82E84" w14:textId="77777777">
            <w:pPr>
              <w:jc w:val="center"/>
              <w:rPr>
                <w:color w:val="006100"/>
                <w:sz w:val="18"/>
                <w:szCs w:val="18"/>
                <w:lang w:eastAsia="es-ES"/>
              </w:rPr>
            </w:pPr>
            <w:r>
              <w:rPr>
                <w:color w:val="006100"/>
                <w:sz w:val="18"/>
                <w:szCs w:val="18"/>
                <w:lang w:eastAsia="es-ES"/>
              </w:rPr>
              <w:t>+</w:t>
            </w:r>
          </w:p>
        </w:tc>
        <w:tc>
          <w:tcPr>
            <w:tcW w:w="760" w:type="dxa"/>
            <w:tcBorders>
              <w:top w:val="nil"/>
              <w:left w:val="nil"/>
              <w:bottom w:val="single" w:color="auto" w:sz="2" w:space="0"/>
              <w:right w:val="nil"/>
            </w:tcBorders>
            <w:vAlign w:val="center"/>
            <w:hideMark/>
          </w:tcPr>
          <w:p w:rsidR="00681493" w:rsidP="00D63558" w:rsidRDefault="00681493" w14:paraId="2E4D5E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692DAC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184F2A8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301F6C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409688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69F692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4" w:space="0"/>
              <w:right w:val="nil"/>
            </w:tcBorders>
            <w:noWrap/>
            <w:vAlign w:val="center"/>
            <w:hideMark/>
          </w:tcPr>
          <w:p w:rsidR="00681493" w:rsidP="00D63558" w:rsidRDefault="00681493" w14:paraId="336358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vAlign w:val="center"/>
            <w:hideMark/>
          </w:tcPr>
          <w:p w:rsidR="00681493" w:rsidP="00D63558" w:rsidRDefault="00681493" w14:paraId="055324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61A127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7E65D1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shd w:val="clear" w:color="auto" w:fill="C6EFCE"/>
            <w:noWrap/>
            <w:vAlign w:val="center"/>
            <w:hideMark/>
          </w:tcPr>
          <w:p w:rsidR="00681493" w:rsidP="00D63558" w:rsidRDefault="00681493" w14:paraId="2313EFA6" w14:textId="77777777">
            <w:pPr>
              <w:jc w:val="center"/>
              <w:rPr>
                <w:color w:val="006100"/>
                <w:sz w:val="18"/>
                <w:szCs w:val="18"/>
                <w:lang w:eastAsia="es-ES"/>
              </w:rPr>
            </w:pPr>
            <w:r>
              <w:rPr>
                <w:color w:val="006100"/>
                <w:sz w:val="18"/>
                <w:szCs w:val="18"/>
                <w:lang w:eastAsia="es-ES"/>
              </w:rPr>
              <w:t>+</w:t>
            </w:r>
          </w:p>
        </w:tc>
        <w:tc>
          <w:tcPr>
            <w:tcW w:w="425" w:type="dxa"/>
            <w:tcBorders>
              <w:top w:val="nil"/>
              <w:left w:val="nil"/>
              <w:bottom w:val="single" w:color="auto" w:sz="2" w:space="0"/>
              <w:right w:val="nil"/>
            </w:tcBorders>
            <w:hideMark/>
          </w:tcPr>
          <w:p w:rsidR="00681493" w:rsidP="00D63558" w:rsidRDefault="00681493" w14:paraId="4EDD6A14"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hideMark/>
          </w:tcPr>
          <w:p w:rsidR="00681493" w:rsidP="00D63558" w:rsidRDefault="00681493" w14:paraId="1F3B52A4"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354444D5" w14:textId="77777777">
        <w:trPr>
          <w:trHeight w:val="300"/>
        </w:trPr>
        <w:tc>
          <w:tcPr>
            <w:tcW w:w="429" w:type="dxa"/>
            <w:vMerge w:val="restart"/>
            <w:tcBorders>
              <w:top w:val="single" w:color="auto" w:sz="4" w:space="0"/>
              <w:left w:val="nil"/>
              <w:bottom w:val="nil"/>
              <w:right w:val="nil"/>
            </w:tcBorders>
            <w:noWrap/>
            <w:textDirection w:val="btLr"/>
            <w:vAlign w:val="center"/>
            <w:hideMark/>
          </w:tcPr>
          <w:p w:rsidR="00681493" w:rsidP="00D63558" w:rsidRDefault="00681493" w14:paraId="00C2466F" w14:textId="77777777">
            <w:pPr>
              <w:jc w:val="center"/>
              <w:rPr>
                <w:b/>
                <w:color w:val="000000"/>
                <w:sz w:val="18"/>
                <w:szCs w:val="18"/>
                <w:lang w:eastAsia="es-ES"/>
              </w:rPr>
            </w:pPr>
            <w:r>
              <w:rPr>
                <w:b/>
                <w:color w:val="000000"/>
                <w:sz w:val="18"/>
                <w:szCs w:val="18"/>
                <w:lang w:eastAsia="es-ES"/>
              </w:rPr>
              <w:t>Order</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3814B437" w14:textId="77777777">
            <w:pPr>
              <w:rPr>
                <w:color w:val="000000"/>
                <w:sz w:val="18"/>
                <w:szCs w:val="18"/>
                <w:lang w:eastAsia="es-ES"/>
              </w:rPr>
            </w:pPr>
            <w:r>
              <w:rPr>
                <w:color w:val="000000"/>
                <w:sz w:val="18"/>
                <w:szCs w:val="18"/>
                <w:lang w:eastAsia="es-ES"/>
              </w:rPr>
              <w:t>1.1.1.</w:t>
            </w:r>
            <w:r>
              <w:rPr>
                <w:i/>
                <w:color w:val="000000"/>
                <w:sz w:val="18"/>
                <w:szCs w:val="18"/>
                <w:lang w:eastAsia="es-ES"/>
              </w:rPr>
              <w:t>Clostridiales</w:t>
            </w:r>
          </w:p>
        </w:tc>
        <w:tc>
          <w:tcPr>
            <w:tcW w:w="476" w:type="dxa"/>
            <w:tcBorders>
              <w:top w:val="single" w:color="auto" w:sz="2" w:space="0"/>
              <w:left w:val="single" w:color="auto" w:sz="4" w:space="0"/>
              <w:bottom w:val="nil"/>
              <w:right w:val="nil"/>
            </w:tcBorders>
            <w:shd w:val="clear" w:color="auto" w:fill="C6EFCE"/>
            <w:noWrap/>
            <w:hideMark/>
          </w:tcPr>
          <w:p w:rsidR="00681493" w:rsidP="00D63558" w:rsidRDefault="00681493" w14:paraId="0D527C0D" w14:textId="77777777">
            <w:pPr>
              <w:jc w:val="center"/>
              <w:rPr>
                <w:color w:val="006100"/>
                <w:sz w:val="18"/>
                <w:szCs w:val="18"/>
                <w:lang w:eastAsia="es-ES"/>
              </w:rPr>
            </w:pPr>
            <w:r>
              <w:rPr>
                <w:color w:val="006100"/>
                <w:sz w:val="18"/>
                <w:szCs w:val="18"/>
                <w:lang w:eastAsia="es-ES"/>
              </w:rPr>
              <w:t>+</w:t>
            </w:r>
          </w:p>
        </w:tc>
        <w:tc>
          <w:tcPr>
            <w:tcW w:w="566" w:type="dxa"/>
            <w:tcBorders>
              <w:top w:val="single" w:color="auto" w:sz="2" w:space="0"/>
              <w:left w:val="nil"/>
              <w:bottom w:val="nil"/>
              <w:right w:val="nil"/>
            </w:tcBorders>
            <w:shd w:val="clear" w:color="auto" w:fill="C6EFCE"/>
            <w:noWrap/>
            <w:hideMark/>
          </w:tcPr>
          <w:p w:rsidR="00681493" w:rsidP="00D63558" w:rsidRDefault="00681493" w14:paraId="306DA40A" w14:textId="77777777">
            <w:pPr>
              <w:jc w:val="center"/>
              <w:rPr>
                <w:color w:val="006100"/>
                <w:sz w:val="18"/>
                <w:szCs w:val="18"/>
                <w:lang w:eastAsia="es-ES"/>
              </w:rPr>
            </w:pPr>
            <w:r>
              <w:rPr>
                <w:color w:val="006100"/>
                <w:sz w:val="18"/>
                <w:szCs w:val="18"/>
                <w:lang w:eastAsia="es-ES"/>
              </w:rPr>
              <w:t>+</w:t>
            </w:r>
          </w:p>
        </w:tc>
        <w:tc>
          <w:tcPr>
            <w:tcW w:w="457" w:type="dxa"/>
            <w:tcBorders>
              <w:top w:val="single" w:color="auto" w:sz="2" w:space="0"/>
              <w:left w:val="nil"/>
              <w:bottom w:val="nil"/>
              <w:right w:val="nil"/>
            </w:tcBorders>
            <w:shd w:val="clear" w:color="auto" w:fill="C6EFCE"/>
            <w:noWrap/>
            <w:hideMark/>
          </w:tcPr>
          <w:p w:rsidR="00681493" w:rsidP="00D63558" w:rsidRDefault="00681493" w14:paraId="793AD8A3" w14:textId="77777777">
            <w:pPr>
              <w:jc w:val="center"/>
              <w:rPr>
                <w:color w:val="006100"/>
                <w:sz w:val="18"/>
                <w:szCs w:val="18"/>
                <w:lang w:eastAsia="es-ES"/>
              </w:rPr>
            </w:pPr>
            <w:r>
              <w:rPr>
                <w:color w:val="006100"/>
                <w:sz w:val="18"/>
                <w:szCs w:val="18"/>
                <w:lang w:eastAsia="es-ES"/>
              </w:rPr>
              <w:t>+</w:t>
            </w:r>
          </w:p>
        </w:tc>
        <w:tc>
          <w:tcPr>
            <w:tcW w:w="541" w:type="dxa"/>
            <w:tcBorders>
              <w:top w:val="single" w:color="auto" w:sz="2" w:space="0"/>
              <w:left w:val="nil"/>
              <w:bottom w:val="nil"/>
              <w:right w:val="nil"/>
            </w:tcBorders>
            <w:noWrap/>
            <w:vAlign w:val="center"/>
            <w:hideMark/>
          </w:tcPr>
          <w:p w:rsidR="00681493" w:rsidP="00D63558" w:rsidRDefault="00681493" w14:paraId="6195F09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shd w:val="clear" w:color="auto" w:fill="FFEB9C"/>
            <w:noWrap/>
            <w:vAlign w:val="center"/>
            <w:hideMark/>
          </w:tcPr>
          <w:p w:rsidR="00681493" w:rsidP="00D63558" w:rsidRDefault="00681493" w14:paraId="503B5846" w14:textId="77777777">
            <w:pPr>
              <w:jc w:val="center"/>
              <w:rPr>
                <w:color w:val="9C6500"/>
                <w:sz w:val="18"/>
                <w:szCs w:val="18"/>
                <w:lang w:eastAsia="es-ES"/>
              </w:rPr>
            </w:pPr>
            <w:r>
              <w:rPr>
                <w:color w:val="9C6500"/>
                <w:sz w:val="18"/>
                <w:szCs w:val="18"/>
                <w:lang w:eastAsia="es-ES"/>
              </w:rPr>
              <w:t>+/-</w:t>
            </w:r>
          </w:p>
        </w:tc>
        <w:tc>
          <w:tcPr>
            <w:tcW w:w="760" w:type="dxa"/>
            <w:tcBorders>
              <w:top w:val="single" w:color="auto" w:sz="2" w:space="0"/>
              <w:left w:val="nil"/>
              <w:bottom w:val="nil"/>
              <w:right w:val="nil"/>
            </w:tcBorders>
            <w:vAlign w:val="center"/>
            <w:hideMark/>
          </w:tcPr>
          <w:p w:rsidR="00681493" w:rsidP="00D63558" w:rsidRDefault="00681493" w14:paraId="0FB64E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5FF1FC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618002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06DADE2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158836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25A7A9B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4" w:space="0"/>
              <w:left w:val="nil"/>
              <w:bottom w:val="nil"/>
              <w:right w:val="nil"/>
            </w:tcBorders>
            <w:shd w:val="clear" w:color="auto" w:fill="C6EFCE"/>
            <w:noWrap/>
            <w:hideMark/>
          </w:tcPr>
          <w:p w:rsidR="00681493" w:rsidP="00D63558" w:rsidRDefault="00681493" w14:paraId="2C271498"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vAlign w:val="center"/>
            <w:hideMark/>
          </w:tcPr>
          <w:p w:rsidR="00681493" w:rsidP="00D63558" w:rsidRDefault="00681493" w14:paraId="724DE4C1"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shd w:val="clear" w:color="auto" w:fill="C6EFCE"/>
            <w:noWrap/>
            <w:hideMark/>
          </w:tcPr>
          <w:p w:rsidR="00681493" w:rsidP="00D63558" w:rsidRDefault="00681493" w14:paraId="314DC2A4" w14:textId="77777777">
            <w:pPr>
              <w:jc w:val="center"/>
              <w:rPr>
                <w:color w:val="006100"/>
                <w:sz w:val="18"/>
                <w:szCs w:val="18"/>
                <w:lang w:eastAsia="es-ES"/>
              </w:rPr>
            </w:pPr>
            <w:r>
              <w:rPr>
                <w:color w:val="006100"/>
                <w:sz w:val="18"/>
                <w:szCs w:val="18"/>
                <w:lang w:eastAsia="es-ES"/>
              </w:rPr>
              <w:t>+</w:t>
            </w:r>
          </w:p>
        </w:tc>
        <w:tc>
          <w:tcPr>
            <w:tcW w:w="425" w:type="dxa"/>
            <w:tcBorders>
              <w:top w:val="single" w:color="auto" w:sz="2" w:space="0"/>
              <w:left w:val="nil"/>
              <w:bottom w:val="nil"/>
              <w:right w:val="nil"/>
            </w:tcBorders>
            <w:noWrap/>
            <w:vAlign w:val="center"/>
            <w:hideMark/>
          </w:tcPr>
          <w:p w:rsidR="00681493" w:rsidP="00D63558" w:rsidRDefault="00681493" w14:paraId="0F30D13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5ED7EB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shd w:val="clear" w:color="auto" w:fill="FFEB9C"/>
            <w:hideMark/>
          </w:tcPr>
          <w:p w:rsidR="00681493" w:rsidP="00D63558" w:rsidRDefault="00681493" w14:paraId="1C7ECF40" w14:textId="77777777">
            <w:pPr>
              <w:jc w:val="center"/>
              <w:rPr>
                <w:color w:val="A6A6A6" w:themeColor="background1" w:themeShade="A6"/>
                <w:sz w:val="18"/>
                <w:szCs w:val="18"/>
                <w:lang w:eastAsia="es-ES"/>
              </w:rPr>
            </w:pPr>
            <w:r>
              <w:rPr>
                <w:color w:val="9C6500"/>
                <w:sz w:val="18"/>
                <w:szCs w:val="18"/>
                <w:lang w:eastAsia="es-ES"/>
              </w:rPr>
              <w:t>+/-</w:t>
            </w:r>
          </w:p>
        </w:tc>
        <w:tc>
          <w:tcPr>
            <w:tcW w:w="566" w:type="dxa"/>
            <w:tcBorders>
              <w:top w:val="single" w:color="auto" w:sz="2" w:space="0"/>
              <w:left w:val="nil"/>
              <w:bottom w:val="nil"/>
              <w:right w:val="nil"/>
            </w:tcBorders>
            <w:shd w:val="clear" w:color="auto" w:fill="C6EFCE"/>
            <w:hideMark/>
          </w:tcPr>
          <w:p w:rsidR="00681493" w:rsidP="00D63558" w:rsidRDefault="00681493" w14:paraId="47E19CAC"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33B117DA"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7116AC2"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23963FB" w14:textId="77777777">
            <w:pPr>
              <w:rPr>
                <w:color w:val="000000"/>
                <w:sz w:val="18"/>
                <w:szCs w:val="18"/>
                <w:lang w:eastAsia="es-ES"/>
              </w:rPr>
            </w:pPr>
            <w:r>
              <w:rPr>
                <w:color w:val="000000"/>
                <w:sz w:val="18"/>
                <w:szCs w:val="18"/>
                <w:lang w:eastAsia="es-ES"/>
              </w:rPr>
              <w:t>1.2.1.</w:t>
            </w:r>
            <w:r>
              <w:rPr>
                <w:i/>
                <w:color w:val="000000"/>
                <w:sz w:val="18"/>
                <w:szCs w:val="18"/>
                <w:lang w:eastAsia="es-ES"/>
              </w:rPr>
              <w:t>Erysipelotrichales</w:t>
            </w:r>
          </w:p>
        </w:tc>
        <w:tc>
          <w:tcPr>
            <w:tcW w:w="476" w:type="dxa"/>
            <w:tcBorders>
              <w:left w:val="single" w:color="auto" w:sz="4" w:space="0"/>
            </w:tcBorders>
            <w:shd w:val="clear" w:color="auto" w:fill="C6EFCE"/>
            <w:noWrap/>
            <w:hideMark/>
          </w:tcPr>
          <w:p w:rsidR="00681493" w:rsidP="00D63558" w:rsidRDefault="00681493" w14:paraId="3EBD3CF2" w14:textId="77777777">
            <w:pPr>
              <w:jc w:val="center"/>
              <w:rPr>
                <w:color w:val="006100"/>
                <w:sz w:val="18"/>
                <w:szCs w:val="18"/>
                <w:lang w:eastAsia="es-ES"/>
              </w:rPr>
            </w:pPr>
            <w:r>
              <w:rPr>
                <w:color w:val="006100"/>
                <w:sz w:val="18"/>
                <w:szCs w:val="18"/>
                <w:lang w:eastAsia="es-ES"/>
              </w:rPr>
              <w:t>+</w:t>
            </w:r>
          </w:p>
        </w:tc>
        <w:tc>
          <w:tcPr>
            <w:tcW w:w="566" w:type="dxa"/>
            <w:shd w:val="clear" w:color="auto" w:fill="C6EFCE"/>
            <w:noWrap/>
            <w:hideMark/>
          </w:tcPr>
          <w:p w:rsidR="00681493" w:rsidP="00D63558" w:rsidRDefault="00681493" w14:paraId="7CD7E28E" w14:textId="77777777">
            <w:pPr>
              <w:jc w:val="center"/>
              <w:rPr>
                <w:color w:val="006100"/>
                <w:sz w:val="18"/>
                <w:szCs w:val="18"/>
                <w:lang w:eastAsia="es-ES"/>
              </w:rPr>
            </w:pPr>
            <w:r>
              <w:rPr>
                <w:color w:val="006100"/>
                <w:sz w:val="18"/>
                <w:szCs w:val="18"/>
                <w:lang w:eastAsia="es-ES"/>
              </w:rPr>
              <w:t>+</w:t>
            </w:r>
          </w:p>
        </w:tc>
        <w:tc>
          <w:tcPr>
            <w:tcW w:w="457" w:type="dxa"/>
            <w:shd w:val="clear" w:color="auto" w:fill="C6EFCE"/>
            <w:noWrap/>
            <w:hideMark/>
          </w:tcPr>
          <w:p w:rsidR="00681493" w:rsidP="00D63558" w:rsidRDefault="00681493" w14:paraId="011B6F34"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1485DD0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6E7E40A5"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7C82E81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50FDE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0CD11A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CE32C4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225F7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5A26D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3503C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82B8C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9BCAE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68CF50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8A0F5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520713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7477D1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71D928F"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BECD971"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85E9653" w14:textId="77777777">
            <w:pPr>
              <w:rPr>
                <w:color w:val="000000"/>
                <w:sz w:val="18"/>
                <w:szCs w:val="18"/>
                <w:lang w:eastAsia="es-ES"/>
              </w:rPr>
            </w:pPr>
            <w:r>
              <w:rPr>
                <w:color w:val="000000"/>
                <w:sz w:val="18"/>
                <w:szCs w:val="18"/>
                <w:lang w:eastAsia="es-ES"/>
              </w:rPr>
              <w:t>1.3.1.</w:t>
            </w:r>
            <w:r>
              <w:rPr>
                <w:i/>
                <w:color w:val="000000"/>
                <w:sz w:val="18"/>
                <w:szCs w:val="18"/>
                <w:lang w:eastAsia="es-ES"/>
              </w:rPr>
              <w:t>Lactobacillales</w:t>
            </w:r>
          </w:p>
        </w:tc>
        <w:tc>
          <w:tcPr>
            <w:tcW w:w="476" w:type="dxa"/>
            <w:tcBorders>
              <w:left w:val="single" w:color="auto" w:sz="4" w:space="0"/>
            </w:tcBorders>
            <w:noWrap/>
            <w:vAlign w:val="center"/>
            <w:hideMark/>
          </w:tcPr>
          <w:p w:rsidR="00681493" w:rsidP="00D63558" w:rsidRDefault="00681493" w14:paraId="1FB9B2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320411EF"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6130CC9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824F99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2D872B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359DE3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53D43E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A61C7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42520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F6F5B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E1EFC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45C05C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7FA2A8A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E2CF9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E7E56C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FD375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3E4E55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5E2E73C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3CF59D0"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48C40EF"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3A3C128" w14:textId="77777777">
            <w:pPr>
              <w:rPr>
                <w:color w:val="000000"/>
                <w:sz w:val="18"/>
                <w:szCs w:val="18"/>
                <w:lang w:eastAsia="es-ES"/>
              </w:rPr>
            </w:pPr>
            <w:r>
              <w:rPr>
                <w:color w:val="000000"/>
                <w:sz w:val="18"/>
                <w:szCs w:val="18"/>
                <w:lang w:eastAsia="es-ES"/>
              </w:rPr>
              <w:t>1.4.1.</w:t>
            </w:r>
            <w:r>
              <w:rPr>
                <w:i/>
                <w:color w:val="000000"/>
                <w:sz w:val="18"/>
                <w:szCs w:val="18"/>
                <w:lang w:eastAsia="es-ES"/>
              </w:rPr>
              <w:t>Selenomonadales</w:t>
            </w:r>
          </w:p>
        </w:tc>
        <w:tc>
          <w:tcPr>
            <w:tcW w:w="476" w:type="dxa"/>
            <w:tcBorders>
              <w:left w:val="single" w:color="auto" w:sz="4" w:space="0"/>
            </w:tcBorders>
            <w:noWrap/>
            <w:vAlign w:val="center"/>
            <w:hideMark/>
          </w:tcPr>
          <w:p w:rsidR="00681493" w:rsidP="00D63558" w:rsidRDefault="00681493" w14:paraId="0C35D5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83C26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06AE10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EBF37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8B042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4CE93D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AE0AB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08317D5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DA25A4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86F4B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0A342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02309F37"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1E58A2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96F1C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6A2EA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30452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07E6D54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3D91F7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A2A4E0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4B5424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8BC5CBC" w14:textId="77777777">
            <w:pPr>
              <w:rPr>
                <w:color w:val="000000"/>
                <w:sz w:val="18"/>
                <w:szCs w:val="18"/>
                <w:lang w:eastAsia="es-ES"/>
              </w:rPr>
            </w:pPr>
            <w:r>
              <w:rPr>
                <w:color w:val="000000"/>
                <w:sz w:val="18"/>
                <w:szCs w:val="18"/>
                <w:lang w:eastAsia="es-ES"/>
              </w:rPr>
              <w:t>1.4.2.</w:t>
            </w:r>
            <w:r>
              <w:rPr>
                <w:i/>
                <w:color w:val="000000"/>
                <w:sz w:val="18"/>
                <w:szCs w:val="18"/>
                <w:lang w:eastAsia="es-ES"/>
              </w:rPr>
              <w:t>Veillonellales</w:t>
            </w:r>
          </w:p>
        </w:tc>
        <w:tc>
          <w:tcPr>
            <w:tcW w:w="476" w:type="dxa"/>
            <w:tcBorders>
              <w:left w:val="single" w:color="auto" w:sz="4" w:space="0"/>
            </w:tcBorders>
            <w:noWrap/>
            <w:hideMark/>
          </w:tcPr>
          <w:p w:rsidR="00681493" w:rsidP="00D63558" w:rsidRDefault="00681493" w14:paraId="0D3E61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2D409653" w14:textId="77777777">
            <w:pPr>
              <w:jc w:val="center"/>
              <w:rPr>
                <w:color w:val="9C6500"/>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21D3A8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500622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1665DA92" w14:textId="77777777">
            <w:pPr>
              <w:jc w:val="center"/>
              <w:rPr>
                <w:color w:val="9C6500"/>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5C7EDF9D" w14:textId="77777777">
            <w:pPr>
              <w:jc w:val="center"/>
              <w:rPr>
                <w:color w:val="006100"/>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0A557C4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0C8E6F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4F6730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44AD51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480C3A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183B1E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shd w:val="clear" w:color="auto" w:fill="C6EFCE"/>
            <w:hideMark/>
          </w:tcPr>
          <w:p w:rsidR="00681493" w:rsidP="00D63558" w:rsidRDefault="00681493" w14:paraId="2F1C7B7A" w14:textId="77777777">
            <w:pPr>
              <w:jc w:val="center"/>
              <w:rPr>
                <w:color w:val="A6A6A6" w:themeColor="background1" w:themeShade="A6"/>
                <w:sz w:val="18"/>
                <w:szCs w:val="18"/>
                <w:lang w:eastAsia="es-ES"/>
              </w:rPr>
            </w:pPr>
            <w:r>
              <w:rPr>
                <w:color w:val="006100"/>
                <w:sz w:val="18"/>
                <w:szCs w:val="18"/>
                <w:lang w:eastAsia="es-ES"/>
              </w:rPr>
              <w:t>+</w:t>
            </w:r>
          </w:p>
        </w:tc>
        <w:tc>
          <w:tcPr>
            <w:tcW w:w="478" w:type="dxa"/>
            <w:tcBorders>
              <w:top w:val="nil"/>
              <w:left w:val="dashed" w:color="auto" w:sz="4" w:space="0"/>
              <w:bottom w:val="nil"/>
              <w:right w:val="nil"/>
            </w:tcBorders>
            <w:noWrap/>
            <w:hideMark/>
          </w:tcPr>
          <w:p w:rsidR="00681493" w:rsidP="00D63558" w:rsidRDefault="00681493" w14:paraId="72B9B3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593036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29A37C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FDD1995" w14:textId="77777777">
            <w:pPr>
              <w:jc w:val="center"/>
              <w:rPr>
                <w:color w:val="006100"/>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602B5A0B" w14:textId="77777777">
            <w:pPr>
              <w:jc w:val="center"/>
              <w:rPr>
                <w:color w:val="9C6500"/>
                <w:sz w:val="18"/>
                <w:szCs w:val="18"/>
                <w:lang w:eastAsia="es-ES"/>
              </w:rPr>
            </w:pPr>
            <w:r>
              <w:rPr>
                <w:color w:val="A6A6A6" w:themeColor="background1" w:themeShade="A6"/>
                <w:sz w:val="18"/>
                <w:szCs w:val="18"/>
                <w:lang w:eastAsia="es-ES"/>
              </w:rPr>
              <w:t>NR</w:t>
            </w:r>
          </w:p>
        </w:tc>
      </w:tr>
      <w:tr w:rsidR="00681493" w:rsidTr="00D63558" w14:paraId="0FA7ED8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3FF7FCA"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BD632F0" w14:textId="77777777">
            <w:pPr>
              <w:rPr>
                <w:color w:val="000000"/>
                <w:sz w:val="18"/>
                <w:szCs w:val="18"/>
                <w:lang w:eastAsia="es-ES"/>
              </w:rPr>
            </w:pPr>
            <w:r>
              <w:rPr>
                <w:color w:val="000000"/>
                <w:sz w:val="18"/>
                <w:szCs w:val="18"/>
                <w:lang w:eastAsia="es-ES"/>
              </w:rPr>
              <w:t>2.1.1.</w:t>
            </w:r>
            <w:r>
              <w:rPr>
                <w:i/>
                <w:color w:val="000000"/>
                <w:sz w:val="18"/>
                <w:szCs w:val="18"/>
                <w:lang w:eastAsia="es-ES"/>
              </w:rPr>
              <w:t>Bacteroidales</w:t>
            </w:r>
          </w:p>
        </w:tc>
        <w:tc>
          <w:tcPr>
            <w:tcW w:w="476" w:type="dxa"/>
            <w:tcBorders>
              <w:left w:val="single" w:color="auto" w:sz="4" w:space="0"/>
            </w:tcBorders>
            <w:noWrap/>
            <w:vAlign w:val="center"/>
            <w:hideMark/>
          </w:tcPr>
          <w:p w:rsidR="00681493" w:rsidP="00D63558" w:rsidRDefault="00681493" w14:paraId="236CF0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EB9C"/>
            <w:noWrap/>
            <w:vAlign w:val="center"/>
            <w:hideMark/>
          </w:tcPr>
          <w:p w:rsidR="00681493" w:rsidP="00D63558" w:rsidRDefault="00681493" w14:paraId="255D3EEF" w14:textId="77777777">
            <w:pPr>
              <w:jc w:val="center"/>
              <w:rPr>
                <w:color w:val="9C6500"/>
                <w:sz w:val="18"/>
                <w:szCs w:val="18"/>
                <w:lang w:eastAsia="es-ES"/>
              </w:rPr>
            </w:pPr>
            <w:r>
              <w:rPr>
                <w:color w:val="9C6500"/>
                <w:sz w:val="18"/>
                <w:szCs w:val="18"/>
                <w:lang w:eastAsia="es-ES"/>
              </w:rPr>
              <w:t>+/-</w:t>
            </w:r>
          </w:p>
        </w:tc>
        <w:tc>
          <w:tcPr>
            <w:tcW w:w="457" w:type="dxa"/>
            <w:noWrap/>
            <w:vAlign w:val="center"/>
            <w:hideMark/>
          </w:tcPr>
          <w:p w:rsidR="00681493" w:rsidP="00D63558" w:rsidRDefault="00681493" w14:paraId="054425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259AE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EB9C"/>
            <w:noWrap/>
            <w:vAlign w:val="center"/>
            <w:hideMark/>
          </w:tcPr>
          <w:p w:rsidR="00681493" w:rsidP="00D63558" w:rsidRDefault="00681493" w14:paraId="6599CEDC" w14:textId="77777777">
            <w:pPr>
              <w:jc w:val="center"/>
              <w:rPr>
                <w:color w:val="9C6500"/>
                <w:sz w:val="18"/>
                <w:szCs w:val="18"/>
                <w:lang w:eastAsia="es-ES"/>
              </w:rPr>
            </w:pPr>
            <w:r>
              <w:rPr>
                <w:color w:val="9C6500"/>
                <w:sz w:val="18"/>
                <w:szCs w:val="18"/>
                <w:lang w:eastAsia="es-ES"/>
              </w:rPr>
              <w:t>+/-</w:t>
            </w:r>
          </w:p>
        </w:tc>
        <w:tc>
          <w:tcPr>
            <w:tcW w:w="760" w:type="dxa"/>
            <w:shd w:val="clear" w:color="auto" w:fill="C6EFCE"/>
            <w:vAlign w:val="center"/>
            <w:hideMark/>
          </w:tcPr>
          <w:p w:rsidR="00681493" w:rsidP="00D63558" w:rsidRDefault="00681493" w14:paraId="58A1B04D" w14:textId="77777777">
            <w:pPr>
              <w:jc w:val="center"/>
              <w:rPr>
                <w:color w:val="000000"/>
                <w:sz w:val="18"/>
                <w:szCs w:val="18"/>
                <w:lang w:eastAsia="es-ES"/>
              </w:rPr>
            </w:pPr>
            <w:r>
              <w:rPr>
                <w:color w:val="006100"/>
                <w:sz w:val="18"/>
                <w:szCs w:val="18"/>
                <w:lang w:eastAsia="es-ES"/>
              </w:rPr>
              <w:t>+</w:t>
            </w:r>
          </w:p>
        </w:tc>
        <w:tc>
          <w:tcPr>
            <w:tcW w:w="428" w:type="dxa"/>
            <w:noWrap/>
            <w:vAlign w:val="center"/>
            <w:hideMark/>
          </w:tcPr>
          <w:p w:rsidR="00681493" w:rsidP="00D63558" w:rsidRDefault="00681493" w14:paraId="4DF566C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A7463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E1A91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C4DA1F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94B43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7776B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0B731E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A6B23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B2B151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ED4D5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C6EFCE"/>
            <w:hideMark/>
          </w:tcPr>
          <w:p w:rsidR="00681493" w:rsidP="00D63558" w:rsidRDefault="00681493" w14:paraId="661011B3" w14:textId="77777777">
            <w:pPr>
              <w:jc w:val="center"/>
              <w:rPr>
                <w:color w:val="A6A6A6" w:themeColor="background1" w:themeShade="A6"/>
                <w:sz w:val="18"/>
                <w:szCs w:val="18"/>
                <w:lang w:eastAsia="es-ES"/>
              </w:rPr>
            </w:pPr>
            <w:r>
              <w:rPr>
                <w:color w:val="006100"/>
                <w:sz w:val="18"/>
                <w:szCs w:val="18"/>
                <w:lang w:eastAsia="es-ES"/>
              </w:rPr>
              <w:t>+</w:t>
            </w:r>
          </w:p>
        </w:tc>
        <w:tc>
          <w:tcPr>
            <w:tcW w:w="566" w:type="dxa"/>
            <w:shd w:val="clear" w:color="auto" w:fill="FFEB9C"/>
            <w:hideMark/>
          </w:tcPr>
          <w:p w:rsidR="00681493" w:rsidP="00D63558" w:rsidRDefault="00681493" w14:paraId="1183FDAF" w14:textId="77777777">
            <w:pPr>
              <w:jc w:val="center"/>
              <w:rPr>
                <w:color w:val="A6A6A6" w:themeColor="background1" w:themeShade="A6"/>
                <w:sz w:val="18"/>
                <w:szCs w:val="18"/>
                <w:lang w:eastAsia="es-ES"/>
              </w:rPr>
            </w:pPr>
            <w:r>
              <w:rPr>
                <w:color w:val="9C6500"/>
                <w:sz w:val="18"/>
                <w:szCs w:val="18"/>
                <w:lang w:eastAsia="es-ES"/>
              </w:rPr>
              <w:t>+/-</w:t>
            </w:r>
          </w:p>
        </w:tc>
      </w:tr>
      <w:tr w:rsidR="00681493" w:rsidTr="00D63558" w14:paraId="313C850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84F39E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26DADDC" w14:textId="77777777">
            <w:pPr>
              <w:rPr>
                <w:color w:val="000000"/>
                <w:sz w:val="18"/>
                <w:szCs w:val="18"/>
                <w:lang w:eastAsia="es-ES"/>
              </w:rPr>
            </w:pPr>
            <w:r>
              <w:rPr>
                <w:color w:val="000000"/>
                <w:sz w:val="18"/>
                <w:szCs w:val="18"/>
                <w:lang w:eastAsia="es-ES"/>
              </w:rPr>
              <w:t>3.1.1.</w:t>
            </w:r>
            <w:r>
              <w:rPr>
                <w:i/>
                <w:color w:val="000000"/>
                <w:sz w:val="18"/>
                <w:szCs w:val="18"/>
                <w:lang w:eastAsia="es-ES"/>
              </w:rPr>
              <w:t>Bifidobacteriales</w:t>
            </w:r>
          </w:p>
        </w:tc>
        <w:tc>
          <w:tcPr>
            <w:tcW w:w="476" w:type="dxa"/>
            <w:tcBorders>
              <w:left w:val="single" w:color="auto" w:sz="4" w:space="0"/>
            </w:tcBorders>
            <w:noWrap/>
            <w:vAlign w:val="center"/>
            <w:hideMark/>
          </w:tcPr>
          <w:p w:rsidR="00681493" w:rsidP="00D63558" w:rsidRDefault="00681493" w14:paraId="54B3A15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A409C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BCC78C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E416F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4F6D2C8E"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A5311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FC265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FC0E0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57145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57B5FE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919FF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56108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468DD5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A56CC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EEF83C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59EE4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BADE4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92666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7F4B055"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9C778FC"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47964E3" w14:textId="77777777">
            <w:pPr>
              <w:rPr>
                <w:color w:val="000000"/>
                <w:sz w:val="18"/>
                <w:szCs w:val="18"/>
                <w:lang w:eastAsia="es-ES"/>
              </w:rPr>
            </w:pPr>
            <w:r>
              <w:rPr>
                <w:color w:val="000000"/>
                <w:sz w:val="18"/>
                <w:szCs w:val="18"/>
                <w:lang w:eastAsia="es-ES"/>
              </w:rPr>
              <w:t>3.2.1.</w:t>
            </w:r>
            <w:r>
              <w:rPr>
                <w:i/>
                <w:color w:val="000000"/>
                <w:sz w:val="18"/>
                <w:szCs w:val="18"/>
                <w:lang w:eastAsia="es-ES"/>
              </w:rPr>
              <w:t>Coriobacteriales</w:t>
            </w:r>
          </w:p>
        </w:tc>
        <w:tc>
          <w:tcPr>
            <w:tcW w:w="476" w:type="dxa"/>
            <w:tcBorders>
              <w:left w:val="single" w:color="auto" w:sz="4" w:space="0"/>
            </w:tcBorders>
            <w:noWrap/>
            <w:vAlign w:val="center"/>
            <w:hideMark/>
          </w:tcPr>
          <w:p w:rsidR="00681493" w:rsidP="00D63558" w:rsidRDefault="00681493" w14:paraId="702056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3ABAD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0C2188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D8EB3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68659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4B2FFB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ACC17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29E15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5A7368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AE2CD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A01E4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35BAC874"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59A8DE6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E6A2F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AAA400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06798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1522A4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282E014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28AEE4D"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11D59AF"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E06803D" w14:textId="77777777">
            <w:pPr>
              <w:rPr>
                <w:color w:val="000000"/>
                <w:sz w:val="18"/>
                <w:szCs w:val="18"/>
                <w:lang w:eastAsia="es-ES"/>
              </w:rPr>
            </w:pPr>
            <w:r>
              <w:rPr>
                <w:color w:val="000000"/>
                <w:sz w:val="18"/>
                <w:szCs w:val="18"/>
                <w:lang w:eastAsia="es-ES"/>
              </w:rPr>
              <w:t>3.2.2.</w:t>
            </w:r>
            <w:r>
              <w:rPr>
                <w:i/>
                <w:color w:val="000000"/>
                <w:sz w:val="18"/>
                <w:szCs w:val="18"/>
                <w:lang w:eastAsia="es-ES"/>
              </w:rPr>
              <w:t>Eggerthellales</w:t>
            </w:r>
          </w:p>
        </w:tc>
        <w:tc>
          <w:tcPr>
            <w:tcW w:w="476" w:type="dxa"/>
            <w:tcBorders>
              <w:left w:val="single" w:color="auto" w:sz="4" w:space="0"/>
            </w:tcBorders>
            <w:noWrap/>
            <w:vAlign w:val="center"/>
            <w:hideMark/>
          </w:tcPr>
          <w:p w:rsidR="00681493" w:rsidP="00D63558" w:rsidRDefault="00681493" w14:paraId="0A72930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688053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1E09B627"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759DBA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F0B936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3A220B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72841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E6B52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6543F9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9194C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A8FAB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4B58B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23B5A5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0AA211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69590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2E4BA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0BD086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9B7FD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91B878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6E4B26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E9CD643" w14:textId="77777777">
            <w:pPr>
              <w:rPr>
                <w:color w:val="000000"/>
                <w:sz w:val="18"/>
                <w:szCs w:val="18"/>
                <w:lang w:eastAsia="es-ES"/>
              </w:rPr>
            </w:pPr>
            <w:r>
              <w:rPr>
                <w:color w:val="000000"/>
                <w:sz w:val="18"/>
                <w:szCs w:val="18"/>
                <w:lang w:eastAsia="es-ES"/>
              </w:rPr>
              <w:t>4.1.1.</w:t>
            </w:r>
            <w:r>
              <w:rPr>
                <w:i/>
                <w:color w:val="000000"/>
                <w:sz w:val="18"/>
                <w:szCs w:val="18"/>
                <w:lang w:eastAsia="es-ES"/>
              </w:rPr>
              <w:t>Desulfovibrionales</w:t>
            </w:r>
          </w:p>
        </w:tc>
        <w:tc>
          <w:tcPr>
            <w:tcW w:w="476" w:type="dxa"/>
            <w:tcBorders>
              <w:left w:val="single" w:color="auto" w:sz="4" w:space="0"/>
            </w:tcBorders>
            <w:noWrap/>
            <w:vAlign w:val="center"/>
            <w:hideMark/>
          </w:tcPr>
          <w:p w:rsidR="00681493" w:rsidP="00D63558" w:rsidRDefault="00681493" w14:paraId="51D4A5B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65E5AA4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6C349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CF5100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6074C298"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7A5A2A5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01745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7DB407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14624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AE2C1D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834611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C7DFB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0819302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95852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C715D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42A70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B3085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3F7290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8657D0A"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02B2F6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3C5F801" w14:textId="77777777">
            <w:pPr>
              <w:rPr>
                <w:color w:val="000000"/>
                <w:sz w:val="18"/>
                <w:szCs w:val="18"/>
                <w:lang w:eastAsia="es-ES"/>
              </w:rPr>
            </w:pPr>
            <w:r>
              <w:rPr>
                <w:color w:val="000000"/>
                <w:sz w:val="18"/>
                <w:szCs w:val="18"/>
                <w:lang w:eastAsia="es-ES"/>
              </w:rPr>
              <w:t>4.2.1.</w:t>
            </w:r>
            <w:r>
              <w:rPr>
                <w:i/>
                <w:color w:val="000000"/>
                <w:sz w:val="18"/>
                <w:szCs w:val="18"/>
                <w:lang w:eastAsia="es-ES"/>
              </w:rPr>
              <w:t>Aeromonadales</w:t>
            </w:r>
          </w:p>
        </w:tc>
        <w:tc>
          <w:tcPr>
            <w:tcW w:w="476" w:type="dxa"/>
            <w:tcBorders>
              <w:left w:val="single" w:color="auto" w:sz="4" w:space="0"/>
            </w:tcBorders>
            <w:noWrap/>
            <w:vAlign w:val="center"/>
            <w:hideMark/>
          </w:tcPr>
          <w:p w:rsidR="00681493" w:rsidP="00D63558" w:rsidRDefault="00681493" w14:paraId="4CC80E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vAlign w:val="center"/>
            <w:hideMark/>
          </w:tcPr>
          <w:p w:rsidR="00681493" w:rsidP="00D63558" w:rsidRDefault="00681493" w14:paraId="31E844FD"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36AB69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8FE8A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82225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20FD5C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2C051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70B6C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C4BDCC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56295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2156C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6AEBD7B9"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74BFB2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922ED1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BED90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3BDF0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58C869F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1B95AE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06124A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87ABD8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7C5B62B" w14:textId="77777777">
            <w:pPr>
              <w:rPr>
                <w:color w:val="000000"/>
                <w:sz w:val="18"/>
                <w:szCs w:val="18"/>
                <w:lang w:eastAsia="es-ES"/>
              </w:rPr>
            </w:pPr>
            <w:r>
              <w:rPr>
                <w:color w:val="000000"/>
                <w:sz w:val="18"/>
                <w:szCs w:val="18"/>
                <w:lang w:eastAsia="es-ES"/>
              </w:rPr>
              <w:t>4.2.2.</w:t>
            </w:r>
            <w:r>
              <w:rPr>
                <w:i/>
                <w:color w:val="000000"/>
                <w:sz w:val="18"/>
                <w:szCs w:val="18"/>
                <w:lang w:eastAsia="es-ES"/>
              </w:rPr>
              <w:t>Pasteurellales</w:t>
            </w:r>
          </w:p>
        </w:tc>
        <w:tc>
          <w:tcPr>
            <w:tcW w:w="476" w:type="dxa"/>
            <w:tcBorders>
              <w:left w:val="single" w:color="auto" w:sz="4" w:space="0"/>
            </w:tcBorders>
            <w:noWrap/>
            <w:vAlign w:val="center"/>
            <w:hideMark/>
          </w:tcPr>
          <w:p w:rsidR="00681493" w:rsidP="00D63558" w:rsidRDefault="00681493" w14:paraId="66EA461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448FE2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EF43C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AB39B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3755CBDE"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717AE36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272EB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DCF6A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933D6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4C94C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993C3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44C43CE5"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3760F5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DB282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644250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F196A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D0FB2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0E30C7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F93064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9C70CC1"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544120E7" w14:textId="77777777">
            <w:pPr>
              <w:rPr>
                <w:color w:val="000000"/>
                <w:sz w:val="18"/>
                <w:szCs w:val="18"/>
                <w:lang w:eastAsia="es-ES"/>
              </w:rPr>
            </w:pPr>
            <w:r>
              <w:rPr>
                <w:color w:val="000000"/>
                <w:sz w:val="18"/>
                <w:szCs w:val="18"/>
                <w:lang w:eastAsia="es-ES"/>
              </w:rPr>
              <w:t>5.1.1.</w:t>
            </w:r>
            <w:r>
              <w:rPr>
                <w:i/>
                <w:color w:val="000000"/>
                <w:sz w:val="18"/>
                <w:szCs w:val="18"/>
                <w:lang w:eastAsia="es-ES"/>
              </w:rPr>
              <w:t>Verrucomicrobiales</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61982F8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shd w:val="clear" w:color="auto" w:fill="C6EFCE"/>
            <w:noWrap/>
            <w:vAlign w:val="center"/>
            <w:hideMark/>
          </w:tcPr>
          <w:p w:rsidR="00681493" w:rsidP="00D63558" w:rsidRDefault="00681493" w14:paraId="26637627" w14:textId="77777777">
            <w:pPr>
              <w:jc w:val="center"/>
              <w:rPr>
                <w:color w:val="006100"/>
                <w:sz w:val="18"/>
                <w:szCs w:val="18"/>
                <w:lang w:eastAsia="es-ES"/>
              </w:rPr>
            </w:pPr>
            <w:r>
              <w:rPr>
                <w:color w:val="006100"/>
                <w:sz w:val="18"/>
                <w:szCs w:val="18"/>
                <w:lang w:eastAsia="es-ES"/>
              </w:rPr>
              <w:t>+</w:t>
            </w:r>
          </w:p>
        </w:tc>
        <w:tc>
          <w:tcPr>
            <w:tcW w:w="457" w:type="dxa"/>
            <w:tcBorders>
              <w:top w:val="nil"/>
              <w:left w:val="nil"/>
              <w:bottom w:val="single" w:color="auto" w:sz="2" w:space="0"/>
              <w:right w:val="nil"/>
            </w:tcBorders>
            <w:noWrap/>
            <w:vAlign w:val="center"/>
            <w:hideMark/>
          </w:tcPr>
          <w:p w:rsidR="00681493" w:rsidP="00D63558" w:rsidRDefault="00681493" w14:paraId="50B88D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531A92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shd w:val="clear" w:color="auto" w:fill="C6EFCE"/>
            <w:noWrap/>
            <w:hideMark/>
          </w:tcPr>
          <w:p w:rsidR="00681493" w:rsidP="00D63558" w:rsidRDefault="00681493" w14:paraId="3D79720E" w14:textId="77777777">
            <w:pPr>
              <w:jc w:val="center"/>
              <w:rPr>
                <w:color w:val="006100"/>
                <w:sz w:val="18"/>
                <w:szCs w:val="18"/>
                <w:lang w:eastAsia="es-ES"/>
              </w:rPr>
            </w:pPr>
            <w:r>
              <w:rPr>
                <w:color w:val="006100"/>
                <w:sz w:val="18"/>
                <w:szCs w:val="18"/>
                <w:lang w:eastAsia="es-ES"/>
              </w:rPr>
              <w:t>+</w:t>
            </w:r>
          </w:p>
        </w:tc>
        <w:tc>
          <w:tcPr>
            <w:tcW w:w="760" w:type="dxa"/>
            <w:tcBorders>
              <w:top w:val="nil"/>
              <w:left w:val="nil"/>
              <w:bottom w:val="single" w:color="auto" w:sz="2" w:space="0"/>
              <w:right w:val="nil"/>
            </w:tcBorders>
            <w:vAlign w:val="center"/>
            <w:hideMark/>
          </w:tcPr>
          <w:p w:rsidR="00681493" w:rsidP="00D63558" w:rsidRDefault="00681493" w14:paraId="771944F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1F76EB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30281F1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0E3DB3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700C24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1CF006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4" w:space="0"/>
              <w:right w:val="nil"/>
            </w:tcBorders>
            <w:noWrap/>
            <w:vAlign w:val="center"/>
            <w:hideMark/>
          </w:tcPr>
          <w:p w:rsidR="00681493" w:rsidP="00D63558" w:rsidRDefault="00681493" w14:paraId="3F4028B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vAlign w:val="center"/>
            <w:hideMark/>
          </w:tcPr>
          <w:p w:rsidR="00681493" w:rsidP="00D63558" w:rsidRDefault="00681493" w14:paraId="1B664E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3ED56E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1CFC2E1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shd w:val="clear" w:color="auto" w:fill="C6EFCE"/>
            <w:noWrap/>
            <w:vAlign w:val="center"/>
            <w:hideMark/>
          </w:tcPr>
          <w:p w:rsidR="00681493" w:rsidP="00D63558" w:rsidRDefault="00681493" w14:paraId="1181E8AD" w14:textId="77777777">
            <w:pPr>
              <w:jc w:val="center"/>
              <w:rPr>
                <w:color w:val="006100"/>
                <w:sz w:val="18"/>
                <w:szCs w:val="18"/>
                <w:lang w:eastAsia="es-ES"/>
              </w:rPr>
            </w:pPr>
            <w:r>
              <w:rPr>
                <w:color w:val="006100"/>
                <w:sz w:val="18"/>
                <w:szCs w:val="18"/>
                <w:lang w:eastAsia="es-ES"/>
              </w:rPr>
              <w:t>+</w:t>
            </w:r>
          </w:p>
        </w:tc>
        <w:tc>
          <w:tcPr>
            <w:tcW w:w="425" w:type="dxa"/>
            <w:tcBorders>
              <w:top w:val="nil"/>
              <w:left w:val="nil"/>
              <w:bottom w:val="single" w:color="auto" w:sz="2" w:space="0"/>
              <w:right w:val="nil"/>
            </w:tcBorders>
            <w:hideMark/>
          </w:tcPr>
          <w:p w:rsidR="00681493" w:rsidP="00D63558" w:rsidRDefault="00681493" w14:paraId="3FC7FC08"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hideMark/>
          </w:tcPr>
          <w:p w:rsidR="00681493" w:rsidP="00D63558" w:rsidRDefault="00681493" w14:paraId="761C87CF"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0999923D" w14:textId="77777777">
        <w:trPr>
          <w:trHeight w:val="300"/>
        </w:trPr>
        <w:tc>
          <w:tcPr>
            <w:tcW w:w="429" w:type="dxa"/>
            <w:vMerge w:val="restart"/>
            <w:tcBorders>
              <w:top w:val="single" w:color="auto" w:sz="4" w:space="0"/>
              <w:left w:val="nil"/>
              <w:bottom w:val="nil"/>
              <w:right w:val="nil"/>
            </w:tcBorders>
            <w:noWrap/>
            <w:textDirection w:val="btLr"/>
            <w:vAlign w:val="center"/>
            <w:hideMark/>
          </w:tcPr>
          <w:p w:rsidR="00681493" w:rsidP="00D63558" w:rsidRDefault="00681493" w14:paraId="0665028D" w14:textId="77777777">
            <w:pPr>
              <w:jc w:val="center"/>
              <w:rPr>
                <w:b/>
                <w:color w:val="000000"/>
                <w:sz w:val="18"/>
                <w:szCs w:val="18"/>
                <w:lang w:eastAsia="es-ES"/>
              </w:rPr>
            </w:pPr>
            <w:r>
              <w:rPr>
                <w:b/>
                <w:color w:val="000000"/>
                <w:sz w:val="18"/>
                <w:szCs w:val="18"/>
                <w:lang w:eastAsia="es-ES"/>
              </w:rPr>
              <w:t>Family</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6C1FA181" w14:textId="77777777">
            <w:pPr>
              <w:rPr>
                <w:color w:val="000000"/>
                <w:sz w:val="18"/>
                <w:szCs w:val="18"/>
                <w:lang w:eastAsia="es-ES"/>
              </w:rPr>
            </w:pPr>
            <w:r>
              <w:rPr>
                <w:color w:val="000000"/>
                <w:sz w:val="18"/>
                <w:szCs w:val="18"/>
                <w:lang w:eastAsia="es-ES"/>
              </w:rPr>
              <w:t>1.1.1.1.</w:t>
            </w:r>
            <w:r>
              <w:rPr>
                <w:i/>
                <w:color w:val="000000"/>
                <w:sz w:val="18"/>
                <w:szCs w:val="18"/>
                <w:lang w:eastAsia="es-ES"/>
              </w:rPr>
              <w:t>Hungateiclostridiaceae</w:t>
            </w:r>
          </w:p>
        </w:tc>
        <w:tc>
          <w:tcPr>
            <w:tcW w:w="476" w:type="dxa"/>
            <w:tcBorders>
              <w:top w:val="single" w:color="auto" w:sz="2" w:space="0"/>
              <w:left w:val="single" w:color="auto" w:sz="4" w:space="0"/>
              <w:bottom w:val="nil"/>
              <w:right w:val="nil"/>
            </w:tcBorders>
            <w:noWrap/>
            <w:vAlign w:val="center"/>
            <w:hideMark/>
          </w:tcPr>
          <w:p w:rsidR="00681493" w:rsidP="00D63558" w:rsidRDefault="00681493" w14:paraId="1483BA3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noWrap/>
            <w:vAlign w:val="center"/>
            <w:hideMark/>
          </w:tcPr>
          <w:p w:rsidR="00681493" w:rsidP="00D63558" w:rsidRDefault="00681493" w14:paraId="1C8C91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single" w:color="auto" w:sz="2" w:space="0"/>
              <w:left w:val="nil"/>
              <w:bottom w:val="nil"/>
              <w:right w:val="nil"/>
            </w:tcBorders>
            <w:noWrap/>
            <w:vAlign w:val="center"/>
            <w:hideMark/>
          </w:tcPr>
          <w:p w:rsidR="00681493" w:rsidP="00D63558" w:rsidRDefault="00681493" w14:paraId="57A55F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single" w:color="auto" w:sz="2" w:space="0"/>
              <w:left w:val="nil"/>
              <w:bottom w:val="nil"/>
              <w:right w:val="nil"/>
            </w:tcBorders>
            <w:noWrap/>
            <w:vAlign w:val="center"/>
            <w:hideMark/>
          </w:tcPr>
          <w:p w:rsidR="00681493" w:rsidP="00D63558" w:rsidRDefault="00681493" w14:paraId="7E5B675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noWrap/>
            <w:vAlign w:val="center"/>
            <w:hideMark/>
          </w:tcPr>
          <w:p w:rsidR="00681493" w:rsidP="00D63558" w:rsidRDefault="00681493" w14:paraId="13986E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single" w:color="auto" w:sz="2" w:space="0"/>
              <w:left w:val="nil"/>
              <w:bottom w:val="nil"/>
              <w:right w:val="nil"/>
            </w:tcBorders>
            <w:vAlign w:val="center"/>
            <w:hideMark/>
          </w:tcPr>
          <w:p w:rsidR="00681493" w:rsidP="00D63558" w:rsidRDefault="00681493" w14:paraId="59D1A6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5ADAAD6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123C6E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335C12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6E4794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4B12592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4" w:space="0"/>
              <w:left w:val="nil"/>
              <w:bottom w:val="nil"/>
              <w:right w:val="nil"/>
            </w:tcBorders>
            <w:shd w:val="clear" w:color="auto" w:fill="C6EFCE"/>
            <w:noWrap/>
            <w:hideMark/>
          </w:tcPr>
          <w:p w:rsidR="00681493" w:rsidP="00D63558" w:rsidRDefault="00681493" w14:paraId="19F2B962"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vAlign w:val="center"/>
            <w:hideMark/>
          </w:tcPr>
          <w:p w:rsidR="00681493" w:rsidP="00D63558" w:rsidRDefault="00681493" w14:paraId="0FBEAF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noWrap/>
            <w:vAlign w:val="center"/>
            <w:hideMark/>
          </w:tcPr>
          <w:p w:rsidR="00681493" w:rsidP="00D63558" w:rsidRDefault="00681493" w14:paraId="215B00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noWrap/>
            <w:vAlign w:val="center"/>
            <w:hideMark/>
          </w:tcPr>
          <w:p w:rsidR="00681493" w:rsidP="00D63558" w:rsidRDefault="00681493" w14:paraId="3B375C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55E743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vAlign w:val="center"/>
            <w:hideMark/>
          </w:tcPr>
          <w:p w:rsidR="00681493" w:rsidP="00D63558" w:rsidRDefault="00681493" w14:paraId="240426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vAlign w:val="center"/>
            <w:hideMark/>
          </w:tcPr>
          <w:p w:rsidR="00681493" w:rsidP="00D63558" w:rsidRDefault="00681493" w14:paraId="4E50B7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E3D6B8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38BE621"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9087421" w14:textId="77777777">
            <w:pPr>
              <w:rPr>
                <w:color w:val="000000"/>
                <w:sz w:val="18"/>
                <w:szCs w:val="18"/>
                <w:lang w:eastAsia="es-ES"/>
              </w:rPr>
            </w:pPr>
            <w:r>
              <w:rPr>
                <w:color w:val="000000"/>
                <w:sz w:val="18"/>
                <w:szCs w:val="18"/>
                <w:lang w:eastAsia="es-ES"/>
              </w:rPr>
              <w:t>1.1.1.2.</w:t>
            </w:r>
            <w:r>
              <w:rPr>
                <w:i/>
                <w:color w:val="000000"/>
                <w:sz w:val="18"/>
                <w:szCs w:val="18"/>
                <w:lang w:eastAsia="es-ES"/>
              </w:rPr>
              <w:t>Lachnospiraceae</w:t>
            </w:r>
          </w:p>
        </w:tc>
        <w:tc>
          <w:tcPr>
            <w:tcW w:w="476" w:type="dxa"/>
            <w:tcBorders>
              <w:left w:val="single" w:color="auto" w:sz="4" w:space="0"/>
            </w:tcBorders>
            <w:shd w:val="clear" w:color="auto" w:fill="C6EFCE"/>
            <w:noWrap/>
            <w:hideMark/>
          </w:tcPr>
          <w:p w:rsidR="00681493" w:rsidP="00D63558" w:rsidRDefault="00681493" w14:paraId="245BDE4C"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736BC7F2" w14:textId="77777777">
            <w:pPr>
              <w:jc w:val="center"/>
              <w:rPr>
                <w:color w:val="000000"/>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08E293EA"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77513B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025F6A4E"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17DEE3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7281FC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956F7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872C7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662D3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84FEA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2CE390E2"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3139EF11"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16952529"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72BF62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32EA7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FFC7CE"/>
            <w:vAlign w:val="center"/>
            <w:hideMark/>
          </w:tcPr>
          <w:p w:rsidR="00681493" w:rsidP="00D63558" w:rsidRDefault="00681493" w14:paraId="1FEF72F3" w14:textId="77777777">
            <w:pPr>
              <w:jc w:val="center"/>
              <w:rPr>
                <w:color w:val="A6A6A6" w:themeColor="background1" w:themeShade="A6"/>
                <w:sz w:val="18"/>
                <w:szCs w:val="18"/>
                <w:lang w:eastAsia="es-ES"/>
              </w:rPr>
            </w:pPr>
            <w:r>
              <w:rPr>
                <w:color w:val="9C0006"/>
                <w:sz w:val="18"/>
                <w:szCs w:val="18"/>
                <w:lang w:eastAsia="es-ES"/>
              </w:rPr>
              <w:t>-</w:t>
            </w:r>
          </w:p>
        </w:tc>
        <w:tc>
          <w:tcPr>
            <w:tcW w:w="566" w:type="dxa"/>
            <w:shd w:val="clear" w:color="auto" w:fill="C6EFCE"/>
            <w:hideMark/>
          </w:tcPr>
          <w:p w:rsidR="00681493" w:rsidP="00D63558" w:rsidRDefault="00681493" w14:paraId="4019862E"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2AC92FCA"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551F0B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38C161D" w14:textId="77777777">
            <w:pPr>
              <w:rPr>
                <w:color w:val="000000"/>
                <w:sz w:val="18"/>
                <w:szCs w:val="18"/>
                <w:lang w:eastAsia="es-ES"/>
              </w:rPr>
            </w:pPr>
            <w:r>
              <w:rPr>
                <w:color w:val="000000"/>
                <w:sz w:val="18"/>
                <w:szCs w:val="18"/>
                <w:lang w:eastAsia="es-ES"/>
              </w:rPr>
              <w:t>1.1.1.3.</w:t>
            </w:r>
            <w:r>
              <w:rPr>
                <w:i/>
                <w:color w:val="000000"/>
                <w:sz w:val="18"/>
                <w:szCs w:val="18"/>
                <w:lang w:eastAsia="es-ES"/>
              </w:rPr>
              <w:t>Ruminococcaceae</w:t>
            </w:r>
          </w:p>
        </w:tc>
        <w:tc>
          <w:tcPr>
            <w:tcW w:w="476" w:type="dxa"/>
            <w:tcBorders>
              <w:left w:val="single" w:color="auto" w:sz="4" w:space="0"/>
            </w:tcBorders>
            <w:shd w:val="clear" w:color="auto" w:fill="C6EFCE"/>
            <w:noWrap/>
            <w:hideMark/>
          </w:tcPr>
          <w:p w:rsidR="00681493" w:rsidP="00D63558" w:rsidRDefault="00681493" w14:paraId="20391F85" w14:textId="77777777">
            <w:pPr>
              <w:jc w:val="center"/>
              <w:rPr>
                <w:color w:val="006100"/>
                <w:sz w:val="18"/>
                <w:szCs w:val="18"/>
                <w:lang w:eastAsia="es-ES"/>
              </w:rPr>
            </w:pPr>
            <w:r>
              <w:rPr>
                <w:color w:val="006100"/>
                <w:sz w:val="18"/>
                <w:szCs w:val="18"/>
                <w:lang w:eastAsia="es-ES"/>
              </w:rPr>
              <w:t>+</w:t>
            </w:r>
          </w:p>
        </w:tc>
        <w:tc>
          <w:tcPr>
            <w:tcW w:w="566" w:type="dxa"/>
            <w:shd w:val="clear" w:color="auto" w:fill="C6EFCE"/>
            <w:noWrap/>
            <w:hideMark/>
          </w:tcPr>
          <w:p w:rsidR="00681493" w:rsidP="00D63558" w:rsidRDefault="00681493" w14:paraId="4A7AE1A5"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672F56D9" w14:textId="77777777">
            <w:pPr>
              <w:jc w:val="center"/>
              <w:rPr>
                <w:color w:val="000000"/>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E23AF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EB9C"/>
            <w:noWrap/>
            <w:vAlign w:val="center"/>
            <w:hideMark/>
          </w:tcPr>
          <w:p w:rsidR="00681493" w:rsidP="00D63558" w:rsidRDefault="00681493" w14:paraId="5A1E230C" w14:textId="77777777">
            <w:pPr>
              <w:jc w:val="center"/>
              <w:rPr>
                <w:color w:val="9C6500"/>
                <w:sz w:val="18"/>
                <w:szCs w:val="18"/>
                <w:lang w:eastAsia="es-ES"/>
              </w:rPr>
            </w:pPr>
            <w:r>
              <w:rPr>
                <w:color w:val="9C6500"/>
                <w:sz w:val="18"/>
                <w:szCs w:val="18"/>
                <w:lang w:eastAsia="es-ES"/>
              </w:rPr>
              <w:t>+/-</w:t>
            </w:r>
          </w:p>
        </w:tc>
        <w:tc>
          <w:tcPr>
            <w:tcW w:w="760" w:type="dxa"/>
            <w:vAlign w:val="center"/>
            <w:hideMark/>
          </w:tcPr>
          <w:p w:rsidR="00681493" w:rsidP="00D63558" w:rsidRDefault="00681493" w14:paraId="51336FE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D59DE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BC7C9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A8D384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6B53C9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1E207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175618B7"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5CFED841"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37BB2329"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2140A4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7FF1C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20E98E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3B00DA73"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4A41894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33B333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127E4B3" w14:textId="77777777">
            <w:pPr>
              <w:rPr>
                <w:color w:val="000000"/>
                <w:sz w:val="18"/>
                <w:szCs w:val="18"/>
                <w:lang w:eastAsia="es-ES"/>
              </w:rPr>
            </w:pPr>
            <w:r>
              <w:rPr>
                <w:color w:val="000000"/>
                <w:sz w:val="18"/>
                <w:szCs w:val="18"/>
                <w:lang w:eastAsia="es-ES"/>
              </w:rPr>
              <w:t>1.1.1.4.Family UC</w:t>
            </w:r>
          </w:p>
        </w:tc>
        <w:tc>
          <w:tcPr>
            <w:tcW w:w="476" w:type="dxa"/>
            <w:tcBorders>
              <w:left w:val="single" w:color="auto" w:sz="4" w:space="0"/>
            </w:tcBorders>
            <w:noWrap/>
            <w:hideMark/>
          </w:tcPr>
          <w:p w:rsidR="00681493" w:rsidP="00D63558" w:rsidRDefault="00681493" w14:paraId="427D7135" w14:textId="77777777">
            <w:pPr>
              <w:jc w:val="center"/>
              <w:rPr>
                <w:color w:val="006100"/>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616CE85A" w14:textId="77777777">
            <w:pPr>
              <w:jc w:val="center"/>
              <w:rPr>
                <w:color w:val="006100"/>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2A1AA654" w14:textId="77777777">
            <w:pPr>
              <w:jc w:val="center"/>
              <w:rPr>
                <w:color w:val="006100"/>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5B6BB1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4D983012" w14:textId="77777777">
            <w:pPr>
              <w:jc w:val="center"/>
              <w:rPr>
                <w:color w:val="9C0006"/>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6278F15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54D059E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581684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72D6E3A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38E9B5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78EA6B8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542D27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633E84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hideMark/>
          </w:tcPr>
          <w:p w:rsidR="00681493" w:rsidP="00D63558" w:rsidRDefault="00681493" w14:paraId="707A20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184C91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4C8766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01688D5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23032224"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576B733F"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F3B879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9CCE56C" w14:textId="77777777">
            <w:pPr>
              <w:rPr>
                <w:color w:val="000000"/>
                <w:sz w:val="18"/>
                <w:szCs w:val="18"/>
                <w:lang w:eastAsia="es-ES"/>
              </w:rPr>
            </w:pPr>
            <w:r>
              <w:rPr>
                <w:color w:val="000000"/>
                <w:sz w:val="18"/>
                <w:szCs w:val="18"/>
                <w:lang w:eastAsia="es-ES"/>
              </w:rPr>
              <w:t>1.2.1.1.</w:t>
            </w:r>
            <w:r>
              <w:rPr>
                <w:i/>
                <w:color w:val="000000"/>
                <w:sz w:val="18"/>
                <w:szCs w:val="18"/>
                <w:lang w:eastAsia="es-ES"/>
              </w:rPr>
              <w:t>Erysipelotrichaceae</w:t>
            </w:r>
          </w:p>
        </w:tc>
        <w:tc>
          <w:tcPr>
            <w:tcW w:w="476" w:type="dxa"/>
            <w:tcBorders>
              <w:left w:val="single" w:color="auto" w:sz="4" w:space="0"/>
            </w:tcBorders>
            <w:shd w:val="clear" w:color="auto" w:fill="C6EFCE"/>
            <w:noWrap/>
            <w:hideMark/>
          </w:tcPr>
          <w:p w:rsidR="00681493" w:rsidP="00D63558" w:rsidRDefault="00681493" w14:paraId="048A43F8" w14:textId="77777777">
            <w:pPr>
              <w:jc w:val="center"/>
              <w:rPr>
                <w:color w:val="006100"/>
                <w:sz w:val="18"/>
                <w:szCs w:val="18"/>
                <w:lang w:eastAsia="es-ES"/>
              </w:rPr>
            </w:pPr>
            <w:r>
              <w:rPr>
                <w:color w:val="006100"/>
                <w:sz w:val="18"/>
                <w:szCs w:val="18"/>
                <w:lang w:eastAsia="es-ES"/>
              </w:rPr>
              <w:t>+</w:t>
            </w:r>
          </w:p>
        </w:tc>
        <w:tc>
          <w:tcPr>
            <w:tcW w:w="566" w:type="dxa"/>
            <w:shd w:val="clear" w:color="auto" w:fill="C6EFCE"/>
            <w:noWrap/>
            <w:hideMark/>
          </w:tcPr>
          <w:p w:rsidR="00681493" w:rsidP="00D63558" w:rsidRDefault="00681493" w14:paraId="475E2B81" w14:textId="77777777">
            <w:pPr>
              <w:jc w:val="center"/>
              <w:rPr>
                <w:color w:val="006100"/>
                <w:sz w:val="18"/>
                <w:szCs w:val="18"/>
                <w:lang w:eastAsia="es-ES"/>
              </w:rPr>
            </w:pPr>
            <w:r>
              <w:rPr>
                <w:color w:val="006100"/>
                <w:sz w:val="18"/>
                <w:szCs w:val="18"/>
                <w:lang w:eastAsia="es-ES"/>
              </w:rPr>
              <w:t>+</w:t>
            </w:r>
          </w:p>
        </w:tc>
        <w:tc>
          <w:tcPr>
            <w:tcW w:w="457" w:type="dxa"/>
            <w:shd w:val="clear" w:color="auto" w:fill="C6EFCE"/>
            <w:noWrap/>
            <w:vAlign w:val="center"/>
            <w:hideMark/>
          </w:tcPr>
          <w:p w:rsidR="00681493" w:rsidP="00D63558" w:rsidRDefault="00681493" w14:paraId="02B7C65D"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5F4190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715A69EB"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349E434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686B0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83BD41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A4567D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3ACFD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E7A1E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DE1114C" w14:textId="77777777">
            <w:pPr>
              <w:jc w:val="center"/>
              <w:rPr>
                <w:color w:val="000000"/>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E6192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0424A3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A259D6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0157E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39FB9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19EE2B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13586EE7"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03114A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5F1F934" w14:textId="77777777">
            <w:pPr>
              <w:rPr>
                <w:color w:val="000000"/>
                <w:sz w:val="18"/>
                <w:szCs w:val="18"/>
                <w:lang w:eastAsia="es-ES"/>
              </w:rPr>
            </w:pPr>
            <w:r>
              <w:rPr>
                <w:color w:val="000000"/>
                <w:sz w:val="18"/>
                <w:szCs w:val="18"/>
                <w:lang w:eastAsia="es-ES"/>
              </w:rPr>
              <w:t>1.3.1.1.</w:t>
            </w:r>
            <w:r>
              <w:rPr>
                <w:i/>
                <w:color w:val="000000"/>
                <w:sz w:val="18"/>
                <w:szCs w:val="18"/>
                <w:lang w:eastAsia="es-ES"/>
              </w:rPr>
              <w:t>Lactobacillaceae</w:t>
            </w:r>
          </w:p>
        </w:tc>
        <w:tc>
          <w:tcPr>
            <w:tcW w:w="476" w:type="dxa"/>
            <w:tcBorders>
              <w:left w:val="single" w:color="auto" w:sz="4" w:space="0"/>
            </w:tcBorders>
            <w:noWrap/>
            <w:vAlign w:val="center"/>
            <w:hideMark/>
          </w:tcPr>
          <w:p w:rsidR="00681493" w:rsidP="00D63558" w:rsidRDefault="00681493" w14:paraId="2EF1EB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11EA1C25"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5D466C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1CE27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CD0297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28D25F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9ACDC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794930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9D9AD5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EDCB4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40986C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C83A2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0F499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2AD5B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FAABC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4150E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6EB02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60BB7A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42160C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2A34FF0"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E3E70A0" w14:textId="77777777">
            <w:pPr>
              <w:rPr>
                <w:color w:val="000000"/>
                <w:sz w:val="18"/>
                <w:szCs w:val="18"/>
                <w:lang w:eastAsia="es-ES"/>
              </w:rPr>
            </w:pPr>
            <w:r>
              <w:rPr>
                <w:color w:val="000000"/>
                <w:sz w:val="18"/>
                <w:szCs w:val="18"/>
                <w:lang w:eastAsia="es-ES"/>
              </w:rPr>
              <w:t>1.4.1.1.</w:t>
            </w:r>
            <w:r>
              <w:rPr>
                <w:i/>
                <w:color w:val="000000"/>
                <w:sz w:val="18"/>
                <w:szCs w:val="18"/>
                <w:lang w:eastAsia="es-ES"/>
              </w:rPr>
              <w:t>Selenomonadaceae</w:t>
            </w:r>
          </w:p>
        </w:tc>
        <w:tc>
          <w:tcPr>
            <w:tcW w:w="476" w:type="dxa"/>
            <w:tcBorders>
              <w:left w:val="single" w:color="auto" w:sz="4" w:space="0"/>
            </w:tcBorders>
            <w:noWrap/>
            <w:vAlign w:val="center"/>
            <w:hideMark/>
          </w:tcPr>
          <w:p w:rsidR="00681493" w:rsidP="00D63558" w:rsidRDefault="00681493" w14:paraId="0C7353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F5F3F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41B23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02304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A7DA2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0D834E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17337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C3437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A3620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9882F4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88B6E0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68098A5D"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510E00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14865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17B905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C5D1F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0B8ED0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00E3F45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6D6BEEC"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F8AB4D2"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747AB44" w14:textId="77777777">
            <w:pPr>
              <w:rPr>
                <w:color w:val="000000"/>
                <w:sz w:val="18"/>
                <w:szCs w:val="18"/>
                <w:lang w:eastAsia="es-ES"/>
              </w:rPr>
            </w:pPr>
            <w:r>
              <w:rPr>
                <w:color w:val="000000"/>
                <w:sz w:val="18"/>
                <w:szCs w:val="18"/>
                <w:lang w:eastAsia="es-ES"/>
              </w:rPr>
              <w:t>1.4.2.1.</w:t>
            </w:r>
            <w:r>
              <w:rPr>
                <w:i/>
                <w:color w:val="000000"/>
                <w:sz w:val="18"/>
                <w:szCs w:val="18"/>
                <w:lang w:eastAsia="es-ES"/>
              </w:rPr>
              <w:t>Veillonellaceae</w:t>
            </w:r>
          </w:p>
        </w:tc>
        <w:tc>
          <w:tcPr>
            <w:tcW w:w="476" w:type="dxa"/>
            <w:tcBorders>
              <w:left w:val="single" w:color="auto" w:sz="4" w:space="0"/>
            </w:tcBorders>
            <w:noWrap/>
            <w:vAlign w:val="center"/>
            <w:hideMark/>
          </w:tcPr>
          <w:p w:rsidR="00681493" w:rsidP="00D63558" w:rsidRDefault="00681493" w14:paraId="338214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vAlign w:val="center"/>
            <w:hideMark/>
          </w:tcPr>
          <w:p w:rsidR="00681493" w:rsidP="00D63558" w:rsidRDefault="00681493" w14:paraId="2055EFA4" w14:textId="77777777">
            <w:pPr>
              <w:jc w:val="center"/>
              <w:rPr>
                <w:color w:val="006100"/>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1BD724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7AD4A2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E01E81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6A32CB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9A55B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7AAFE7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5F209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170E7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36D3A1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05B61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shd w:val="clear" w:color="auto" w:fill="C6EFCE"/>
            <w:hideMark/>
          </w:tcPr>
          <w:p w:rsidR="00681493" w:rsidP="00D63558" w:rsidRDefault="00681493" w14:paraId="7CCA60EC" w14:textId="77777777">
            <w:pPr>
              <w:jc w:val="center"/>
              <w:rPr>
                <w:color w:val="A6A6A6" w:themeColor="background1" w:themeShade="A6"/>
                <w:sz w:val="18"/>
                <w:szCs w:val="18"/>
                <w:lang w:eastAsia="es-ES"/>
              </w:rPr>
            </w:pPr>
            <w:r>
              <w:rPr>
                <w:color w:val="006100"/>
                <w:sz w:val="18"/>
                <w:szCs w:val="18"/>
                <w:lang w:eastAsia="es-ES"/>
              </w:rPr>
              <w:t>+</w:t>
            </w:r>
          </w:p>
        </w:tc>
        <w:tc>
          <w:tcPr>
            <w:tcW w:w="478" w:type="dxa"/>
            <w:tcBorders>
              <w:top w:val="nil"/>
              <w:left w:val="dashed" w:color="auto" w:sz="4" w:space="0"/>
              <w:bottom w:val="nil"/>
              <w:right w:val="nil"/>
            </w:tcBorders>
            <w:noWrap/>
            <w:vAlign w:val="center"/>
            <w:hideMark/>
          </w:tcPr>
          <w:p w:rsidR="00681493" w:rsidP="00D63558" w:rsidRDefault="00681493" w14:paraId="7AF54B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F5B5A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EB1B2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21C9F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F21982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3BE86AE"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7674AC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0ABEB51" w14:textId="77777777">
            <w:pPr>
              <w:rPr>
                <w:color w:val="000000"/>
                <w:sz w:val="18"/>
                <w:szCs w:val="18"/>
                <w:lang w:eastAsia="es-ES"/>
              </w:rPr>
            </w:pPr>
            <w:r>
              <w:rPr>
                <w:color w:val="000000"/>
                <w:sz w:val="18"/>
                <w:szCs w:val="18"/>
                <w:lang w:eastAsia="es-ES"/>
              </w:rPr>
              <w:t>2.1.1.1.S24-7</w:t>
            </w:r>
          </w:p>
        </w:tc>
        <w:tc>
          <w:tcPr>
            <w:tcW w:w="476" w:type="dxa"/>
            <w:tcBorders>
              <w:left w:val="single" w:color="auto" w:sz="4" w:space="0"/>
            </w:tcBorders>
            <w:noWrap/>
            <w:vAlign w:val="center"/>
            <w:hideMark/>
          </w:tcPr>
          <w:p w:rsidR="00681493" w:rsidP="00D63558" w:rsidRDefault="00681493" w14:paraId="2E6F39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7BEC6B28"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37D7C9A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C5FE9B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69576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1EF5E3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A37923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0F1EC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C0229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9FFC9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4DB78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2B0701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55C9F3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F8AD1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B880F6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DC4C58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40D9B7D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B6E5BA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73C05A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F41B4D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6C2E6E9" w14:textId="77777777">
            <w:pPr>
              <w:rPr>
                <w:color w:val="000000"/>
                <w:sz w:val="18"/>
                <w:szCs w:val="18"/>
                <w:lang w:eastAsia="es-ES"/>
              </w:rPr>
            </w:pPr>
            <w:r>
              <w:rPr>
                <w:color w:val="000000"/>
                <w:sz w:val="18"/>
                <w:szCs w:val="18"/>
                <w:lang w:eastAsia="es-ES"/>
              </w:rPr>
              <w:t>2.1.1.2.</w:t>
            </w:r>
            <w:r>
              <w:rPr>
                <w:i/>
                <w:color w:val="000000"/>
                <w:sz w:val="18"/>
                <w:szCs w:val="18"/>
                <w:lang w:eastAsia="es-ES"/>
              </w:rPr>
              <w:t>Rikenellaceae</w:t>
            </w:r>
          </w:p>
        </w:tc>
        <w:tc>
          <w:tcPr>
            <w:tcW w:w="476" w:type="dxa"/>
            <w:tcBorders>
              <w:left w:val="single" w:color="auto" w:sz="4" w:space="0"/>
            </w:tcBorders>
            <w:noWrap/>
            <w:vAlign w:val="center"/>
            <w:hideMark/>
          </w:tcPr>
          <w:p w:rsidR="00681493" w:rsidP="00D63558" w:rsidRDefault="00681493" w14:paraId="1E212D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79DA309A"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4287863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435F3E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4DBD1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001AF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BC65A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3815CE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4D7250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CB530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E16458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477563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7D7D6F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03E00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5AE7B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1C56D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4E0BFBA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3CC11B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E472E2A"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4B0D67E"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F2173EA" w14:textId="77777777">
            <w:pPr>
              <w:rPr>
                <w:color w:val="000000"/>
                <w:sz w:val="18"/>
                <w:szCs w:val="18"/>
                <w:lang w:eastAsia="es-ES"/>
              </w:rPr>
            </w:pPr>
            <w:r>
              <w:rPr>
                <w:color w:val="000000"/>
                <w:sz w:val="18"/>
                <w:szCs w:val="18"/>
                <w:lang w:eastAsia="es-ES"/>
              </w:rPr>
              <w:t>2.1.1.3.</w:t>
            </w:r>
            <w:r>
              <w:rPr>
                <w:i/>
                <w:color w:val="000000"/>
                <w:sz w:val="18"/>
                <w:szCs w:val="18"/>
                <w:lang w:eastAsia="es-ES"/>
              </w:rPr>
              <w:t>Prevotellaceae</w:t>
            </w:r>
          </w:p>
        </w:tc>
        <w:tc>
          <w:tcPr>
            <w:tcW w:w="476" w:type="dxa"/>
            <w:tcBorders>
              <w:left w:val="single" w:color="auto" w:sz="4" w:space="0"/>
            </w:tcBorders>
            <w:noWrap/>
            <w:vAlign w:val="center"/>
            <w:hideMark/>
          </w:tcPr>
          <w:p w:rsidR="00681493" w:rsidP="00D63558" w:rsidRDefault="00681493" w14:paraId="4168D7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6E21829A"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169C340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183A6C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32A15A9C" w14:textId="77777777">
            <w:pPr>
              <w:jc w:val="center"/>
              <w:rPr>
                <w:color w:val="006100"/>
                <w:sz w:val="18"/>
                <w:szCs w:val="18"/>
                <w:lang w:eastAsia="es-ES"/>
              </w:rPr>
            </w:pPr>
            <w:r>
              <w:rPr>
                <w:color w:val="006100"/>
                <w:sz w:val="18"/>
                <w:szCs w:val="18"/>
                <w:lang w:eastAsia="es-ES"/>
              </w:rPr>
              <w:t>+</w:t>
            </w:r>
          </w:p>
        </w:tc>
        <w:tc>
          <w:tcPr>
            <w:tcW w:w="760" w:type="dxa"/>
            <w:shd w:val="clear" w:color="auto" w:fill="C6EFCE"/>
            <w:hideMark/>
          </w:tcPr>
          <w:p w:rsidR="00681493" w:rsidP="00D63558" w:rsidRDefault="00681493" w14:paraId="731DEF5B" w14:textId="77777777">
            <w:pPr>
              <w:jc w:val="center"/>
              <w:rPr>
                <w:color w:val="000000"/>
                <w:sz w:val="18"/>
                <w:szCs w:val="18"/>
                <w:lang w:eastAsia="es-ES"/>
              </w:rPr>
            </w:pPr>
            <w:r>
              <w:rPr>
                <w:color w:val="006100"/>
                <w:sz w:val="18"/>
                <w:szCs w:val="18"/>
                <w:lang w:eastAsia="es-ES"/>
              </w:rPr>
              <w:t>+</w:t>
            </w:r>
          </w:p>
        </w:tc>
        <w:tc>
          <w:tcPr>
            <w:tcW w:w="428" w:type="dxa"/>
            <w:noWrap/>
            <w:vAlign w:val="center"/>
            <w:hideMark/>
          </w:tcPr>
          <w:p w:rsidR="00681493" w:rsidP="00D63558" w:rsidRDefault="00681493" w14:paraId="5E7475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4D9EA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710080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D105EB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80F57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FAEA0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595905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730B6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2E5932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C4A69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DC4E20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vAlign w:val="center"/>
            <w:hideMark/>
          </w:tcPr>
          <w:p w:rsidR="00681493" w:rsidP="00D63558" w:rsidRDefault="00681493" w14:paraId="451FC14B"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10EE1C0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BC2EBE2"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FE002DC" w14:textId="77777777">
            <w:pPr>
              <w:rPr>
                <w:color w:val="000000"/>
                <w:sz w:val="18"/>
                <w:szCs w:val="18"/>
                <w:lang w:eastAsia="es-ES"/>
              </w:rPr>
            </w:pPr>
            <w:r>
              <w:rPr>
                <w:color w:val="000000"/>
                <w:sz w:val="18"/>
                <w:szCs w:val="18"/>
                <w:lang w:eastAsia="es-ES"/>
              </w:rPr>
              <w:t>2.1.1.4.</w:t>
            </w:r>
            <w:r>
              <w:rPr>
                <w:i/>
                <w:color w:val="000000"/>
                <w:sz w:val="18"/>
                <w:szCs w:val="18"/>
                <w:lang w:eastAsia="es-ES"/>
              </w:rPr>
              <w:t>Barnesiellaceae</w:t>
            </w:r>
          </w:p>
        </w:tc>
        <w:tc>
          <w:tcPr>
            <w:tcW w:w="476" w:type="dxa"/>
            <w:tcBorders>
              <w:left w:val="single" w:color="auto" w:sz="4" w:space="0"/>
            </w:tcBorders>
            <w:noWrap/>
            <w:vAlign w:val="center"/>
            <w:hideMark/>
          </w:tcPr>
          <w:p w:rsidR="00681493" w:rsidP="00D63558" w:rsidRDefault="00681493" w14:paraId="0FDA8F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4ECEA2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838FFF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DC089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0E6A2332"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18D4EC8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B8326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169CBF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2C2315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EEBF7C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D8D5B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30E08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6C60FE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01E21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EE6D5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89B56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A4A4D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0F8F8B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551CE8E"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9B60A8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7BE38D9" w14:textId="77777777">
            <w:pPr>
              <w:rPr>
                <w:color w:val="000000"/>
                <w:sz w:val="18"/>
                <w:szCs w:val="18"/>
                <w:lang w:eastAsia="es-ES"/>
              </w:rPr>
            </w:pPr>
            <w:r>
              <w:rPr>
                <w:color w:val="000000"/>
                <w:sz w:val="18"/>
                <w:szCs w:val="18"/>
                <w:lang w:eastAsia="es-ES"/>
              </w:rPr>
              <w:t>2.1.1.5.</w:t>
            </w:r>
            <w:r>
              <w:rPr>
                <w:i/>
                <w:color w:val="000000"/>
                <w:sz w:val="18"/>
                <w:szCs w:val="18"/>
                <w:lang w:eastAsia="es-ES"/>
              </w:rPr>
              <w:t>Odoribacteraceae</w:t>
            </w:r>
            <w:r>
              <w:rPr>
                <w:color w:val="000000"/>
                <w:sz w:val="18"/>
                <w:szCs w:val="18"/>
                <w:lang w:eastAsia="es-ES"/>
              </w:rPr>
              <w:t>   </w:t>
            </w:r>
          </w:p>
        </w:tc>
        <w:tc>
          <w:tcPr>
            <w:tcW w:w="476" w:type="dxa"/>
            <w:tcBorders>
              <w:left w:val="single" w:color="auto" w:sz="4" w:space="0"/>
            </w:tcBorders>
            <w:noWrap/>
            <w:vAlign w:val="center"/>
            <w:hideMark/>
          </w:tcPr>
          <w:p w:rsidR="00681493" w:rsidP="00D63558" w:rsidRDefault="00681493" w14:paraId="5797E7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799142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4A668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F1580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46F76357"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1BAAD44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39F63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4C04F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0B0DF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C6F87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DAE7A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99370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4857E3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EAEBA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03D2F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64E971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0072F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EC20B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4DFA7C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E6E16E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0712C07" w14:textId="77777777">
            <w:pPr>
              <w:rPr>
                <w:color w:val="000000"/>
                <w:sz w:val="18"/>
                <w:szCs w:val="18"/>
                <w:lang w:eastAsia="es-ES"/>
              </w:rPr>
            </w:pPr>
            <w:r>
              <w:rPr>
                <w:color w:val="000000"/>
                <w:sz w:val="18"/>
                <w:szCs w:val="18"/>
                <w:lang w:eastAsia="es-ES"/>
              </w:rPr>
              <w:t>2.1.1.6.</w:t>
            </w:r>
            <w:r>
              <w:rPr>
                <w:i/>
                <w:color w:val="000000"/>
                <w:sz w:val="18"/>
                <w:szCs w:val="18"/>
                <w:lang w:eastAsia="es-ES"/>
              </w:rPr>
              <w:t>Bacteroidaceae</w:t>
            </w:r>
            <w:r>
              <w:rPr>
                <w:color w:val="000000"/>
                <w:sz w:val="18"/>
                <w:szCs w:val="18"/>
                <w:lang w:eastAsia="es-ES"/>
              </w:rPr>
              <w:t> </w:t>
            </w:r>
          </w:p>
        </w:tc>
        <w:tc>
          <w:tcPr>
            <w:tcW w:w="476" w:type="dxa"/>
            <w:tcBorders>
              <w:left w:val="single" w:color="auto" w:sz="4" w:space="0"/>
            </w:tcBorders>
            <w:noWrap/>
            <w:vAlign w:val="center"/>
            <w:hideMark/>
          </w:tcPr>
          <w:p w:rsidR="00681493" w:rsidP="00D63558" w:rsidRDefault="00681493" w14:paraId="50B2E4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79F137C7"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35F5D0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325AAC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5BAB45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49C90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55507F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A203A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16C10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9C59F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D854D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E0BD8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078B66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09EC3DB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708AD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303A27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FFC7CE"/>
            <w:vAlign w:val="center"/>
            <w:hideMark/>
          </w:tcPr>
          <w:p w:rsidR="00681493" w:rsidP="00D63558" w:rsidRDefault="00681493" w14:paraId="2D7CE0F6" w14:textId="77777777">
            <w:pPr>
              <w:jc w:val="center"/>
              <w:rPr>
                <w:color w:val="A6A6A6" w:themeColor="background1" w:themeShade="A6"/>
                <w:sz w:val="18"/>
                <w:szCs w:val="18"/>
                <w:lang w:eastAsia="es-ES"/>
              </w:rPr>
            </w:pPr>
            <w:r>
              <w:rPr>
                <w:color w:val="9C0006"/>
                <w:sz w:val="18"/>
                <w:szCs w:val="18"/>
                <w:lang w:eastAsia="es-ES"/>
              </w:rPr>
              <w:t>-</w:t>
            </w:r>
          </w:p>
        </w:tc>
        <w:tc>
          <w:tcPr>
            <w:tcW w:w="566" w:type="dxa"/>
            <w:shd w:val="clear" w:color="auto" w:fill="C6EFCE"/>
            <w:vAlign w:val="center"/>
            <w:hideMark/>
          </w:tcPr>
          <w:p w:rsidR="00681493" w:rsidP="00D63558" w:rsidRDefault="00681493" w14:paraId="2ACF1183"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44A2172B"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33376C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861483A" w14:textId="77777777">
            <w:pPr>
              <w:rPr>
                <w:color w:val="000000"/>
                <w:sz w:val="18"/>
                <w:szCs w:val="18"/>
                <w:lang w:eastAsia="es-ES"/>
              </w:rPr>
            </w:pPr>
            <w:r>
              <w:rPr>
                <w:color w:val="000000"/>
                <w:sz w:val="18"/>
                <w:szCs w:val="18"/>
                <w:lang w:eastAsia="es-ES"/>
              </w:rPr>
              <w:t>3.1.1.1.</w:t>
            </w:r>
            <w:r>
              <w:rPr>
                <w:i/>
                <w:color w:val="000000"/>
                <w:sz w:val="18"/>
                <w:szCs w:val="18"/>
                <w:lang w:eastAsia="es-ES"/>
              </w:rPr>
              <w:t>Bifidobacteriaceae</w:t>
            </w:r>
          </w:p>
        </w:tc>
        <w:tc>
          <w:tcPr>
            <w:tcW w:w="476" w:type="dxa"/>
            <w:tcBorders>
              <w:left w:val="single" w:color="auto" w:sz="4" w:space="0"/>
            </w:tcBorders>
            <w:noWrap/>
            <w:vAlign w:val="center"/>
            <w:hideMark/>
          </w:tcPr>
          <w:p w:rsidR="00681493" w:rsidP="00D63558" w:rsidRDefault="00681493" w14:paraId="671CA3E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50C9802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D4750A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3EF19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56B5DC1F"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19CA6D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5D4B21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BC1A8E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F7959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D67495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E764E2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BA1E29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3C7DED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5FFE3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4CAB2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F41179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2F32852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02ACA5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6EA3D5A"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95FAE1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6A7015A" w14:textId="77777777">
            <w:pPr>
              <w:rPr>
                <w:color w:val="000000"/>
                <w:sz w:val="18"/>
                <w:szCs w:val="18"/>
                <w:lang w:eastAsia="es-ES"/>
              </w:rPr>
            </w:pPr>
            <w:r>
              <w:rPr>
                <w:color w:val="000000"/>
                <w:sz w:val="18"/>
                <w:szCs w:val="18"/>
                <w:lang w:eastAsia="es-ES"/>
              </w:rPr>
              <w:t>3.2.1.1.</w:t>
            </w:r>
            <w:r>
              <w:rPr>
                <w:i/>
                <w:color w:val="000000"/>
                <w:sz w:val="18"/>
                <w:szCs w:val="18"/>
                <w:lang w:eastAsia="es-ES"/>
              </w:rPr>
              <w:t>Coriobacteriaceae</w:t>
            </w:r>
          </w:p>
        </w:tc>
        <w:tc>
          <w:tcPr>
            <w:tcW w:w="476" w:type="dxa"/>
            <w:tcBorders>
              <w:left w:val="single" w:color="auto" w:sz="4" w:space="0"/>
            </w:tcBorders>
            <w:noWrap/>
            <w:vAlign w:val="center"/>
            <w:hideMark/>
          </w:tcPr>
          <w:p w:rsidR="00681493" w:rsidP="00D63558" w:rsidRDefault="00681493" w14:paraId="4FEB8E5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1AC1A0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113A7E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C1A60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AFCB9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7C6625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5AF942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BD3E4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AF5BD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07715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36DCEA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569EEB10"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hideMark/>
          </w:tcPr>
          <w:p w:rsidR="00681493" w:rsidP="00D63558" w:rsidRDefault="00681493" w14:paraId="29ACA1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ECDB8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5319C3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B4195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0E1C0A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64C2F9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38EA170"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34072BA"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A7DF28E" w14:textId="77777777">
            <w:pPr>
              <w:rPr>
                <w:color w:val="000000"/>
                <w:sz w:val="18"/>
                <w:szCs w:val="18"/>
                <w:lang w:eastAsia="es-ES"/>
              </w:rPr>
            </w:pPr>
            <w:r>
              <w:rPr>
                <w:color w:val="000000"/>
                <w:sz w:val="18"/>
                <w:szCs w:val="18"/>
                <w:lang w:eastAsia="es-ES"/>
              </w:rPr>
              <w:t>3.2.2.1.</w:t>
            </w:r>
            <w:r>
              <w:rPr>
                <w:i/>
                <w:color w:val="000000"/>
                <w:sz w:val="18"/>
                <w:szCs w:val="18"/>
                <w:lang w:eastAsia="es-ES"/>
              </w:rPr>
              <w:t>Eggerthellaceae</w:t>
            </w:r>
          </w:p>
        </w:tc>
        <w:tc>
          <w:tcPr>
            <w:tcW w:w="476" w:type="dxa"/>
            <w:tcBorders>
              <w:left w:val="single" w:color="auto" w:sz="4" w:space="0"/>
            </w:tcBorders>
            <w:noWrap/>
            <w:vAlign w:val="center"/>
            <w:hideMark/>
          </w:tcPr>
          <w:p w:rsidR="00681493" w:rsidP="00D63558" w:rsidRDefault="00681493" w14:paraId="2CCF19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00445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5EEF28BE"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17FAEE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1093A077" w14:textId="77777777">
            <w:pPr>
              <w:jc w:val="center"/>
              <w:rPr>
                <w:color w:val="000000"/>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A7FAF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F6C4E6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909CCB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7FE90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BF55F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F6A47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B4A5F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5F2D49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777A2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3ADE53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1407A0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5195433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664080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C17561F"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1D437F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573658D" w14:textId="77777777">
            <w:pPr>
              <w:rPr>
                <w:color w:val="000000"/>
                <w:sz w:val="18"/>
                <w:szCs w:val="18"/>
                <w:lang w:eastAsia="es-ES"/>
              </w:rPr>
            </w:pPr>
            <w:r>
              <w:rPr>
                <w:color w:val="000000"/>
                <w:sz w:val="18"/>
                <w:szCs w:val="18"/>
                <w:lang w:eastAsia="es-ES"/>
              </w:rPr>
              <w:t>4.1.1.1.</w:t>
            </w:r>
            <w:r>
              <w:rPr>
                <w:i/>
                <w:color w:val="000000"/>
                <w:sz w:val="18"/>
                <w:szCs w:val="18"/>
                <w:lang w:eastAsia="es-ES"/>
              </w:rPr>
              <w:t>Desulfovibrionaceae</w:t>
            </w:r>
          </w:p>
        </w:tc>
        <w:tc>
          <w:tcPr>
            <w:tcW w:w="476" w:type="dxa"/>
            <w:tcBorders>
              <w:left w:val="single" w:color="auto" w:sz="4" w:space="0"/>
            </w:tcBorders>
            <w:noWrap/>
            <w:vAlign w:val="center"/>
            <w:hideMark/>
          </w:tcPr>
          <w:p w:rsidR="00681493" w:rsidP="00D63558" w:rsidRDefault="00681493" w14:paraId="170BD1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B66735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4639F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CDF7C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04B77EC9"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0E87A1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44822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E5D44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B1CB63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78704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1BC80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7986F0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5DE842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252A6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7C03F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547C3A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D29E77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BA175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6FE8AEF"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64FA2A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81FADC4" w14:textId="77777777">
            <w:pPr>
              <w:rPr>
                <w:color w:val="000000"/>
                <w:sz w:val="18"/>
                <w:szCs w:val="18"/>
                <w:lang w:eastAsia="es-ES"/>
              </w:rPr>
            </w:pPr>
            <w:r>
              <w:rPr>
                <w:color w:val="000000"/>
                <w:sz w:val="18"/>
                <w:szCs w:val="18"/>
                <w:lang w:eastAsia="es-ES"/>
              </w:rPr>
              <w:t>4.2.1.1.</w:t>
            </w:r>
            <w:r>
              <w:rPr>
                <w:i/>
                <w:color w:val="000000"/>
                <w:sz w:val="18"/>
                <w:szCs w:val="18"/>
                <w:lang w:eastAsia="es-ES"/>
              </w:rPr>
              <w:t>Succinivibrionaceae</w:t>
            </w:r>
          </w:p>
        </w:tc>
        <w:tc>
          <w:tcPr>
            <w:tcW w:w="476" w:type="dxa"/>
            <w:tcBorders>
              <w:left w:val="single" w:color="auto" w:sz="4" w:space="0"/>
            </w:tcBorders>
            <w:noWrap/>
            <w:vAlign w:val="center"/>
            <w:hideMark/>
          </w:tcPr>
          <w:p w:rsidR="00681493" w:rsidP="00D63558" w:rsidRDefault="00681493" w14:paraId="225A34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vAlign w:val="center"/>
            <w:hideMark/>
          </w:tcPr>
          <w:p w:rsidR="00681493" w:rsidP="00D63558" w:rsidRDefault="00681493" w14:paraId="79AE8566"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374097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4032C6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48CA60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16E4F1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6810D37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88EAA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43CF60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1B7A1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CC4D42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160AFB97"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hideMark/>
          </w:tcPr>
          <w:p w:rsidR="00681493" w:rsidP="00D63558" w:rsidRDefault="00681493" w14:paraId="3E627E2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38ECE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893E12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C3196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55EADB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C3ACE0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46A25B5"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E24A2A0"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E7FCFFC" w14:textId="77777777">
            <w:pPr>
              <w:rPr>
                <w:color w:val="000000"/>
                <w:sz w:val="18"/>
                <w:szCs w:val="18"/>
                <w:lang w:eastAsia="es-ES"/>
              </w:rPr>
            </w:pPr>
            <w:r>
              <w:rPr>
                <w:color w:val="000000"/>
                <w:sz w:val="18"/>
                <w:szCs w:val="18"/>
                <w:lang w:eastAsia="es-ES"/>
              </w:rPr>
              <w:t>4.2.2.1.</w:t>
            </w:r>
            <w:r>
              <w:rPr>
                <w:i/>
                <w:color w:val="000000"/>
                <w:sz w:val="18"/>
                <w:szCs w:val="18"/>
                <w:lang w:eastAsia="es-ES"/>
              </w:rPr>
              <w:t>Pasteurellaceae</w:t>
            </w:r>
          </w:p>
        </w:tc>
        <w:tc>
          <w:tcPr>
            <w:tcW w:w="476" w:type="dxa"/>
            <w:tcBorders>
              <w:left w:val="single" w:color="auto" w:sz="4" w:space="0"/>
            </w:tcBorders>
            <w:noWrap/>
            <w:vAlign w:val="center"/>
            <w:hideMark/>
          </w:tcPr>
          <w:p w:rsidR="00681493" w:rsidP="00D63558" w:rsidRDefault="00681493" w14:paraId="585AB3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AAF29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1CC63F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C79F8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6E2EE590"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1829BE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47CF6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91713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55A2E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FA3E6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DE106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5CBE4686"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hideMark/>
          </w:tcPr>
          <w:p w:rsidR="00681493" w:rsidP="00D63558" w:rsidRDefault="00681493" w14:paraId="0AA45E9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ECEA8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91DF7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DA2B7E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674E8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E0C99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B7E818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73578F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96F0210" w14:textId="77777777">
            <w:pPr>
              <w:rPr>
                <w:color w:val="000000"/>
                <w:sz w:val="18"/>
                <w:szCs w:val="18"/>
                <w:lang w:eastAsia="es-ES"/>
              </w:rPr>
            </w:pPr>
            <w:r>
              <w:rPr>
                <w:color w:val="000000"/>
                <w:sz w:val="18"/>
                <w:szCs w:val="18"/>
                <w:lang w:eastAsia="es-ES"/>
              </w:rPr>
              <w:t>5.1.1.1.</w:t>
            </w:r>
            <w:r>
              <w:rPr>
                <w:i/>
                <w:color w:val="000000"/>
                <w:sz w:val="18"/>
                <w:szCs w:val="18"/>
                <w:lang w:eastAsia="es-ES"/>
              </w:rPr>
              <w:t>Akkermansiaceae</w:t>
            </w:r>
          </w:p>
        </w:tc>
        <w:tc>
          <w:tcPr>
            <w:tcW w:w="476" w:type="dxa"/>
            <w:tcBorders>
              <w:left w:val="single" w:color="auto" w:sz="4" w:space="0"/>
            </w:tcBorders>
            <w:noWrap/>
            <w:vAlign w:val="center"/>
            <w:hideMark/>
          </w:tcPr>
          <w:p w:rsidR="00681493" w:rsidP="00D63558" w:rsidRDefault="00681493" w14:paraId="52AEE13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vAlign w:val="center"/>
            <w:hideMark/>
          </w:tcPr>
          <w:p w:rsidR="00681493" w:rsidP="00D63558" w:rsidRDefault="00681493" w14:paraId="1A033781"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087503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C1971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472E0EBF"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4CF885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51767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DDEFC2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0E7D0C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E55BF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AB2B1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44170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3D87312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067588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6611B0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shd w:val="clear" w:color="auto" w:fill="C6EFCE"/>
            <w:noWrap/>
            <w:vAlign w:val="center"/>
            <w:hideMark/>
          </w:tcPr>
          <w:p w:rsidR="00681493" w:rsidP="00D63558" w:rsidRDefault="00681493" w14:paraId="4FA65903" w14:textId="77777777">
            <w:pPr>
              <w:jc w:val="center"/>
              <w:rPr>
                <w:color w:val="006100"/>
                <w:sz w:val="18"/>
                <w:szCs w:val="18"/>
                <w:lang w:eastAsia="es-ES"/>
              </w:rPr>
            </w:pPr>
            <w:r>
              <w:rPr>
                <w:color w:val="006100"/>
                <w:sz w:val="18"/>
                <w:szCs w:val="18"/>
                <w:lang w:eastAsia="es-ES"/>
              </w:rPr>
              <w:t>+</w:t>
            </w:r>
          </w:p>
        </w:tc>
        <w:tc>
          <w:tcPr>
            <w:tcW w:w="425" w:type="dxa"/>
            <w:vAlign w:val="center"/>
            <w:hideMark/>
          </w:tcPr>
          <w:p w:rsidR="00681493" w:rsidP="00D63558" w:rsidRDefault="00681493" w14:paraId="3BB1A168" w14:textId="77777777">
            <w:pPr>
              <w:jc w:val="center"/>
              <w:rPr>
                <w:color w:val="006100"/>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2889DA0A"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6241F175"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F3B23D4"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2ADA606C" w14:textId="77777777">
            <w:pPr>
              <w:rPr>
                <w:color w:val="000000"/>
                <w:sz w:val="18"/>
                <w:szCs w:val="18"/>
                <w:lang w:eastAsia="es-ES"/>
              </w:rPr>
            </w:pPr>
            <w:r>
              <w:rPr>
                <w:color w:val="000000"/>
                <w:sz w:val="18"/>
                <w:szCs w:val="18"/>
                <w:lang w:eastAsia="es-ES"/>
              </w:rPr>
              <w:t>5.1.1.2.</w:t>
            </w:r>
            <w:r>
              <w:rPr>
                <w:i/>
                <w:color w:val="000000"/>
                <w:sz w:val="18"/>
                <w:szCs w:val="18"/>
                <w:lang w:eastAsia="es-ES"/>
              </w:rPr>
              <w:t>Verrucomicrobiaceae</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16B1D20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noWrap/>
            <w:vAlign w:val="center"/>
            <w:hideMark/>
          </w:tcPr>
          <w:p w:rsidR="00681493" w:rsidP="00D63558" w:rsidRDefault="00681493" w14:paraId="3ED1F7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nil"/>
              <w:left w:val="nil"/>
              <w:bottom w:val="single" w:color="auto" w:sz="2" w:space="0"/>
              <w:right w:val="nil"/>
            </w:tcBorders>
            <w:noWrap/>
            <w:vAlign w:val="center"/>
            <w:hideMark/>
          </w:tcPr>
          <w:p w:rsidR="00681493" w:rsidP="00D63558" w:rsidRDefault="00681493" w14:paraId="180D2D7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4C9622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noWrap/>
            <w:vAlign w:val="center"/>
            <w:hideMark/>
          </w:tcPr>
          <w:p w:rsidR="00681493" w:rsidP="00D63558" w:rsidRDefault="00681493" w14:paraId="36B71E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nil"/>
              <w:left w:val="nil"/>
              <w:bottom w:val="single" w:color="auto" w:sz="2" w:space="0"/>
              <w:right w:val="nil"/>
            </w:tcBorders>
            <w:vAlign w:val="center"/>
            <w:hideMark/>
          </w:tcPr>
          <w:p w:rsidR="00681493" w:rsidP="00D63558" w:rsidRDefault="00681493" w14:paraId="2A1C30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167A0B8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63191CA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556CE7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4DFF68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5A59D6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2" w:space="0"/>
              <w:right w:val="nil"/>
            </w:tcBorders>
            <w:noWrap/>
            <w:vAlign w:val="center"/>
            <w:hideMark/>
          </w:tcPr>
          <w:p w:rsidR="00681493" w:rsidP="00D63558" w:rsidRDefault="00681493" w14:paraId="438FE66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hideMark/>
          </w:tcPr>
          <w:p w:rsidR="00681493" w:rsidP="00D63558" w:rsidRDefault="00681493" w14:paraId="0285E9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66536B6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294B94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shd w:val="clear" w:color="auto" w:fill="C6EFCE"/>
            <w:noWrap/>
            <w:vAlign w:val="center"/>
            <w:hideMark/>
          </w:tcPr>
          <w:p w:rsidR="00681493" w:rsidP="00D63558" w:rsidRDefault="00681493" w14:paraId="539E12E8" w14:textId="77777777">
            <w:pPr>
              <w:jc w:val="center"/>
              <w:rPr>
                <w:color w:val="006100"/>
                <w:sz w:val="18"/>
                <w:szCs w:val="18"/>
                <w:lang w:eastAsia="es-ES"/>
              </w:rPr>
            </w:pPr>
            <w:r>
              <w:rPr>
                <w:color w:val="006100"/>
                <w:sz w:val="18"/>
                <w:szCs w:val="18"/>
                <w:lang w:eastAsia="es-ES"/>
              </w:rPr>
              <w:t>+</w:t>
            </w:r>
          </w:p>
        </w:tc>
        <w:tc>
          <w:tcPr>
            <w:tcW w:w="425" w:type="dxa"/>
            <w:tcBorders>
              <w:top w:val="nil"/>
              <w:left w:val="nil"/>
              <w:bottom w:val="single" w:color="auto" w:sz="2" w:space="0"/>
              <w:right w:val="nil"/>
            </w:tcBorders>
            <w:vAlign w:val="center"/>
            <w:hideMark/>
          </w:tcPr>
          <w:p w:rsidR="00681493" w:rsidP="00D63558" w:rsidRDefault="00681493" w14:paraId="724825F2"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vAlign w:val="center"/>
            <w:hideMark/>
          </w:tcPr>
          <w:p w:rsidR="00681493" w:rsidP="00D63558" w:rsidRDefault="00681493" w14:paraId="54E4A2AF"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14734E09" w14:textId="77777777">
        <w:trPr>
          <w:trHeight w:val="300"/>
        </w:trPr>
        <w:tc>
          <w:tcPr>
            <w:tcW w:w="429" w:type="dxa"/>
            <w:vMerge w:val="restart"/>
            <w:tcBorders>
              <w:top w:val="single" w:color="auto" w:sz="4" w:space="0"/>
              <w:left w:val="nil"/>
              <w:bottom w:val="nil"/>
              <w:right w:val="nil"/>
            </w:tcBorders>
            <w:noWrap/>
            <w:textDirection w:val="btLr"/>
            <w:vAlign w:val="center"/>
            <w:hideMark/>
          </w:tcPr>
          <w:p w:rsidR="00681493" w:rsidP="00D63558" w:rsidRDefault="00681493" w14:paraId="16D90633" w14:textId="77777777">
            <w:pPr>
              <w:jc w:val="center"/>
              <w:rPr>
                <w:b/>
                <w:color w:val="000000"/>
                <w:sz w:val="18"/>
                <w:szCs w:val="18"/>
                <w:lang w:eastAsia="es-ES"/>
              </w:rPr>
            </w:pPr>
            <w:r>
              <w:rPr>
                <w:b/>
                <w:color w:val="000000"/>
                <w:sz w:val="18"/>
                <w:szCs w:val="18"/>
                <w:lang w:eastAsia="es-ES"/>
              </w:rPr>
              <w:t>Genus</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1ECF8D33" w14:textId="77777777">
            <w:pPr>
              <w:rPr>
                <w:color w:val="000000"/>
                <w:sz w:val="18"/>
                <w:szCs w:val="18"/>
                <w:lang w:eastAsia="es-ES"/>
              </w:rPr>
            </w:pPr>
            <w:r>
              <w:rPr>
                <w:color w:val="000000"/>
                <w:sz w:val="18"/>
                <w:szCs w:val="18"/>
                <w:lang w:eastAsia="es-ES"/>
              </w:rPr>
              <w:t>1.1.1.1.1.</w:t>
            </w:r>
            <w:r>
              <w:rPr>
                <w:i/>
                <w:color w:val="000000"/>
                <w:sz w:val="18"/>
                <w:szCs w:val="18"/>
                <w:lang w:eastAsia="es-ES"/>
              </w:rPr>
              <w:t>Ruminiclostridium</w:t>
            </w:r>
          </w:p>
        </w:tc>
        <w:tc>
          <w:tcPr>
            <w:tcW w:w="476" w:type="dxa"/>
            <w:tcBorders>
              <w:top w:val="single" w:color="auto" w:sz="2" w:space="0"/>
              <w:left w:val="single" w:color="auto" w:sz="4" w:space="0"/>
              <w:bottom w:val="nil"/>
              <w:right w:val="nil"/>
            </w:tcBorders>
            <w:noWrap/>
            <w:vAlign w:val="center"/>
            <w:hideMark/>
          </w:tcPr>
          <w:p w:rsidR="00681493" w:rsidP="00D63558" w:rsidRDefault="00681493" w14:paraId="1B68999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noWrap/>
            <w:vAlign w:val="center"/>
            <w:hideMark/>
          </w:tcPr>
          <w:p w:rsidR="00681493" w:rsidP="00D63558" w:rsidRDefault="00681493" w14:paraId="16DA36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single" w:color="auto" w:sz="2" w:space="0"/>
              <w:left w:val="nil"/>
              <w:bottom w:val="nil"/>
              <w:right w:val="nil"/>
            </w:tcBorders>
            <w:noWrap/>
            <w:vAlign w:val="center"/>
            <w:hideMark/>
          </w:tcPr>
          <w:p w:rsidR="00681493" w:rsidP="00D63558" w:rsidRDefault="00681493" w14:paraId="4C5CB51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single" w:color="auto" w:sz="2" w:space="0"/>
              <w:left w:val="nil"/>
              <w:bottom w:val="nil"/>
              <w:right w:val="nil"/>
            </w:tcBorders>
            <w:noWrap/>
            <w:vAlign w:val="center"/>
            <w:hideMark/>
          </w:tcPr>
          <w:p w:rsidR="00681493" w:rsidP="00D63558" w:rsidRDefault="00681493" w14:paraId="1B9BDF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noWrap/>
            <w:vAlign w:val="center"/>
            <w:hideMark/>
          </w:tcPr>
          <w:p w:rsidR="00681493" w:rsidP="00D63558" w:rsidRDefault="00681493" w14:paraId="45EAD6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single" w:color="auto" w:sz="2" w:space="0"/>
              <w:left w:val="nil"/>
              <w:bottom w:val="nil"/>
              <w:right w:val="nil"/>
            </w:tcBorders>
            <w:vAlign w:val="center"/>
            <w:hideMark/>
          </w:tcPr>
          <w:p w:rsidR="00681493" w:rsidP="00D63558" w:rsidRDefault="00681493" w14:paraId="5D44FD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3AB153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3FCE0FA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5F3B08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76CD94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47D3B2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2" w:space="0"/>
              <w:left w:val="nil"/>
              <w:bottom w:val="nil"/>
              <w:right w:val="nil"/>
            </w:tcBorders>
            <w:shd w:val="clear" w:color="auto" w:fill="C6EFCE"/>
            <w:noWrap/>
            <w:hideMark/>
          </w:tcPr>
          <w:p w:rsidR="00681493" w:rsidP="00D63558" w:rsidRDefault="00681493" w14:paraId="1F8512FC"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vAlign w:val="center"/>
            <w:hideMark/>
          </w:tcPr>
          <w:p w:rsidR="00681493" w:rsidP="00D63558" w:rsidRDefault="00681493" w14:paraId="4F3606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noWrap/>
            <w:vAlign w:val="center"/>
            <w:hideMark/>
          </w:tcPr>
          <w:p w:rsidR="00681493" w:rsidP="00D63558" w:rsidRDefault="00681493" w14:paraId="66B52AA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noWrap/>
            <w:vAlign w:val="center"/>
            <w:hideMark/>
          </w:tcPr>
          <w:p w:rsidR="00681493" w:rsidP="00D63558" w:rsidRDefault="00681493" w14:paraId="4F3175F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3786B0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hideMark/>
          </w:tcPr>
          <w:p w:rsidR="00681493" w:rsidP="00D63558" w:rsidRDefault="00681493" w14:paraId="453704B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hideMark/>
          </w:tcPr>
          <w:p w:rsidR="00681493" w:rsidP="00D63558" w:rsidRDefault="00681493" w14:paraId="6ABDF5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A8EB49B"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68579D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99F6339" w14:textId="77777777">
            <w:pPr>
              <w:rPr>
                <w:color w:val="000000"/>
                <w:sz w:val="18"/>
                <w:szCs w:val="18"/>
                <w:lang w:eastAsia="es-ES"/>
              </w:rPr>
            </w:pPr>
            <w:r>
              <w:rPr>
                <w:color w:val="000000"/>
                <w:sz w:val="18"/>
                <w:szCs w:val="18"/>
                <w:lang w:eastAsia="es-ES"/>
              </w:rPr>
              <w:t>1.1.1.2.1.</w:t>
            </w:r>
            <w:r>
              <w:rPr>
                <w:i/>
                <w:color w:val="000000"/>
                <w:sz w:val="18"/>
                <w:szCs w:val="18"/>
                <w:lang w:eastAsia="es-ES"/>
              </w:rPr>
              <w:t>Coprococcus</w:t>
            </w:r>
          </w:p>
        </w:tc>
        <w:tc>
          <w:tcPr>
            <w:tcW w:w="476" w:type="dxa"/>
            <w:tcBorders>
              <w:left w:val="single" w:color="auto" w:sz="4" w:space="0"/>
            </w:tcBorders>
            <w:shd w:val="clear" w:color="auto" w:fill="C6EFCE"/>
            <w:noWrap/>
            <w:vAlign w:val="center"/>
            <w:hideMark/>
          </w:tcPr>
          <w:p w:rsidR="00681493" w:rsidP="00D63558" w:rsidRDefault="00681493" w14:paraId="22AE7E2A"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1B2ADF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hideMark/>
          </w:tcPr>
          <w:p w:rsidR="00681493" w:rsidP="00D63558" w:rsidRDefault="00681493" w14:paraId="56D7E348"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3337230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65470C78"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71B6446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86A80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8C7F6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A460E0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C9475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66A16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hideMark/>
          </w:tcPr>
          <w:p w:rsidR="00681493" w:rsidP="00D63558" w:rsidRDefault="00681493" w14:paraId="1EE21ABD"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63287C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336A12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1D0E13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55D77A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2DC394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43359B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1E5FD293"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FB3A56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9DD4D70" w14:textId="77777777">
            <w:pPr>
              <w:rPr>
                <w:color w:val="000000"/>
                <w:sz w:val="18"/>
                <w:szCs w:val="18"/>
                <w:lang w:eastAsia="es-ES"/>
              </w:rPr>
            </w:pPr>
            <w:r>
              <w:rPr>
                <w:color w:val="000000"/>
                <w:sz w:val="18"/>
                <w:szCs w:val="18"/>
                <w:lang w:eastAsia="es-ES"/>
              </w:rPr>
              <w:t>1.1.1.2.2.</w:t>
            </w:r>
            <w:r>
              <w:rPr>
                <w:i/>
                <w:color w:val="000000"/>
                <w:sz w:val="18"/>
                <w:szCs w:val="18"/>
                <w:lang w:eastAsia="es-ES"/>
              </w:rPr>
              <w:t>Roseburia</w:t>
            </w:r>
          </w:p>
        </w:tc>
        <w:tc>
          <w:tcPr>
            <w:tcW w:w="476" w:type="dxa"/>
            <w:tcBorders>
              <w:left w:val="single" w:color="auto" w:sz="4" w:space="0"/>
            </w:tcBorders>
            <w:noWrap/>
            <w:vAlign w:val="center"/>
            <w:hideMark/>
          </w:tcPr>
          <w:p w:rsidR="00681493" w:rsidP="00D63558" w:rsidRDefault="00681493" w14:paraId="79F0A68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031E8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hideMark/>
          </w:tcPr>
          <w:p w:rsidR="00681493" w:rsidP="00D63558" w:rsidRDefault="00681493" w14:paraId="35B922E0"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1A7BAAE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hideMark/>
          </w:tcPr>
          <w:p w:rsidR="00681493" w:rsidP="00D63558" w:rsidRDefault="00681493" w14:paraId="1558AE0C"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0619D07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75E168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F92271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04F230C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A45846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7F53B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60820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0E5EDAA"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5FDB5A3D"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7D21BAE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20D6E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286020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0ADB6935"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5D56F513"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D1E0D58"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64F2CECB" w14:textId="77777777">
            <w:pPr>
              <w:rPr>
                <w:color w:val="000000"/>
                <w:sz w:val="18"/>
                <w:szCs w:val="18"/>
                <w:lang w:eastAsia="es-ES"/>
              </w:rPr>
            </w:pPr>
            <w:r>
              <w:rPr>
                <w:color w:val="000000"/>
                <w:sz w:val="18"/>
                <w:szCs w:val="18"/>
                <w:lang w:eastAsia="es-ES"/>
              </w:rPr>
              <w:t>1.1.1.2.3.</w:t>
            </w:r>
            <w:r>
              <w:rPr>
                <w:i/>
                <w:color w:val="000000"/>
                <w:sz w:val="18"/>
                <w:szCs w:val="18"/>
                <w:lang w:eastAsia="es-ES"/>
              </w:rPr>
              <w:t>Lachnospira</w:t>
            </w:r>
          </w:p>
        </w:tc>
        <w:tc>
          <w:tcPr>
            <w:tcW w:w="476" w:type="dxa"/>
            <w:tcBorders>
              <w:left w:val="single" w:color="auto" w:sz="4" w:space="0"/>
            </w:tcBorders>
            <w:shd w:val="clear" w:color="auto" w:fill="C6EFCE"/>
            <w:noWrap/>
            <w:vAlign w:val="center"/>
            <w:hideMark/>
          </w:tcPr>
          <w:p w:rsidR="00681493" w:rsidP="00D63558" w:rsidRDefault="00681493" w14:paraId="51F43C2E"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21B582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B6BE21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4CD3D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50C623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C5357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4441D1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41C90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6D727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71F4F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7423B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2DF7F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03199A5F"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0843EC2E"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30C866F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3241DA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6B92057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5BE78E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3C0F83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C04C42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DE5D560" w14:textId="77777777">
            <w:pPr>
              <w:rPr>
                <w:color w:val="000000"/>
                <w:sz w:val="18"/>
                <w:szCs w:val="18"/>
                <w:lang w:eastAsia="es-ES"/>
              </w:rPr>
            </w:pPr>
            <w:r>
              <w:rPr>
                <w:color w:val="000000"/>
                <w:sz w:val="18"/>
                <w:szCs w:val="18"/>
                <w:lang w:eastAsia="es-ES"/>
              </w:rPr>
              <w:t>1.1.1.2.4.</w:t>
            </w:r>
            <w:r>
              <w:rPr>
                <w:i/>
                <w:color w:val="000000"/>
                <w:sz w:val="18"/>
                <w:szCs w:val="18"/>
                <w:lang w:eastAsia="es-ES"/>
              </w:rPr>
              <w:t>Pseudobutyrivibrio</w:t>
            </w:r>
          </w:p>
        </w:tc>
        <w:tc>
          <w:tcPr>
            <w:tcW w:w="476" w:type="dxa"/>
            <w:tcBorders>
              <w:left w:val="single" w:color="auto" w:sz="4" w:space="0"/>
            </w:tcBorders>
            <w:noWrap/>
            <w:vAlign w:val="center"/>
            <w:hideMark/>
          </w:tcPr>
          <w:p w:rsidR="00681493" w:rsidP="00D63558" w:rsidRDefault="00681493" w14:paraId="453789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7E96AA9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751B26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DA170B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256D0E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63E308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7D62E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0ED1A9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C4F823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14227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1FED9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38E2CD97"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6FF5EE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8C3CEA6" w14:textId="77777777">
            <w:pPr>
              <w:jc w:val="center"/>
              <w:rPr>
                <w:color w:val="000000"/>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ADB85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2A33F3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BBD22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21D718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8B81787"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CFE461F"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1D4D054" w14:textId="77777777">
            <w:pPr>
              <w:rPr>
                <w:color w:val="000000"/>
                <w:sz w:val="18"/>
                <w:szCs w:val="18"/>
                <w:lang w:eastAsia="es-ES"/>
              </w:rPr>
            </w:pPr>
            <w:r>
              <w:rPr>
                <w:color w:val="000000"/>
                <w:sz w:val="18"/>
                <w:szCs w:val="18"/>
                <w:lang w:eastAsia="es-ES"/>
              </w:rPr>
              <w:t>1.1.1.2.5.</w:t>
            </w:r>
            <w:r>
              <w:rPr>
                <w:i/>
                <w:color w:val="000000"/>
                <w:sz w:val="18"/>
                <w:szCs w:val="18"/>
                <w:lang w:eastAsia="es-ES"/>
              </w:rPr>
              <w:t>Lachnospiraceae</w:t>
            </w:r>
            <w:r>
              <w:rPr>
                <w:color w:val="000000"/>
                <w:sz w:val="18"/>
                <w:szCs w:val="18"/>
                <w:lang w:eastAsia="es-ES"/>
              </w:rPr>
              <w:t xml:space="preserve"> UC</w:t>
            </w:r>
          </w:p>
        </w:tc>
        <w:tc>
          <w:tcPr>
            <w:tcW w:w="476" w:type="dxa"/>
            <w:tcBorders>
              <w:left w:val="single" w:color="auto" w:sz="4" w:space="0"/>
            </w:tcBorders>
            <w:noWrap/>
            <w:vAlign w:val="center"/>
            <w:hideMark/>
          </w:tcPr>
          <w:p w:rsidR="00681493" w:rsidP="00D63558" w:rsidRDefault="00681493" w14:paraId="4C4901C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7D612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A87DF3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298C49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5E2320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1A514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50F441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5B31F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3C8D3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A72B6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DC82C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3506E4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5FA2B623"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00324698"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23CADB9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856BC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29C562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72A1EAC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CE75760"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96B640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7E9D736" w14:textId="77777777">
            <w:pPr>
              <w:rPr>
                <w:color w:val="000000"/>
                <w:sz w:val="18"/>
                <w:szCs w:val="18"/>
                <w:lang w:eastAsia="es-ES"/>
              </w:rPr>
            </w:pPr>
            <w:r>
              <w:rPr>
                <w:color w:val="000000"/>
                <w:sz w:val="18"/>
                <w:szCs w:val="18"/>
                <w:lang w:eastAsia="es-ES"/>
              </w:rPr>
              <w:t>1.1.1.2.6.</w:t>
            </w:r>
            <w:r>
              <w:rPr>
                <w:i/>
                <w:color w:val="000000"/>
                <w:sz w:val="18"/>
                <w:szCs w:val="18"/>
                <w:lang w:eastAsia="es-ES"/>
              </w:rPr>
              <w:t xml:space="preserve">Clostridium cluster </w:t>
            </w:r>
            <w:proofErr w:type="spellStart"/>
            <w:r>
              <w:rPr>
                <w:i/>
                <w:color w:val="000000"/>
                <w:sz w:val="18"/>
                <w:szCs w:val="18"/>
                <w:lang w:eastAsia="es-ES"/>
              </w:rPr>
              <w:t>XIVa</w:t>
            </w:r>
            <w:proofErr w:type="spellEnd"/>
          </w:p>
        </w:tc>
        <w:tc>
          <w:tcPr>
            <w:tcW w:w="476" w:type="dxa"/>
            <w:tcBorders>
              <w:left w:val="single" w:color="auto" w:sz="4" w:space="0"/>
            </w:tcBorders>
            <w:noWrap/>
            <w:hideMark/>
          </w:tcPr>
          <w:p w:rsidR="00681493" w:rsidP="00D63558" w:rsidRDefault="00681493" w14:paraId="30F1E498" w14:textId="77777777">
            <w:pPr>
              <w:jc w:val="center"/>
              <w:rPr>
                <w:color w:val="006100"/>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4ADB7A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6109A7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4A7B36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73D3FCE9" w14:textId="77777777">
            <w:pPr>
              <w:jc w:val="center"/>
              <w:rPr>
                <w:color w:val="006100"/>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269A5F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0B3EFDA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0A95B2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2BF3995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3B4E95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50C22D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4450884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608943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hideMark/>
          </w:tcPr>
          <w:p w:rsidR="00681493" w:rsidP="00D63558" w:rsidRDefault="00681493" w14:paraId="0CFE66D6" w14:textId="77777777">
            <w:pPr>
              <w:jc w:val="center"/>
              <w:rPr>
                <w:color w:val="006100"/>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16BBCD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3DC866D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4C1E4C2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415C4C49"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3B065BDB"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20FC2F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1B71CFA" w14:textId="77777777">
            <w:pPr>
              <w:rPr>
                <w:color w:val="000000"/>
                <w:sz w:val="18"/>
                <w:szCs w:val="18"/>
                <w:lang w:eastAsia="es-ES"/>
              </w:rPr>
            </w:pPr>
            <w:r>
              <w:rPr>
                <w:color w:val="000000"/>
                <w:sz w:val="18"/>
                <w:szCs w:val="18"/>
                <w:lang w:eastAsia="es-ES"/>
              </w:rPr>
              <w:t>1.1.1.2.7.</w:t>
            </w:r>
            <w:r>
              <w:rPr>
                <w:i/>
                <w:color w:val="000000"/>
                <w:sz w:val="18"/>
                <w:szCs w:val="18"/>
                <w:lang w:eastAsia="es-ES"/>
              </w:rPr>
              <w:t>Dorea</w:t>
            </w:r>
          </w:p>
        </w:tc>
        <w:tc>
          <w:tcPr>
            <w:tcW w:w="476" w:type="dxa"/>
            <w:tcBorders>
              <w:left w:val="single" w:color="auto" w:sz="4" w:space="0"/>
            </w:tcBorders>
            <w:noWrap/>
            <w:hideMark/>
          </w:tcPr>
          <w:p w:rsidR="00681493" w:rsidP="00D63558" w:rsidRDefault="00681493" w14:paraId="78DF72D7" w14:textId="77777777">
            <w:pPr>
              <w:jc w:val="center"/>
              <w:rPr>
                <w:color w:val="006100"/>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2F45A20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1D6502F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472F883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0589483A" w14:textId="77777777">
            <w:pPr>
              <w:jc w:val="center"/>
              <w:rPr>
                <w:color w:val="006100"/>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7EA48CE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09BF07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009E54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5515CB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4021FF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735C8C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4092E6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5E98D5A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hideMark/>
          </w:tcPr>
          <w:p w:rsidR="00681493" w:rsidP="00D63558" w:rsidRDefault="00681493" w14:paraId="284A74A4" w14:textId="77777777">
            <w:pPr>
              <w:jc w:val="center"/>
              <w:rPr>
                <w:color w:val="006100"/>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4B6977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282573C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3FD742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40168558"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19603384"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DFEC70F"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22776DF" w14:textId="77777777">
            <w:pPr>
              <w:rPr>
                <w:color w:val="000000"/>
                <w:sz w:val="18"/>
                <w:szCs w:val="18"/>
                <w:lang w:eastAsia="es-ES"/>
              </w:rPr>
            </w:pPr>
            <w:r>
              <w:rPr>
                <w:color w:val="000000"/>
                <w:sz w:val="18"/>
                <w:szCs w:val="18"/>
                <w:lang w:eastAsia="es-ES"/>
              </w:rPr>
              <w:t>1.1.1.3.1.</w:t>
            </w:r>
            <w:r>
              <w:rPr>
                <w:i/>
                <w:color w:val="000000"/>
                <w:sz w:val="18"/>
                <w:szCs w:val="18"/>
                <w:lang w:eastAsia="es-ES"/>
              </w:rPr>
              <w:t>Faecalibacterium</w:t>
            </w:r>
          </w:p>
        </w:tc>
        <w:tc>
          <w:tcPr>
            <w:tcW w:w="476" w:type="dxa"/>
            <w:tcBorders>
              <w:left w:val="single" w:color="auto" w:sz="4" w:space="0"/>
            </w:tcBorders>
            <w:shd w:val="clear" w:color="auto" w:fill="C6EFCE"/>
            <w:noWrap/>
            <w:hideMark/>
          </w:tcPr>
          <w:p w:rsidR="00681493" w:rsidP="00D63558" w:rsidRDefault="00681493" w14:paraId="2F081C8F"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653C61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87E1D3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7933E8D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5777CDAD"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A1A5C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065626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5C7DFBA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82B88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928888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30B92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E057C5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380CD02"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hideMark/>
          </w:tcPr>
          <w:p w:rsidR="00681493" w:rsidP="00D63558" w:rsidRDefault="00681493" w14:paraId="6F459BAB"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5C71D6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62E60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0C3B16A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51DFFF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763F1DC"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AA5141D"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A01691D" w14:textId="77777777">
            <w:pPr>
              <w:rPr>
                <w:color w:val="000000"/>
                <w:sz w:val="18"/>
                <w:szCs w:val="18"/>
                <w:lang w:eastAsia="es-ES"/>
              </w:rPr>
            </w:pPr>
            <w:r>
              <w:rPr>
                <w:color w:val="000000"/>
                <w:sz w:val="18"/>
                <w:szCs w:val="18"/>
                <w:lang w:eastAsia="es-ES"/>
              </w:rPr>
              <w:t>1.1.1.3.2.</w:t>
            </w:r>
            <w:r>
              <w:rPr>
                <w:i/>
                <w:color w:val="000000"/>
                <w:sz w:val="18"/>
                <w:szCs w:val="18"/>
                <w:lang w:eastAsia="es-ES"/>
              </w:rPr>
              <w:t>Oscillospira</w:t>
            </w:r>
          </w:p>
        </w:tc>
        <w:tc>
          <w:tcPr>
            <w:tcW w:w="476" w:type="dxa"/>
            <w:tcBorders>
              <w:left w:val="single" w:color="auto" w:sz="4" w:space="0"/>
            </w:tcBorders>
            <w:shd w:val="clear" w:color="auto" w:fill="C6EFCE"/>
            <w:noWrap/>
            <w:hideMark/>
          </w:tcPr>
          <w:p w:rsidR="00681493" w:rsidP="00D63558" w:rsidRDefault="00681493" w14:paraId="332A4970"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785027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60C179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8F1AA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A33A95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6AF326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D0C44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A9D2BF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AAC044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42E2E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AB242F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3C0E50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A1E7C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EA1075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2A31A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6404D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4BF592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270AE0E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E215947"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042783E"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10B848B" w14:textId="77777777">
            <w:pPr>
              <w:rPr>
                <w:color w:val="000000"/>
                <w:sz w:val="18"/>
                <w:szCs w:val="18"/>
                <w:lang w:eastAsia="es-ES"/>
              </w:rPr>
            </w:pPr>
            <w:r>
              <w:rPr>
                <w:color w:val="000000"/>
                <w:sz w:val="18"/>
                <w:szCs w:val="18"/>
                <w:lang w:eastAsia="es-ES"/>
              </w:rPr>
              <w:t>1.1.1.3.3.</w:t>
            </w:r>
            <w:r>
              <w:rPr>
                <w:i/>
                <w:color w:val="000000"/>
                <w:sz w:val="18"/>
                <w:szCs w:val="18"/>
                <w:lang w:eastAsia="es-ES"/>
              </w:rPr>
              <w:t>Ruminococcaceae</w:t>
            </w:r>
            <w:r>
              <w:rPr>
                <w:color w:val="000000"/>
                <w:sz w:val="18"/>
                <w:szCs w:val="18"/>
                <w:lang w:eastAsia="es-ES"/>
              </w:rPr>
              <w:t xml:space="preserve"> UC1</w:t>
            </w:r>
          </w:p>
        </w:tc>
        <w:tc>
          <w:tcPr>
            <w:tcW w:w="476" w:type="dxa"/>
            <w:tcBorders>
              <w:left w:val="single" w:color="auto" w:sz="4" w:space="0"/>
            </w:tcBorders>
            <w:noWrap/>
            <w:vAlign w:val="center"/>
            <w:hideMark/>
          </w:tcPr>
          <w:p w:rsidR="00681493" w:rsidP="00D63558" w:rsidRDefault="00681493" w14:paraId="01E88D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519500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C4959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4FDA74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120730F4"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38EDB2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1D8F7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BAC5D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E830A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4468D9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1B2F13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8DC7B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D6DA5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281048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A9852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0B39A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454D73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47554AB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0DB1C4D"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06AD51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D7E3E42" w14:textId="77777777">
            <w:pPr>
              <w:rPr>
                <w:color w:val="000000"/>
                <w:sz w:val="18"/>
                <w:szCs w:val="18"/>
                <w:lang w:eastAsia="es-ES"/>
              </w:rPr>
            </w:pPr>
            <w:r>
              <w:rPr>
                <w:color w:val="000000"/>
                <w:sz w:val="18"/>
                <w:szCs w:val="18"/>
                <w:lang w:eastAsia="es-ES"/>
              </w:rPr>
              <w:t>1.1.1.3.4.</w:t>
            </w:r>
            <w:r>
              <w:rPr>
                <w:i/>
                <w:color w:val="000000"/>
                <w:sz w:val="18"/>
                <w:szCs w:val="18"/>
                <w:lang w:eastAsia="es-ES"/>
              </w:rPr>
              <w:t>Ruminococcaceae</w:t>
            </w:r>
            <w:r>
              <w:rPr>
                <w:color w:val="000000"/>
                <w:sz w:val="18"/>
                <w:szCs w:val="18"/>
                <w:lang w:eastAsia="es-ES"/>
              </w:rPr>
              <w:t xml:space="preserve"> UC2</w:t>
            </w:r>
          </w:p>
        </w:tc>
        <w:tc>
          <w:tcPr>
            <w:tcW w:w="476" w:type="dxa"/>
            <w:tcBorders>
              <w:left w:val="single" w:color="auto" w:sz="4" w:space="0"/>
            </w:tcBorders>
            <w:noWrap/>
            <w:vAlign w:val="center"/>
            <w:hideMark/>
          </w:tcPr>
          <w:p w:rsidR="00681493" w:rsidP="00D63558" w:rsidRDefault="00681493" w14:paraId="5F272E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7D2E3F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724536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43A8C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353BFF3D"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59BB9D0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D83F58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A6F09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0D2C5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0FD292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B2027F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BA9F9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2C495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1AA772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4D29C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EC9E6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629D02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3C771E8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E22A360"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0D98818"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446DD8F" w14:textId="77777777">
            <w:pPr>
              <w:rPr>
                <w:color w:val="000000"/>
                <w:sz w:val="18"/>
                <w:szCs w:val="18"/>
                <w:lang w:eastAsia="es-ES"/>
              </w:rPr>
            </w:pPr>
            <w:r>
              <w:rPr>
                <w:color w:val="000000"/>
                <w:sz w:val="18"/>
                <w:szCs w:val="18"/>
                <w:lang w:eastAsia="es-ES"/>
              </w:rPr>
              <w:t>1.1.1.3.5.</w:t>
            </w:r>
            <w:r>
              <w:rPr>
                <w:i/>
                <w:color w:val="000000"/>
                <w:sz w:val="18"/>
                <w:szCs w:val="18"/>
                <w:lang w:eastAsia="es-ES"/>
              </w:rPr>
              <w:t xml:space="preserve">Ruminococcus </w:t>
            </w:r>
          </w:p>
        </w:tc>
        <w:tc>
          <w:tcPr>
            <w:tcW w:w="476" w:type="dxa"/>
            <w:tcBorders>
              <w:left w:val="single" w:color="auto" w:sz="4" w:space="0"/>
            </w:tcBorders>
            <w:noWrap/>
            <w:vAlign w:val="center"/>
            <w:hideMark/>
          </w:tcPr>
          <w:p w:rsidR="00681493" w:rsidP="00D63558" w:rsidRDefault="00681493" w14:paraId="4DAE6C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78345C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218C08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A9DED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27A1C3A7"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03DB96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1A2541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23DC8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738E7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D1694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654CB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7E17CFAB"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7286C90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7DC1AB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1F8D4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209FC1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2419033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hideMark/>
          </w:tcPr>
          <w:p w:rsidR="00681493" w:rsidP="00D63558" w:rsidRDefault="00681493" w14:paraId="6E9CBD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EDDF877"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1E2590A"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37EB331" w14:textId="77777777">
            <w:pPr>
              <w:rPr>
                <w:color w:val="000000"/>
                <w:sz w:val="18"/>
                <w:szCs w:val="18"/>
                <w:lang w:eastAsia="es-ES"/>
              </w:rPr>
            </w:pPr>
            <w:r>
              <w:rPr>
                <w:color w:val="000000"/>
                <w:sz w:val="18"/>
                <w:szCs w:val="18"/>
                <w:lang w:eastAsia="es-ES"/>
              </w:rPr>
              <w:t>1.1.1.3.6.</w:t>
            </w:r>
            <w:r>
              <w:rPr>
                <w:i/>
                <w:color w:val="000000"/>
                <w:sz w:val="18"/>
                <w:szCs w:val="18"/>
                <w:lang w:eastAsia="es-ES"/>
              </w:rPr>
              <w:t xml:space="preserve">Subdoligranulum </w:t>
            </w:r>
            <w:r>
              <w:rPr>
                <w:color w:val="000000"/>
                <w:sz w:val="18"/>
                <w:szCs w:val="18"/>
                <w:lang w:eastAsia="es-ES"/>
              </w:rPr>
              <w:t>UC</w:t>
            </w:r>
          </w:p>
        </w:tc>
        <w:tc>
          <w:tcPr>
            <w:tcW w:w="476" w:type="dxa"/>
            <w:tcBorders>
              <w:left w:val="single" w:color="auto" w:sz="4" w:space="0"/>
            </w:tcBorders>
            <w:noWrap/>
            <w:hideMark/>
          </w:tcPr>
          <w:p w:rsidR="00681493" w:rsidP="00D63558" w:rsidRDefault="00681493" w14:paraId="6EAD41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07B5EDF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6977E8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38286E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022CCE22" w14:textId="77777777">
            <w:pPr>
              <w:jc w:val="center"/>
              <w:rPr>
                <w:color w:val="9C0006"/>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0BECAB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118762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11DA3AC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7C0DCC0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3859280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4F61AA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70D00F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78FB7A5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hideMark/>
          </w:tcPr>
          <w:p w:rsidR="00681493" w:rsidP="00D63558" w:rsidRDefault="00681493" w14:paraId="629195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062CC1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7E157C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195BA57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6BE80392"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42D6966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491D3F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97D38F7" w14:textId="77777777">
            <w:pPr>
              <w:rPr>
                <w:color w:val="000000"/>
                <w:sz w:val="18"/>
                <w:szCs w:val="18"/>
                <w:lang w:eastAsia="es-ES"/>
              </w:rPr>
            </w:pPr>
            <w:r>
              <w:rPr>
                <w:color w:val="000000"/>
                <w:sz w:val="18"/>
                <w:szCs w:val="18"/>
                <w:lang w:eastAsia="es-ES"/>
              </w:rPr>
              <w:t>1.1.1.4.1.</w:t>
            </w:r>
            <w:r>
              <w:rPr>
                <w:i/>
                <w:color w:val="000000"/>
                <w:sz w:val="18"/>
                <w:szCs w:val="18"/>
                <w:lang w:eastAsia="es-ES"/>
              </w:rPr>
              <w:t>Clostridium cluster IX</w:t>
            </w:r>
          </w:p>
        </w:tc>
        <w:tc>
          <w:tcPr>
            <w:tcW w:w="476" w:type="dxa"/>
            <w:tcBorders>
              <w:left w:val="single" w:color="auto" w:sz="4" w:space="0"/>
            </w:tcBorders>
            <w:noWrap/>
            <w:hideMark/>
          </w:tcPr>
          <w:p w:rsidR="00681493" w:rsidP="00D63558" w:rsidRDefault="00681493" w14:paraId="63FF49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hideMark/>
          </w:tcPr>
          <w:p w:rsidR="00681493" w:rsidP="00D63558" w:rsidRDefault="00681493" w14:paraId="53A811D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hideMark/>
          </w:tcPr>
          <w:p w:rsidR="00681493" w:rsidP="00D63558" w:rsidRDefault="00681493" w14:paraId="71C0C5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hideMark/>
          </w:tcPr>
          <w:p w:rsidR="00681493" w:rsidP="00D63558" w:rsidRDefault="00681493" w14:paraId="0B736C9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hideMark/>
          </w:tcPr>
          <w:p w:rsidR="00681493" w:rsidP="00D63558" w:rsidRDefault="00681493" w14:paraId="661933B8" w14:textId="77777777">
            <w:pPr>
              <w:jc w:val="center"/>
              <w:rPr>
                <w:color w:val="9C0006"/>
                <w:sz w:val="18"/>
                <w:szCs w:val="18"/>
                <w:lang w:eastAsia="es-ES"/>
              </w:rPr>
            </w:pPr>
            <w:r>
              <w:rPr>
                <w:color w:val="A6A6A6" w:themeColor="background1" w:themeShade="A6"/>
                <w:sz w:val="18"/>
                <w:szCs w:val="18"/>
                <w:lang w:eastAsia="es-ES"/>
              </w:rPr>
              <w:t>NR</w:t>
            </w:r>
          </w:p>
        </w:tc>
        <w:tc>
          <w:tcPr>
            <w:tcW w:w="760" w:type="dxa"/>
            <w:hideMark/>
          </w:tcPr>
          <w:p w:rsidR="00681493" w:rsidP="00D63558" w:rsidRDefault="00681493" w14:paraId="6FE1FE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hideMark/>
          </w:tcPr>
          <w:p w:rsidR="00681493" w:rsidP="00D63558" w:rsidRDefault="00681493" w14:paraId="4BE95FC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hideMark/>
          </w:tcPr>
          <w:p w:rsidR="00681493" w:rsidP="00D63558" w:rsidRDefault="00681493" w14:paraId="530B3A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hideMark/>
          </w:tcPr>
          <w:p w:rsidR="00681493" w:rsidP="00D63558" w:rsidRDefault="00681493" w14:paraId="70D862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hideMark/>
          </w:tcPr>
          <w:p w:rsidR="00681493" w:rsidP="00D63558" w:rsidRDefault="00681493" w14:paraId="385661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hideMark/>
          </w:tcPr>
          <w:p w:rsidR="00681493" w:rsidP="00D63558" w:rsidRDefault="00681493" w14:paraId="64DCC1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hideMark/>
          </w:tcPr>
          <w:p w:rsidR="00681493" w:rsidP="00D63558" w:rsidRDefault="00681493" w14:paraId="040811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hideMark/>
          </w:tcPr>
          <w:p w:rsidR="00681493" w:rsidP="00D63558" w:rsidRDefault="00681493" w14:paraId="449A70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hideMark/>
          </w:tcPr>
          <w:p w:rsidR="00681493" w:rsidP="00D63558" w:rsidRDefault="00681493" w14:paraId="73DD1A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hideMark/>
          </w:tcPr>
          <w:p w:rsidR="00681493" w:rsidP="00D63558" w:rsidRDefault="00681493" w14:paraId="045EF5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hideMark/>
          </w:tcPr>
          <w:p w:rsidR="00681493" w:rsidP="00D63558" w:rsidRDefault="00681493" w14:paraId="49F93B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7963B18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009DDA91"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7A4364C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D551AA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4EC5C2D" w14:textId="77777777">
            <w:pPr>
              <w:rPr>
                <w:color w:val="000000"/>
                <w:sz w:val="18"/>
                <w:szCs w:val="18"/>
                <w:lang w:eastAsia="es-ES"/>
              </w:rPr>
            </w:pPr>
            <w:r>
              <w:rPr>
                <w:color w:val="000000"/>
                <w:sz w:val="18"/>
                <w:szCs w:val="18"/>
                <w:lang w:eastAsia="es-ES"/>
              </w:rPr>
              <w:t>1.2.1.1.1.</w:t>
            </w:r>
            <w:r>
              <w:rPr>
                <w:i/>
                <w:color w:val="000000"/>
                <w:sz w:val="18"/>
                <w:szCs w:val="18"/>
                <w:lang w:eastAsia="es-ES"/>
              </w:rPr>
              <w:t>Turicibacter</w:t>
            </w:r>
          </w:p>
        </w:tc>
        <w:tc>
          <w:tcPr>
            <w:tcW w:w="476" w:type="dxa"/>
            <w:tcBorders>
              <w:left w:val="single" w:color="auto" w:sz="4" w:space="0"/>
            </w:tcBorders>
            <w:noWrap/>
            <w:vAlign w:val="center"/>
            <w:hideMark/>
          </w:tcPr>
          <w:p w:rsidR="00681493" w:rsidP="00D63558" w:rsidRDefault="00681493" w14:paraId="7A98E63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56C4AA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1DAD2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2C83F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672C5A11"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2B882B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1F0E1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116A9E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D8157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611BB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15E4B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3989886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6C42DA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BD25AD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FF505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5D102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E51E74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721E4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BD51DAB"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067E3D0D"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3F8E0E2" w14:textId="77777777">
            <w:pPr>
              <w:rPr>
                <w:color w:val="000000"/>
                <w:sz w:val="18"/>
                <w:szCs w:val="18"/>
                <w:lang w:eastAsia="es-ES"/>
              </w:rPr>
            </w:pPr>
            <w:r>
              <w:rPr>
                <w:color w:val="000000"/>
                <w:sz w:val="18"/>
                <w:szCs w:val="18"/>
                <w:lang w:eastAsia="es-ES"/>
              </w:rPr>
              <w:t>1.3.1.1.1.</w:t>
            </w:r>
            <w:r>
              <w:rPr>
                <w:i/>
                <w:color w:val="000000"/>
                <w:sz w:val="18"/>
                <w:szCs w:val="18"/>
                <w:lang w:eastAsia="es-ES"/>
              </w:rPr>
              <w:t>Lactobacillus</w:t>
            </w:r>
          </w:p>
        </w:tc>
        <w:tc>
          <w:tcPr>
            <w:tcW w:w="476" w:type="dxa"/>
            <w:tcBorders>
              <w:left w:val="single" w:color="auto" w:sz="4" w:space="0"/>
            </w:tcBorders>
            <w:noWrap/>
            <w:vAlign w:val="center"/>
            <w:hideMark/>
          </w:tcPr>
          <w:p w:rsidR="00681493" w:rsidP="00D63558" w:rsidRDefault="00681493" w14:paraId="6DD80A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141E811E"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714C0F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DFC67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2713530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2B6528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62DE2AC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001D36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BC808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40B6A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4F349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46256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4BA3D63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75E75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DD9B6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44895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F9559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F9B81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290D3B3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9E0138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459AC75" w14:textId="77777777">
            <w:pPr>
              <w:rPr>
                <w:color w:val="000000"/>
                <w:sz w:val="18"/>
                <w:szCs w:val="18"/>
                <w:lang w:eastAsia="es-ES"/>
              </w:rPr>
            </w:pPr>
            <w:r>
              <w:rPr>
                <w:color w:val="000000"/>
                <w:sz w:val="18"/>
                <w:szCs w:val="18"/>
                <w:lang w:eastAsia="es-ES"/>
              </w:rPr>
              <w:t>1.4.1.1.1.</w:t>
            </w:r>
            <w:r>
              <w:rPr>
                <w:i/>
                <w:color w:val="000000"/>
                <w:sz w:val="18"/>
                <w:szCs w:val="18"/>
                <w:lang w:eastAsia="es-ES"/>
              </w:rPr>
              <w:t>Mitsuokella</w:t>
            </w:r>
          </w:p>
        </w:tc>
        <w:tc>
          <w:tcPr>
            <w:tcW w:w="476" w:type="dxa"/>
            <w:tcBorders>
              <w:left w:val="single" w:color="auto" w:sz="4" w:space="0"/>
            </w:tcBorders>
            <w:noWrap/>
            <w:vAlign w:val="center"/>
            <w:hideMark/>
          </w:tcPr>
          <w:p w:rsidR="00681493" w:rsidP="00D63558" w:rsidRDefault="00681493" w14:paraId="0F39E7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B80B738" w14:textId="77777777">
            <w:pPr>
              <w:jc w:val="center"/>
              <w:rPr>
                <w:color w:val="000000"/>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5401A01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D671D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57D3146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7C29D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602492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6135B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FB7DA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B3696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82BEC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781AE924"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3B6F03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CE4A9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B4B23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C982C8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24F21CE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74B912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C479098"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BA5C57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1950BD9" w14:textId="77777777">
            <w:pPr>
              <w:rPr>
                <w:color w:val="000000"/>
                <w:sz w:val="18"/>
                <w:szCs w:val="18"/>
                <w:lang w:eastAsia="es-ES"/>
              </w:rPr>
            </w:pPr>
            <w:r>
              <w:rPr>
                <w:color w:val="000000"/>
                <w:sz w:val="18"/>
                <w:szCs w:val="18"/>
                <w:lang w:eastAsia="es-ES"/>
              </w:rPr>
              <w:t>1.4.2.1.1.</w:t>
            </w:r>
            <w:r>
              <w:rPr>
                <w:i/>
                <w:color w:val="000000"/>
                <w:sz w:val="18"/>
                <w:szCs w:val="18"/>
                <w:lang w:eastAsia="es-ES"/>
              </w:rPr>
              <w:t>Veillonella</w:t>
            </w:r>
          </w:p>
        </w:tc>
        <w:tc>
          <w:tcPr>
            <w:tcW w:w="476" w:type="dxa"/>
            <w:tcBorders>
              <w:left w:val="single" w:color="auto" w:sz="4" w:space="0"/>
            </w:tcBorders>
            <w:noWrap/>
            <w:vAlign w:val="center"/>
            <w:hideMark/>
          </w:tcPr>
          <w:p w:rsidR="00681493" w:rsidP="00D63558" w:rsidRDefault="00681493" w14:paraId="6DF43E8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4E0E96F5" w14:textId="77777777">
            <w:pPr>
              <w:jc w:val="center"/>
              <w:rPr>
                <w:color w:val="006100"/>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20C202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DE8DB5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7933D6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4B4E4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AB15C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4137765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07C2E2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A6545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A31236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4A28D62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shd w:val="clear" w:color="auto" w:fill="C6EFCE"/>
            <w:vAlign w:val="center"/>
            <w:hideMark/>
          </w:tcPr>
          <w:p w:rsidR="00681493" w:rsidP="00D63558" w:rsidRDefault="00681493" w14:paraId="1BAD6493" w14:textId="77777777">
            <w:pPr>
              <w:jc w:val="center"/>
              <w:rPr>
                <w:color w:val="A6A6A6" w:themeColor="background1" w:themeShade="A6"/>
                <w:sz w:val="18"/>
                <w:szCs w:val="18"/>
                <w:lang w:eastAsia="es-ES"/>
              </w:rPr>
            </w:pPr>
            <w:r>
              <w:rPr>
                <w:color w:val="006100"/>
                <w:sz w:val="18"/>
                <w:szCs w:val="18"/>
                <w:lang w:eastAsia="es-ES"/>
              </w:rPr>
              <w:t>+</w:t>
            </w:r>
          </w:p>
        </w:tc>
        <w:tc>
          <w:tcPr>
            <w:tcW w:w="478" w:type="dxa"/>
            <w:tcBorders>
              <w:top w:val="nil"/>
              <w:left w:val="dashed" w:color="auto" w:sz="4" w:space="0"/>
              <w:bottom w:val="nil"/>
              <w:right w:val="nil"/>
            </w:tcBorders>
            <w:noWrap/>
            <w:vAlign w:val="center"/>
            <w:hideMark/>
          </w:tcPr>
          <w:p w:rsidR="00681493" w:rsidP="00D63558" w:rsidRDefault="00681493" w14:paraId="65F828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C2E13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EB191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4D2682B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9722D7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94B2A51"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3082C095"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322D1CC" w14:textId="77777777">
            <w:pPr>
              <w:rPr>
                <w:color w:val="000000"/>
                <w:sz w:val="18"/>
                <w:szCs w:val="18"/>
                <w:lang w:eastAsia="es-ES"/>
              </w:rPr>
            </w:pPr>
            <w:r>
              <w:rPr>
                <w:color w:val="000000"/>
                <w:sz w:val="18"/>
                <w:szCs w:val="18"/>
                <w:lang w:eastAsia="es-ES"/>
              </w:rPr>
              <w:t>2.1.1.1.1.</w:t>
            </w:r>
            <w:r>
              <w:rPr>
                <w:i/>
                <w:color w:val="000000"/>
                <w:sz w:val="18"/>
                <w:szCs w:val="18"/>
                <w:lang w:eastAsia="es-ES"/>
              </w:rPr>
              <w:t>Rikenellaceae</w:t>
            </w:r>
            <w:r>
              <w:rPr>
                <w:color w:val="000000"/>
                <w:sz w:val="18"/>
                <w:szCs w:val="18"/>
                <w:lang w:eastAsia="es-ES"/>
              </w:rPr>
              <w:t xml:space="preserve"> RC9 gut group</w:t>
            </w:r>
          </w:p>
        </w:tc>
        <w:tc>
          <w:tcPr>
            <w:tcW w:w="476" w:type="dxa"/>
            <w:tcBorders>
              <w:left w:val="single" w:color="auto" w:sz="4" w:space="0"/>
            </w:tcBorders>
            <w:noWrap/>
            <w:vAlign w:val="center"/>
            <w:hideMark/>
          </w:tcPr>
          <w:p w:rsidR="00681493" w:rsidP="00D63558" w:rsidRDefault="00681493" w14:paraId="09D7456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228DF5B5"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3B17D5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C5B0B6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BD21EC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76F38B6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8373F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A9509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294BD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F442D4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58A223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F50340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2E907C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0DB19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606892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6C055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B9FF9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034356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706C69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3A33D78"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879FF7C" w14:textId="77777777">
            <w:pPr>
              <w:rPr>
                <w:color w:val="000000"/>
                <w:sz w:val="18"/>
                <w:szCs w:val="18"/>
                <w:lang w:eastAsia="es-ES"/>
              </w:rPr>
            </w:pPr>
            <w:r>
              <w:rPr>
                <w:color w:val="000000"/>
                <w:sz w:val="18"/>
                <w:szCs w:val="18"/>
                <w:lang w:eastAsia="es-ES"/>
              </w:rPr>
              <w:t>2.1.1.3.1.</w:t>
            </w:r>
            <w:r>
              <w:rPr>
                <w:i/>
                <w:color w:val="000000"/>
                <w:sz w:val="18"/>
                <w:szCs w:val="18"/>
                <w:lang w:eastAsia="es-ES"/>
              </w:rPr>
              <w:t>Prevotella</w:t>
            </w:r>
          </w:p>
        </w:tc>
        <w:tc>
          <w:tcPr>
            <w:tcW w:w="476" w:type="dxa"/>
            <w:tcBorders>
              <w:left w:val="single" w:color="auto" w:sz="4" w:space="0"/>
            </w:tcBorders>
            <w:noWrap/>
            <w:vAlign w:val="center"/>
            <w:hideMark/>
          </w:tcPr>
          <w:p w:rsidR="00681493" w:rsidP="00D63558" w:rsidRDefault="00681493" w14:paraId="4B4AF8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hideMark/>
          </w:tcPr>
          <w:p w:rsidR="00681493" w:rsidP="00D63558" w:rsidRDefault="00681493" w14:paraId="16200F80"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66FF4E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B7777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12FAE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shd w:val="clear" w:color="auto" w:fill="C6EFCE"/>
            <w:vAlign w:val="center"/>
            <w:hideMark/>
          </w:tcPr>
          <w:p w:rsidR="00681493" w:rsidP="00D63558" w:rsidRDefault="00681493" w14:paraId="7D44933F" w14:textId="77777777">
            <w:pPr>
              <w:jc w:val="center"/>
              <w:rPr>
                <w:color w:val="000000"/>
                <w:sz w:val="18"/>
                <w:szCs w:val="18"/>
                <w:lang w:eastAsia="es-ES"/>
              </w:rPr>
            </w:pPr>
            <w:r>
              <w:rPr>
                <w:color w:val="006100"/>
                <w:sz w:val="18"/>
                <w:szCs w:val="18"/>
                <w:lang w:eastAsia="es-ES"/>
              </w:rPr>
              <w:t>+</w:t>
            </w:r>
          </w:p>
        </w:tc>
        <w:tc>
          <w:tcPr>
            <w:tcW w:w="428" w:type="dxa"/>
            <w:noWrap/>
            <w:vAlign w:val="center"/>
            <w:hideMark/>
          </w:tcPr>
          <w:p w:rsidR="00681493" w:rsidP="00D63558" w:rsidRDefault="00681493" w14:paraId="4AD1C26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C1D018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FD167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0F73B5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50238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150E0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6CF0C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00EF8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96286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3E0F6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hideMark/>
          </w:tcPr>
          <w:p w:rsidR="00681493" w:rsidP="00D63558" w:rsidRDefault="00681493" w14:paraId="185A39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hideMark/>
          </w:tcPr>
          <w:p w:rsidR="00681493" w:rsidP="00D63558" w:rsidRDefault="00681493" w14:paraId="5854C497"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6AFF7DCC"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9FDAB1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39913C1" w14:textId="77777777">
            <w:pPr>
              <w:rPr>
                <w:color w:val="000000"/>
                <w:sz w:val="18"/>
                <w:szCs w:val="18"/>
                <w:lang w:eastAsia="es-ES"/>
              </w:rPr>
            </w:pPr>
            <w:r>
              <w:rPr>
                <w:color w:val="000000"/>
                <w:sz w:val="18"/>
                <w:szCs w:val="18"/>
                <w:lang w:eastAsia="es-ES"/>
              </w:rPr>
              <w:t>2.1.1.3.2.</w:t>
            </w:r>
            <w:r>
              <w:rPr>
                <w:i/>
                <w:color w:val="000000"/>
                <w:sz w:val="18"/>
                <w:szCs w:val="18"/>
                <w:lang w:eastAsia="es-ES"/>
              </w:rPr>
              <w:t>Paraprevotella</w:t>
            </w:r>
          </w:p>
        </w:tc>
        <w:tc>
          <w:tcPr>
            <w:tcW w:w="476" w:type="dxa"/>
            <w:tcBorders>
              <w:left w:val="single" w:color="auto" w:sz="4" w:space="0"/>
            </w:tcBorders>
            <w:noWrap/>
            <w:vAlign w:val="center"/>
            <w:hideMark/>
          </w:tcPr>
          <w:p w:rsidR="00681493" w:rsidP="00D63558" w:rsidRDefault="00681493" w14:paraId="6297A5C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6EBEEAB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2D3FC6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2C028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20F0CA5A"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508F95C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F7184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0F320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A317C9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786E89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D9569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80411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6F326E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CCCA7E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25341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F07CF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49A356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1A3B2B7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198E213"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689E7D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38F9F6F" w14:textId="77777777">
            <w:pPr>
              <w:rPr>
                <w:color w:val="000000"/>
                <w:sz w:val="18"/>
                <w:szCs w:val="18"/>
                <w:lang w:eastAsia="es-ES"/>
              </w:rPr>
            </w:pPr>
            <w:r>
              <w:rPr>
                <w:color w:val="000000"/>
                <w:sz w:val="18"/>
                <w:szCs w:val="18"/>
                <w:lang w:eastAsia="es-ES"/>
              </w:rPr>
              <w:t>2.1.1.4.1.</w:t>
            </w:r>
            <w:r>
              <w:rPr>
                <w:i/>
                <w:color w:val="000000"/>
                <w:sz w:val="18"/>
                <w:szCs w:val="18"/>
                <w:lang w:eastAsia="es-ES"/>
              </w:rPr>
              <w:t xml:space="preserve">Barnesiellaceae </w:t>
            </w:r>
            <w:r>
              <w:rPr>
                <w:color w:val="000000"/>
                <w:sz w:val="18"/>
                <w:szCs w:val="18"/>
                <w:lang w:eastAsia="es-ES"/>
              </w:rPr>
              <w:t>UC</w:t>
            </w:r>
          </w:p>
        </w:tc>
        <w:tc>
          <w:tcPr>
            <w:tcW w:w="476" w:type="dxa"/>
            <w:tcBorders>
              <w:left w:val="single" w:color="auto" w:sz="4" w:space="0"/>
            </w:tcBorders>
            <w:noWrap/>
            <w:vAlign w:val="center"/>
            <w:hideMark/>
          </w:tcPr>
          <w:p w:rsidR="00681493" w:rsidP="00D63558" w:rsidRDefault="00681493" w14:paraId="47E442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1AEA995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5093F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3ECD41C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6360ADCE"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0EF89B1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2639B3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246C4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FFDB5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32CB8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5AA162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29201F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506CC7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82D8F0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6D4D51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E007D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3E6C0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267F02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16BACCBE"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125F5CE"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8539FE6" w14:textId="77777777">
            <w:pPr>
              <w:rPr>
                <w:color w:val="000000"/>
                <w:sz w:val="18"/>
                <w:szCs w:val="18"/>
                <w:lang w:eastAsia="es-ES"/>
              </w:rPr>
            </w:pPr>
            <w:r>
              <w:rPr>
                <w:color w:val="000000"/>
                <w:sz w:val="18"/>
                <w:szCs w:val="18"/>
                <w:lang w:eastAsia="es-ES"/>
              </w:rPr>
              <w:t>2.1.1.5.1.</w:t>
            </w:r>
            <w:r>
              <w:rPr>
                <w:i/>
                <w:color w:val="000000"/>
                <w:sz w:val="18"/>
                <w:szCs w:val="18"/>
                <w:lang w:eastAsia="es-ES"/>
              </w:rPr>
              <w:t>Odoribacter</w:t>
            </w:r>
          </w:p>
        </w:tc>
        <w:tc>
          <w:tcPr>
            <w:tcW w:w="476" w:type="dxa"/>
            <w:tcBorders>
              <w:left w:val="single" w:color="auto" w:sz="4" w:space="0"/>
            </w:tcBorders>
            <w:noWrap/>
            <w:vAlign w:val="center"/>
            <w:hideMark/>
          </w:tcPr>
          <w:p w:rsidR="00681493" w:rsidP="00D63558" w:rsidRDefault="00681493" w14:paraId="3B2A200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5A1AC4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FEFFDF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4EEECC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1CFE9EC2"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6F1D33B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E56F3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8D638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D380C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A38AF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BA6644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96325C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BAE3A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0605868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D07A6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498061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5D2562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E4421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F0C57F2"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74D4A7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B2DE4D0" w14:textId="77777777">
            <w:pPr>
              <w:rPr>
                <w:color w:val="000000"/>
                <w:sz w:val="18"/>
                <w:szCs w:val="18"/>
                <w:lang w:eastAsia="es-ES"/>
              </w:rPr>
            </w:pPr>
            <w:r>
              <w:rPr>
                <w:color w:val="000000"/>
                <w:sz w:val="18"/>
                <w:szCs w:val="18"/>
                <w:lang w:eastAsia="es-ES"/>
              </w:rPr>
              <w:t>2.1.1.6.1.</w:t>
            </w:r>
            <w:r>
              <w:rPr>
                <w:i/>
                <w:color w:val="000000"/>
                <w:sz w:val="18"/>
                <w:szCs w:val="18"/>
                <w:lang w:eastAsia="es-ES"/>
              </w:rPr>
              <w:t>Bacteroides</w:t>
            </w:r>
          </w:p>
        </w:tc>
        <w:tc>
          <w:tcPr>
            <w:tcW w:w="476" w:type="dxa"/>
            <w:tcBorders>
              <w:left w:val="single" w:color="auto" w:sz="4" w:space="0"/>
            </w:tcBorders>
            <w:noWrap/>
            <w:vAlign w:val="center"/>
            <w:hideMark/>
          </w:tcPr>
          <w:p w:rsidR="00681493" w:rsidP="00D63558" w:rsidRDefault="00681493" w14:paraId="7AAFBA8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noWrap/>
            <w:vAlign w:val="center"/>
            <w:hideMark/>
          </w:tcPr>
          <w:p w:rsidR="00681493" w:rsidP="00D63558" w:rsidRDefault="00681493" w14:paraId="4293CB5F" w14:textId="77777777">
            <w:pPr>
              <w:jc w:val="center"/>
              <w:rPr>
                <w:color w:val="9C0006"/>
                <w:sz w:val="18"/>
                <w:szCs w:val="18"/>
                <w:lang w:eastAsia="es-ES"/>
              </w:rPr>
            </w:pPr>
            <w:r>
              <w:rPr>
                <w:color w:val="9C0006"/>
                <w:sz w:val="18"/>
                <w:szCs w:val="18"/>
                <w:lang w:eastAsia="es-ES"/>
              </w:rPr>
              <w:t>-</w:t>
            </w:r>
          </w:p>
        </w:tc>
        <w:tc>
          <w:tcPr>
            <w:tcW w:w="457" w:type="dxa"/>
            <w:noWrap/>
            <w:vAlign w:val="center"/>
            <w:hideMark/>
          </w:tcPr>
          <w:p w:rsidR="00681493" w:rsidP="00D63558" w:rsidRDefault="00681493" w14:paraId="3AEDDE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28E9E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446F748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2D6D05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602626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48605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48828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69206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B0753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313300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2253B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97AC6B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625D2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41927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shd w:val="clear" w:color="auto" w:fill="C6EFCE"/>
            <w:hideMark/>
          </w:tcPr>
          <w:p w:rsidR="00681493" w:rsidP="00D63558" w:rsidRDefault="00681493" w14:paraId="34107165" w14:textId="77777777">
            <w:pPr>
              <w:jc w:val="center"/>
              <w:rPr>
                <w:color w:val="A6A6A6" w:themeColor="background1" w:themeShade="A6"/>
                <w:sz w:val="18"/>
                <w:szCs w:val="18"/>
                <w:lang w:eastAsia="es-ES"/>
              </w:rPr>
            </w:pPr>
            <w:r>
              <w:rPr>
                <w:color w:val="006100"/>
                <w:sz w:val="18"/>
                <w:szCs w:val="18"/>
                <w:lang w:eastAsia="es-ES"/>
              </w:rPr>
              <w:t>+</w:t>
            </w:r>
          </w:p>
        </w:tc>
        <w:tc>
          <w:tcPr>
            <w:tcW w:w="566" w:type="dxa"/>
            <w:shd w:val="clear" w:color="auto" w:fill="FFC7CE"/>
            <w:hideMark/>
          </w:tcPr>
          <w:p w:rsidR="00681493" w:rsidP="00D63558" w:rsidRDefault="00681493" w14:paraId="75DB099A" w14:textId="77777777">
            <w:pPr>
              <w:jc w:val="center"/>
              <w:rPr>
                <w:color w:val="A6A6A6" w:themeColor="background1" w:themeShade="A6"/>
                <w:sz w:val="18"/>
                <w:szCs w:val="18"/>
                <w:lang w:eastAsia="es-ES"/>
              </w:rPr>
            </w:pPr>
            <w:r>
              <w:rPr>
                <w:color w:val="9C0006"/>
                <w:sz w:val="18"/>
                <w:szCs w:val="18"/>
                <w:lang w:eastAsia="es-ES"/>
              </w:rPr>
              <w:t>-</w:t>
            </w:r>
          </w:p>
        </w:tc>
      </w:tr>
      <w:tr w:rsidR="00681493" w:rsidTr="00D63558" w14:paraId="459C31EC"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796DA9F"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14DDB69" w14:textId="77777777">
            <w:pPr>
              <w:rPr>
                <w:color w:val="000000"/>
                <w:sz w:val="18"/>
                <w:szCs w:val="18"/>
                <w:lang w:eastAsia="es-ES"/>
              </w:rPr>
            </w:pPr>
            <w:r>
              <w:rPr>
                <w:color w:val="000000"/>
                <w:sz w:val="18"/>
                <w:szCs w:val="18"/>
                <w:lang w:eastAsia="es-ES"/>
              </w:rPr>
              <w:t>3.1.1.1.1.</w:t>
            </w:r>
            <w:r>
              <w:rPr>
                <w:i/>
                <w:color w:val="000000"/>
                <w:sz w:val="18"/>
                <w:szCs w:val="18"/>
                <w:lang w:eastAsia="es-ES"/>
              </w:rPr>
              <w:t>Bifidobacterium</w:t>
            </w:r>
          </w:p>
        </w:tc>
        <w:tc>
          <w:tcPr>
            <w:tcW w:w="476" w:type="dxa"/>
            <w:tcBorders>
              <w:left w:val="single" w:color="auto" w:sz="4" w:space="0"/>
            </w:tcBorders>
            <w:noWrap/>
            <w:vAlign w:val="center"/>
            <w:hideMark/>
          </w:tcPr>
          <w:p w:rsidR="00681493" w:rsidP="00D63558" w:rsidRDefault="00681493" w14:paraId="22E6EF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108CA4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7E9F69C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4A8F0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202EEA25"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42D95C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7C0F9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129A60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25D3B3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5874A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24A13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EC9483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2AE3467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6C12DB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A761EA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081E7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62ACFAF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2125E3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8926A9E"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4340EE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2C2CFB3B" w14:textId="77777777">
            <w:pPr>
              <w:rPr>
                <w:color w:val="000000"/>
                <w:sz w:val="18"/>
                <w:szCs w:val="18"/>
                <w:lang w:eastAsia="es-ES"/>
              </w:rPr>
            </w:pPr>
            <w:r>
              <w:rPr>
                <w:color w:val="000000"/>
                <w:sz w:val="18"/>
                <w:szCs w:val="18"/>
                <w:lang w:eastAsia="es-ES"/>
              </w:rPr>
              <w:t>3.2.1.1.1.</w:t>
            </w:r>
            <w:r>
              <w:rPr>
                <w:i/>
                <w:color w:val="000000"/>
                <w:sz w:val="18"/>
                <w:szCs w:val="18"/>
                <w:lang w:eastAsia="es-ES"/>
              </w:rPr>
              <w:t xml:space="preserve">Collinsella </w:t>
            </w:r>
          </w:p>
        </w:tc>
        <w:tc>
          <w:tcPr>
            <w:tcW w:w="476" w:type="dxa"/>
            <w:tcBorders>
              <w:left w:val="single" w:color="auto" w:sz="4" w:space="0"/>
            </w:tcBorders>
            <w:noWrap/>
            <w:vAlign w:val="center"/>
            <w:hideMark/>
          </w:tcPr>
          <w:p w:rsidR="00681493" w:rsidP="00D63558" w:rsidRDefault="00681493" w14:paraId="54AEC03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4F1066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33748A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3AEA36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462D7FE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5A9121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CCC8CF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E4912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446AEF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6B38B6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0F6EB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5BA4DB6B"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5E82757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DE0DE5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46BDE14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D794E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1BD6E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B4DF3E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32E3AE5"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7410DB61"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5BD09FB" w14:textId="77777777">
            <w:pPr>
              <w:rPr>
                <w:color w:val="000000"/>
                <w:sz w:val="18"/>
                <w:szCs w:val="18"/>
                <w:lang w:eastAsia="es-ES"/>
              </w:rPr>
            </w:pPr>
            <w:r>
              <w:rPr>
                <w:color w:val="000000"/>
                <w:sz w:val="18"/>
                <w:szCs w:val="18"/>
                <w:lang w:eastAsia="es-ES"/>
              </w:rPr>
              <w:t>3.2.2.1.1.</w:t>
            </w:r>
            <w:r>
              <w:rPr>
                <w:i/>
                <w:color w:val="000000"/>
                <w:sz w:val="18"/>
                <w:szCs w:val="18"/>
                <w:lang w:eastAsia="es-ES"/>
              </w:rPr>
              <w:t>Adlercreutzia</w:t>
            </w:r>
          </w:p>
        </w:tc>
        <w:tc>
          <w:tcPr>
            <w:tcW w:w="476" w:type="dxa"/>
            <w:tcBorders>
              <w:left w:val="single" w:color="auto" w:sz="4" w:space="0"/>
            </w:tcBorders>
            <w:noWrap/>
            <w:vAlign w:val="center"/>
            <w:hideMark/>
          </w:tcPr>
          <w:p w:rsidR="00681493" w:rsidP="00D63558" w:rsidRDefault="00681493" w14:paraId="0034B1D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09715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3F1E5A75"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0A810A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137D38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45DE289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6C81F5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66646E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CBC16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6C6069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55F85ED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345B6BF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248F6D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3432340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501D0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19733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099D91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92B0A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809CA89"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1F961B77"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5CA86784" w14:textId="77777777">
            <w:pPr>
              <w:rPr>
                <w:color w:val="000000"/>
                <w:sz w:val="18"/>
                <w:szCs w:val="18"/>
                <w:lang w:eastAsia="es-ES"/>
              </w:rPr>
            </w:pPr>
            <w:r>
              <w:rPr>
                <w:color w:val="000000"/>
                <w:sz w:val="18"/>
                <w:szCs w:val="18"/>
                <w:lang w:eastAsia="es-ES"/>
              </w:rPr>
              <w:t>4.1.1.1.1.</w:t>
            </w:r>
            <w:r>
              <w:rPr>
                <w:i/>
                <w:color w:val="000000"/>
                <w:sz w:val="18"/>
                <w:szCs w:val="18"/>
                <w:lang w:eastAsia="es-ES"/>
              </w:rPr>
              <w:t>Desulfovibrionaceae</w:t>
            </w:r>
            <w:r>
              <w:rPr>
                <w:color w:val="000000"/>
                <w:sz w:val="18"/>
                <w:szCs w:val="18"/>
                <w:lang w:eastAsia="es-ES"/>
              </w:rPr>
              <w:t xml:space="preserve"> UC</w:t>
            </w:r>
          </w:p>
        </w:tc>
        <w:tc>
          <w:tcPr>
            <w:tcW w:w="476" w:type="dxa"/>
            <w:tcBorders>
              <w:left w:val="single" w:color="auto" w:sz="4" w:space="0"/>
            </w:tcBorders>
            <w:noWrap/>
            <w:vAlign w:val="center"/>
            <w:hideMark/>
          </w:tcPr>
          <w:p w:rsidR="00681493" w:rsidP="00D63558" w:rsidRDefault="00681493" w14:paraId="439828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F48CA3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682715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35436D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FFC7CE"/>
            <w:noWrap/>
            <w:vAlign w:val="center"/>
            <w:hideMark/>
          </w:tcPr>
          <w:p w:rsidR="00681493" w:rsidP="00D63558" w:rsidRDefault="00681493" w14:paraId="76CF7F1C" w14:textId="77777777">
            <w:pPr>
              <w:jc w:val="center"/>
              <w:rPr>
                <w:color w:val="9C0006"/>
                <w:sz w:val="18"/>
                <w:szCs w:val="18"/>
                <w:lang w:eastAsia="es-ES"/>
              </w:rPr>
            </w:pPr>
            <w:r>
              <w:rPr>
                <w:color w:val="9C0006"/>
                <w:sz w:val="18"/>
                <w:szCs w:val="18"/>
                <w:lang w:eastAsia="es-ES"/>
              </w:rPr>
              <w:t>-</w:t>
            </w:r>
          </w:p>
        </w:tc>
        <w:tc>
          <w:tcPr>
            <w:tcW w:w="760" w:type="dxa"/>
            <w:vAlign w:val="center"/>
            <w:hideMark/>
          </w:tcPr>
          <w:p w:rsidR="00681493" w:rsidP="00D63558" w:rsidRDefault="00681493" w14:paraId="114C45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61E30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F384B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DC3263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29CF5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A83F9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40F81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61E6EE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350D6A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F4817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0BC0C1C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7CD6D4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58985B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C3B9CE3"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5AABD704"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0D6487DA" w14:textId="77777777">
            <w:pPr>
              <w:rPr>
                <w:color w:val="000000"/>
                <w:sz w:val="18"/>
                <w:szCs w:val="18"/>
                <w:lang w:eastAsia="es-ES"/>
              </w:rPr>
            </w:pPr>
            <w:r>
              <w:rPr>
                <w:color w:val="000000"/>
                <w:sz w:val="18"/>
                <w:szCs w:val="18"/>
                <w:lang w:eastAsia="es-ES"/>
              </w:rPr>
              <w:t>4.2.1.1.1.</w:t>
            </w:r>
            <w:r>
              <w:rPr>
                <w:i/>
                <w:color w:val="000000"/>
                <w:sz w:val="18"/>
                <w:szCs w:val="18"/>
                <w:lang w:eastAsia="es-ES"/>
              </w:rPr>
              <w:t>Succinivibrio</w:t>
            </w:r>
          </w:p>
        </w:tc>
        <w:tc>
          <w:tcPr>
            <w:tcW w:w="476" w:type="dxa"/>
            <w:tcBorders>
              <w:left w:val="single" w:color="auto" w:sz="4" w:space="0"/>
            </w:tcBorders>
            <w:noWrap/>
            <w:vAlign w:val="center"/>
            <w:hideMark/>
          </w:tcPr>
          <w:p w:rsidR="00681493" w:rsidP="00D63558" w:rsidRDefault="00681493" w14:paraId="64BC70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noWrap/>
            <w:vAlign w:val="center"/>
            <w:hideMark/>
          </w:tcPr>
          <w:p w:rsidR="00681493" w:rsidP="00D63558" w:rsidRDefault="00681493" w14:paraId="2C23122A" w14:textId="77777777">
            <w:pPr>
              <w:jc w:val="center"/>
              <w:rPr>
                <w:color w:val="006100"/>
                <w:sz w:val="18"/>
                <w:szCs w:val="18"/>
                <w:lang w:eastAsia="es-ES"/>
              </w:rPr>
            </w:pPr>
            <w:r>
              <w:rPr>
                <w:color w:val="006100"/>
                <w:sz w:val="18"/>
                <w:szCs w:val="18"/>
                <w:lang w:eastAsia="es-ES"/>
              </w:rPr>
              <w:t>+</w:t>
            </w:r>
          </w:p>
        </w:tc>
        <w:tc>
          <w:tcPr>
            <w:tcW w:w="457" w:type="dxa"/>
            <w:noWrap/>
            <w:vAlign w:val="center"/>
            <w:hideMark/>
          </w:tcPr>
          <w:p w:rsidR="00681493" w:rsidP="00D63558" w:rsidRDefault="00681493" w14:paraId="587CA9A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41844D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B924A7D" w14:textId="77777777">
            <w:pPr>
              <w:jc w:val="center"/>
              <w:rPr>
                <w:color w:val="000000"/>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640504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6C54E7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03556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956A6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3C3DD1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2AABDD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E68AD6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30D04D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2273F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6C3F7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708D5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08FF88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4E27141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9952CA5"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25FE9013"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31E9FA0D" w14:textId="77777777">
            <w:pPr>
              <w:rPr>
                <w:color w:val="000000"/>
                <w:sz w:val="18"/>
                <w:szCs w:val="18"/>
                <w:lang w:eastAsia="es-ES"/>
              </w:rPr>
            </w:pPr>
            <w:r>
              <w:rPr>
                <w:color w:val="000000"/>
                <w:sz w:val="18"/>
                <w:szCs w:val="18"/>
                <w:lang w:eastAsia="es-ES"/>
              </w:rPr>
              <w:t>4.2.2.1.1.</w:t>
            </w:r>
            <w:r>
              <w:rPr>
                <w:i/>
                <w:color w:val="000000"/>
                <w:sz w:val="18"/>
                <w:szCs w:val="18"/>
                <w:lang w:eastAsia="es-ES"/>
              </w:rPr>
              <w:t>Haemophilus</w:t>
            </w:r>
          </w:p>
        </w:tc>
        <w:tc>
          <w:tcPr>
            <w:tcW w:w="476" w:type="dxa"/>
            <w:tcBorders>
              <w:left w:val="single" w:color="auto" w:sz="4" w:space="0"/>
            </w:tcBorders>
            <w:noWrap/>
            <w:vAlign w:val="center"/>
            <w:hideMark/>
          </w:tcPr>
          <w:p w:rsidR="00681493" w:rsidP="00D63558" w:rsidRDefault="00681493" w14:paraId="782A93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1470FE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DE961D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D5C46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28181FA6"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4082EB1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98185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78E2F0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528947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0D41D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146B5FA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764255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69DDA1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69986B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7AD20C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72BB6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2FF9E3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364B5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F7D2DDF"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6ADEBB1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DBC32A6" w14:textId="77777777">
            <w:pPr>
              <w:rPr>
                <w:color w:val="000000"/>
                <w:sz w:val="18"/>
                <w:szCs w:val="18"/>
                <w:lang w:eastAsia="es-ES"/>
              </w:rPr>
            </w:pPr>
            <w:r>
              <w:rPr>
                <w:color w:val="000000"/>
                <w:sz w:val="18"/>
                <w:szCs w:val="18"/>
                <w:lang w:eastAsia="es-ES"/>
              </w:rPr>
              <w:t>4.2.2.1.2.</w:t>
            </w:r>
            <w:r>
              <w:rPr>
                <w:i/>
                <w:color w:val="000000"/>
                <w:sz w:val="18"/>
                <w:szCs w:val="18"/>
                <w:lang w:eastAsia="es-ES"/>
              </w:rPr>
              <w:t>Actinobacillus</w:t>
            </w:r>
          </w:p>
        </w:tc>
        <w:tc>
          <w:tcPr>
            <w:tcW w:w="476" w:type="dxa"/>
            <w:tcBorders>
              <w:left w:val="single" w:color="auto" w:sz="4" w:space="0"/>
            </w:tcBorders>
            <w:noWrap/>
            <w:vAlign w:val="center"/>
            <w:hideMark/>
          </w:tcPr>
          <w:p w:rsidR="00681493" w:rsidP="00D63558" w:rsidRDefault="00681493" w14:paraId="37F00DA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F48A9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719D063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300492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3A76D69B" w14:textId="77777777">
            <w:pPr>
              <w:jc w:val="center"/>
              <w:rPr>
                <w:color w:val="000000"/>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7C13D8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206BE2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5D2974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B0227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CBFC4B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3EA773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34ED92EA"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1929EB7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83BAAA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240F4BE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9E0627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02F59B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239252B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DDD1A0D" w14:textId="77777777">
        <w:trPr>
          <w:trHeight w:val="300"/>
        </w:trPr>
        <w:tc>
          <w:tcPr>
            <w:tcW w:w="429" w:type="dxa"/>
            <w:vMerge/>
            <w:tcBorders>
              <w:top w:val="single" w:color="auto" w:sz="4" w:space="0"/>
              <w:left w:val="nil"/>
              <w:bottom w:val="nil"/>
              <w:right w:val="nil"/>
            </w:tcBorders>
            <w:vAlign w:val="center"/>
            <w:hideMark/>
          </w:tcPr>
          <w:p w:rsidR="00681493" w:rsidP="00D63558" w:rsidRDefault="00681493" w14:paraId="40559E9A"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2FB24493" w14:textId="77777777">
            <w:pPr>
              <w:rPr>
                <w:color w:val="000000"/>
                <w:sz w:val="18"/>
                <w:szCs w:val="18"/>
                <w:lang w:eastAsia="es-ES"/>
              </w:rPr>
            </w:pPr>
            <w:r>
              <w:rPr>
                <w:color w:val="000000"/>
                <w:sz w:val="18"/>
                <w:szCs w:val="18"/>
                <w:lang w:eastAsia="es-ES"/>
              </w:rPr>
              <w:t>5.1.1.1.1.</w:t>
            </w:r>
            <w:r>
              <w:rPr>
                <w:i/>
                <w:color w:val="000000"/>
                <w:sz w:val="18"/>
                <w:szCs w:val="18"/>
                <w:lang w:eastAsia="es-ES"/>
              </w:rPr>
              <w:t>Akkermansia</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64FD91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shd w:val="clear" w:color="auto" w:fill="C6EFCE"/>
            <w:noWrap/>
            <w:vAlign w:val="center"/>
            <w:hideMark/>
          </w:tcPr>
          <w:p w:rsidR="00681493" w:rsidP="00D63558" w:rsidRDefault="00681493" w14:paraId="6ED4C2E2" w14:textId="77777777">
            <w:pPr>
              <w:jc w:val="center"/>
              <w:rPr>
                <w:color w:val="006100"/>
                <w:sz w:val="18"/>
                <w:szCs w:val="18"/>
                <w:lang w:eastAsia="es-ES"/>
              </w:rPr>
            </w:pPr>
            <w:r>
              <w:rPr>
                <w:color w:val="006100"/>
                <w:sz w:val="18"/>
                <w:szCs w:val="18"/>
                <w:lang w:eastAsia="es-ES"/>
              </w:rPr>
              <w:t>+</w:t>
            </w:r>
          </w:p>
        </w:tc>
        <w:tc>
          <w:tcPr>
            <w:tcW w:w="457" w:type="dxa"/>
            <w:tcBorders>
              <w:top w:val="nil"/>
              <w:left w:val="nil"/>
              <w:bottom w:val="single" w:color="auto" w:sz="2" w:space="0"/>
              <w:right w:val="nil"/>
            </w:tcBorders>
            <w:noWrap/>
            <w:vAlign w:val="center"/>
            <w:hideMark/>
          </w:tcPr>
          <w:p w:rsidR="00681493" w:rsidP="00D63558" w:rsidRDefault="00681493" w14:paraId="73454D5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44B5CCF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shd w:val="clear" w:color="auto" w:fill="C6EFCE"/>
            <w:noWrap/>
            <w:vAlign w:val="center"/>
            <w:hideMark/>
          </w:tcPr>
          <w:p w:rsidR="00681493" w:rsidP="00D63558" w:rsidRDefault="00681493" w14:paraId="0D84F407" w14:textId="77777777">
            <w:pPr>
              <w:jc w:val="center"/>
              <w:rPr>
                <w:color w:val="006100"/>
                <w:sz w:val="18"/>
                <w:szCs w:val="18"/>
                <w:lang w:eastAsia="es-ES"/>
              </w:rPr>
            </w:pPr>
            <w:r>
              <w:rPr>
                <w:color w:val="006100"/>
                <w:sz w:val="18"/>
                <w:szCs w:val="18"/>
                <w:lang w:eastAsia="es-ES"/>
              </w:rPr>
              <w:t>+</w:t>
            </w:r>
          </w:p>
        </w:tc>
        <w:tc>
          <w:tcPr>
            <w:tcW w:w="760" w:type="dxa"/>
            <w:tcBorders>
              <w:top w:val="nil"/>
              <w:left w:val="nil"/>
              <w:bottom w:val="single" w:color="auto" w:sz="2" w:space="0"/>
              <w:right w:val="nil"/>
            </w:tcBorders>
            <w:vAlign w:val="center"/>
            <w:hideMark/>
          </w:tcPr>
          <w:p w:rsidR="00681493" w:rsidP="00D63558" w:rsidRDefault="00681493" w14:paraId="4092714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4D10AE9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1406FC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6B0F8B9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4E6AE21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75707C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2" w:space="0"/>
              <w:right w:val="nil"/>
            </w:tcBorders>
            <w:noWrap/>
            <w:vAlign w:val="center"/>
            <w:hideMark/>
          </w:tcPr>
          <w:p w:rsidR="00681493" w:rsidP="00D63558" w:rsidRDefault="00681493" w14:paraId="7754B8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vAlign w:val="center"/>
            <w:hideMark/>
          </w:tcPr>
          <w:p w:rsidR="00681493" w:rsidP="00D63558" w:rsidRDefault="00681493" w14:paraId="08267C5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477D85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357B36E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shd w:val="clear" w:color="auto" w:fill="C6EFCE"/>
            <w:noWrap/>
            <w:vAlign w:val="center"/>
            <w:hideMark/>
          </w:tcPr>
          <w:p w:rsidR="00681493" w:rsidP="00D63558" w:rsidRDefault="00681493" w14:paraId="52F6A445" w14:textId="77777777">
            <w:pPr>
              <w:jc w:val="center"/>
              <w:rPr>
                <w:color w:val="006100"/>
                <w:sz w:val="18"/>
                <w:szCs w:val="18"/>
                <w:lang w:eastAsia="es-ES"/>
              </w:rPr>
            </w:pPr>
            <w:r>
              <w:rPr>
                <w:color w:val="006100"/>
                <w:sz w:val="18"/>
                <w:szCs w:val="18"/>
                <w:lang w:eastAsia="es-ES"/>
              </w:rPr>
              <w:t>+</w:t>
            </w:r>
          </w:p>
        </w:tc>
        <w:tc>
          <w:tcPr>
            <w:tcW w:w="425" w:type="dxa"/>
            <w:tcBorders>
              <w:top w:val="nil"/>
              <w:left w:val="nil"/>
              <w:bottom w:val="single" w:color="auto" w:sz="2" w:space="0"/>
              <w:right w:val="nil"/>
            </w:tcBorders>
            <w:vAlign w:val="center"/>
            <w:hideMark/>
          </w:tcPr>
          <w:p w:rsidR="00681493" w:rsidP="00D63558" w:rsidRDefault="00681493" w14:paraId="5B08CF2B" w14:textId="77777777">
            <w:pPr>
              <w:jc w:val="center"/>
              <w:rPr>
                <w:color w:val="006100"/>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vAlign w:val="center"/>
            <w:hideMark/>
          </w:tcPr>
          <w:p w:rsidR="00681493" w:rsidP="00D63558" w:rsidRDefault="00681493" w14:paraId="7C00983B" w14:textId="77777777">
            <w:pPr>
              <w:jc w:val="center"/>
              <w:rPr>
                <w:color w:val="006100"/>
                <w:sz w:val="18"/>
                <w:szCs w:val="18"/>
                <w:lang w:eastAsia="es-ES"/>
              </w:rPr>
            </w:pPr>
            <w:r>
              <w:rPr>
                <w:color w:val="A6A6A6" w:themeColor="background1" w:themeShade="A6"/>
                <w:sz w:val="18"/>
                <w:szCs w:val="18"/>
                <w:lang w:eastAsia="es-ES"/>
              </w:rPr>
              <w:t>NR</w:t>
            </w:r>
          </w:p>
        </w:tc>
      </w:tr>
      <w:tr w:rsidR="00681493" w:rsidTr="00D63558" w14:paraId="4DFD6690" w14:textId="77777777">
        <w:trPr>
          <w:trHeight w:val="300"/>
        </w:trPr>
        <w:tc>
          <w:tcPr>
            <w:tcW w:w="429" w:type="dxa"/>
            <w:vMerge w:val="restart"/>
            <w:tcBorders>
              <w:top w:val="single" w:color="auto" w:sz="4" w:space="0"/>
              <w:left w:val="nil"/>
              <w:bottom w:val="single" w:color="auto" w:sz="4" w:space="0"/>
              <w:right w:val="nil"/>
            </w:tcBorders>
            <w:noWrap/>
            <w:textDirection w:val="btLr"/>
            <w:vAlign w:val="center"/>
            <w:hideMark/>
          </w:tcPr>
          <w:p w:rsidR="00681493" w:rsidP="00D63558" w:rsidRDefault="00681493" w14:paraId="663D400F" w14:textId="77777777">
            <w:pPr>
              <w:jc w:val="center"/>
              <w:rPr>
                <w:b/>
                <w:color w:val="000000"/>
                <w:sz w:val="18"/>
                <w:szCs w:val="18"/>
                <w:lang w:eastAsia="es-ES"/>
              </w:rPr>
            </w:pPr>
            <w:r>
              <w:rPr>
                <w:b/>
                <w:color w:val="000000"/>
                <w:sz w:val="18"/>
                <w:szCs w:val="18"/>
                <w:lang w:eastAsia="es-ES"/>
              </w:rPr>
              <w:t>Species</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56CF6966" w14:textId="77777777">
            <w:pPr>
              <w:rPr>
                <w:color w:val="000000"/>
                <w:sz w:val="18"/>
                <w:szCs w:val="18"/>
                <w:lang w:eastAsia="es-ES"/>
              </w:rPr>
            </w:pPr>
            <w:r>
              <w:rPr>
                <w:color w:val="000000"/>
                <w:sz w:val="18"/>
                <w:szCs w:val="18"/>
                <w:lang w:eastAsia="es-ES"/>
              </w:rPr>
              <w:t>1.1.1.2.1.1.</w:t>
            </w:r>
            <w:r>
              <w:rPr>
                <w:i/>
                <w:color w:val="000000"/>
                <w:sz w:val="18"/>
                <w:szCs w:val="18"/>
                <w:lang w:eastAsia="es-ES"/>
              </w:rPr>
              <w:t>Coprococcus_2</w:t>
            </w:r>
          </w:p>
        </w:tc>
        <w:tc>
          <w:tcPr>
            <w:tcW w:w="476" w:type="dxa"/>
            <w:tcBorders>
              <w:top w:val="single" w:color="auto" w:sz="2" w:space="0"/>
              <w:left w:val="single" w:color="auto" w:sz="4" w:space="0"/>
              <w:bottom w:val="nil"/>
              <w:right w:val="nil"/>
            </w:tcBorders>
            <w:noWrap/>
            <w:vAlign w:val="center"/>
            <w:hideMark/>
          </w:tcPr>
          <w:p w:rsidR="00681493" w:rsidP="00D63558" w:rsidRDefault="00681493" w14:paraId="6E0B41B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noWrap/>
            <w:vAlign w:val="center"/>
            <w:hideMark/>
          </w:tcPr>
          <w:p w:rsidR="00681493" w:rsidP="00D63558" w:rsidRDefault="00681493" w14:paraId="40E6387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single" w:color="auto" w:sz="2" w:space="0"/>
              <w:left w:val="nil"/>
              <w:bottom w:val="nil"/>
              <w:right w:val="nil"/>
            </w:tcBorders>
            <w:noWrap/>
            <w:vAlign w:val="center"/>
            <w:hideMark/>
          </w:tcPr>
          <w:p w:rsidR="00681493" w:rsidP="00D63558" w:rsidRDefault="00681493" w14:paraId="5B1125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single" w:color="auto" w:sz="2" w:space="0"/>
              <w:left w:val="nil"/>
              <w:bottom w:val="nil"/>
              <w:right w:val="nil"/>
            </w:tcBorders>
            <w:noWrap/>
            <w:vAlign w:val="center"/>
            <w:hideMark/>
          </w:tcPr>
          <w:p w:rsidR="00681493" w:rsidP="00D63558" w:rsidRDefault="00681493" w14:paraId="3BDDDA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noWrap/>
            <w:vAlign w:val="center"/>
            <w:hideMark/>
          </w:tcPr>
          <w:p w:rsidR="00681493" w:rsidP="00D63558" w:rsidRDefault="00681493" w14:paraId="491227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single" w:color="auto" w:sz="2" w:space="0"/>
              <w:left w:val="nil"/>
              <w:bottom w:val="nil"/>
              <w:right w:val="nil"/>
            </w:tcBorders>
            <w:vAlign w:val="center"/>
            <w:hideMark/>
          </w:tcPr>
          <w:p w:rsidR="00681493" w:rsidP="00D63558" w:rsidRDefault="00681493" w14:paraId="587E41A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noWrap/>
            <w:vAlign w:val="center"/>
            <w:hideMark/>
          </w:tcPr>
          <w:p w:rsidR="00681493" w:rsidP="00D63558" w:rsidRDefault="00681493" w14:paraId="7EAA90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single" w:color="auto" w:sz="2" w:space="0"/>
              <w:left w:val="nil"/>
              <w:bottom w:val="nil"/>
              <w:right w:val="nil"/>
            </w:tcBorders>
            <w:noWrap/>
            <w:vAlign w:val="center"/>
            <w:hideMark/>
          </w:tcPr>
          <w:p w:rsidR="00681493" w:rsidP="00D63558" w:rsidRDefault="00681493" w14:paraId="70875A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13A7982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1F85A85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659757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2" w:space="0"/>
              <w:left w:val="nil"/>
              <w:bottom w:val="nil"/>
              <w:right w:val="nil"/>
            </w:tcBorders>
            <w:shd w:val="clear" w:color="auto" w:fill="C6EFCE"/>
            <w:noWrap/>
            <w:vAlign w:val="center"/>
            <w:hideMark/>
          </w:tcPr>
          <w:p w:rsidR="00681493" w:rsidP="00D63558" w:rsidRDefault="00681493" w14:paraId="7A1464BA" w14:textId="77777777">
            <w:pPr>
              <w:jc w:val="center"/>
              <w:rPr>
                <w:color w:val="006100"/>
                <w:sz w:val="18"/>
                <w:szCs w:val="18"/>
                <w:lang w:eastAsia="es-ES"/>
              </w:rPr>
            </w:pPr>
            <w:r>
              <w:rPr>
                <w:color w:val="006100"/>
                <w:sz w:val="18"/>
                <w:szCs w:val="18"/>
                <w:lang w:eastAsia="es-ES"/>
              </w:rPr>
              <w:t>+</w:t>
            </w:r>
          </w:p>
        </w:tc>
        <w:tc>
          <w:tcPr>
            <w:tcW w:w="478" w:type="dxa"/>
            <w:tcBorders>
              <w:top w:val="single" w:color="auto" w:sz="2" w:space="0"/>
              <w:left w:val="nil"/>
              <w:bottom w:val="nil"/>
              <w:right w:val="dashed" w:color="auto" w:sz="4" w:space="0"/>
            </w:tcBorders>
            <w:vAlign w:val="center"/>
            <w:hideMark/>
          </w:tcPr>
          <w:p w:rsidR="00681493" w:rsidP="00D63558" w:rsidRDefault="00681493" w14:paraId="7B6920A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noWrap/>
            <w:vAlign w:val="center"/>
            <w:hideMark/>
          </w:tcPr>
          <w:p w:rsidR="00681493" w:rsidP="00D63558" w:rsidRDefault="00681493" w14:paraId="0B17059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noWrap/>
            <w:vAlign w:val="center"/>
            <w:hideMark/>
          </w:tcPr>
          <w:p w:rsidR="00681493" w:rsidP="00D63558" w:rsidRDefault="00681493" w14:paraId="0D3DE7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1ADEEAA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vAlign w:val="center"/>
            <w:hideMark/>
          </w:tcPr>
          <w:p w:rsidR="00681493" w:rsidP="00D63558" w:rsidRDefault="00681493" w14:paraId="74DC20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vAlign w:val="center"/>
            <w:hideMark/>
          </w:tcPr>
          <w:p w:rsidR="00681493" w:rsidP="00D63558" w:rsidRDefault="00681493" w14:paraId="3BC9F65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74AF18A"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0D548A2B"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F453DA7" w14:textId="77777777">
            <w:pPr>
              <w:rPr>
                <w:color w:val="000000"/>
                <w:sz w:val="18"/>
                <w:szCs w:val="18"/>
                <w:lang w:eastAsia="es-ES"/>
              </w:rPr>
            </w:pPr>
            <w:r>
              <w:rPr>
                <w:color w:val="000000"/>
                <w:sz w:val="18"/>
                <w:szCs w:val="18"/>
                <w:lang w:eastAsia="es-ES"/>
              </w:rPr>
              <w:t>1.1.1.2.2.1.</w:t>
            </w:r>
            <w:r>
              <w:rPr>
                <w:i/>
                <w:color w:val="000000"/>
                <w:sz w:val="18"/>
                <w:szCs w:val="18"/>
                <w:lang w:eastAsia="es-ES"/>
              </w:rPr>
              <w:t xml:space="preserve">Roseburia </w:t>
            </w:r>
            <w:proofErr w:type="spellStart"/>
            <w:r>
              <w:rPr>
                <w:i/>
                <w:color w:val="000000"/>
                <w:sz w:val="18"/>
                <w:szCs w:val="18"/>
                <w:lang w:eastAsia="es-ES"/>
              </w:rPr>
              <w:t>hominis</w:t>
            </w:r>
            <w:proofErr w:type="spellEnd"/>
            <w:r>
              <w:rPr>
                <w:color w:val="000000"/>
                <w:sz w:val="18"/>
                <w:szCs w:val="18"/>
                <w:lang w:eastAsia="es-ES"/>
              </w:rPr>
              <w:t xml:space="preserve"> </w:t>
            </w:r>
          </w:p>
        </w:tc>
        <w:tc>
          <w:tcPr>
            <w:tcW w:w="476" w:type="dxa"/>
            <w:tcBorders>
              <w:left w:val="single" w:color="auto" w:sz="4" w:space="0"/>
            </w:tcBorders>
            <w:noWrap/>
            <w:vAlign w:val="center"/>
            <w:hideMark/>
          </w:tcPr>
          <w:p w:rsidR="00681493" w:rsidP="00D63558" w:rsidRDefault="00681493" w14:paraId="1E5B2C0D" w14:textId="77777777">
            <w:pPr>
              <w:jc w:val="center"/>
              <w:rPr>
                <w:color w:val="000000"/>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AB5B64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181EAD8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BF468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1A5E34F1"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2B21B63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7589D2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2D91789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40CD3FF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D1C605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4A7DE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722686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E0BFEC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D38E2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1A59A8B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CA9BF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73027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vAlign w:val="center"/>
            <w:hideMark/>
          </w:tcPr>
          <w:p w:rsidR="00681493" w:rsidP="00D63558" w:rsidRDefault="00681493" w14:paraId="2D65D937"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0986F595"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51211DD0"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E8196DD" w14:textId="77777777">
            <w:pPr>
              <w:rPr>
                <w:color w:val="000000"/>
                <w:sz w:val="18"/>
                <w:szCs w:val="18"/>
                <w:lang w:eastAsia="es-ES"/>
              </w:rPr>
            </w:pPr>
            <w:r>
              <w:rPr>
                <w:color w:val="000000"/>
                <w:sz w:val="18"/>
                <w:szCs w:val="18"/>
                <w:lang w:eastAsia="es-ES"/>
              </w:rPr>
              <w:t>1.1.1.2.7.1.</w:t>
            </w:r>
            <w:r>
              <w:rPr>
                <w:i/>
                <w:color w:val="000000"/>
                <w:sz w:val="18"/>
                <w:szCs w:val="18"/>
                <w:lang w:eastAsia="es-ES"/>
              </w:rPr>
              <w:t xml:space="preserve">Dorea </w:t>
            </w:r>
            <w:proofErr w:type="spellStart"/>
            <w:r>
              <w:rPr>
                <w:i/>
                <w:color w:val="000000"/>
                <w:sz w:val="18"/>
                <w:szCs w:val="18"/>
                <w:lang w:eastAsia="es-ES"/>
              </w:rPr>
              <w:t>longicatena</w:t>
            </w:r>
            <w:proofErr w:type="spellEnd"/>
          </w:p>
        </w:tc>
        <w:tc>
          <w:tcPr>
            <w:tcW w:w="476" w:type="dxa"/>
            <w:tcBorders>
              <w:left w:val="single" w:color="auto" w:sz="4" w:space="0"/>
            </w:tcBorders>
            <w:noWrap/>
            <w:vAlign w:val="center"/>
            <w:hideMark/>
          </w:tcPr>
          <w:p w:rsidR="00681493" w:rsidP="00D63558" w:rsidRDefault="00681493" w14:paraId="4C85A87A" w14:textId="77777777">
            <w:pPr>
              <w:jc w:val="center"/>
              <w:rPr>
                <w:color w:val="006100"/>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E9D24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2D8CC2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0C0A7C6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95246FF" w14:textId="77777777">
            <w:pPr>
              <w:jc w:val="center"/>
              <w:rPr>
                <w:color w:val="006100"/>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347A49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52543C1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04916A8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59AFF39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E21A7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C268E9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6E38142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786B423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5D8FF0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0BD1D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622506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4175F08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vAlign w:val="center"/>
            <w:hideMark/>
          </w:tcPr>
          <w:p w:rsidR="00681493" w:rsidP="00D63558" w:rsidRDefault="00681493" w14:paraId="649A2B96"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7275D4AF"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198811AC"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41AC456" w14:textId="77777777">
            <w:pPr>
              <w:rPr>
                <w:color w:val="000000"/>
                <w:sz w:val="18"/>
                <w:szCs w:val="18"/>
                <w:lang w:eastAsia="es-ES"/>
              </w:rPr>
            </w:pPr>
            <w:r>
              <w:rPr>
                <w:color w:val="000000"/>
                <w:sz w:val="18"/>
                <w:szCs w:val="18"/>
                <w:lang w:eastAsia="es-ES"/>
              </w:rPr>
              <w:t>1.1.1.3.1.1.</w:t>
            </w:r>
            <w:r>
              <w:rPr>
                <w:i/>
                <w:color w:val="000000"/>
                <w:sz w:val="18"/>
                <w:szCs w:val="18"/>
                <w:lang w:eastAsia="es-ES"/>
              </w:rPr>
              <w:t xml:space="preserve">Faecalibacterium </w:t>
            </w:r>
            <w:proofErr w:type="spellStart"/>
            <w:r>
              <w:rPr>
                <w:i/>
                <w:color w:val="000000"/>
                <w:sz w:val="18"/>
                <w:szCs w:val="18"/>
                <w:lang w:eastAsia="es-ES"/>
              </w:rPr>
              <w:t>prausnitzii</w:t>
            </w:r>
            <w:proofErr w:type="spellEnd"/>
          </w:p>
        </w:tc>
        <w:tc>
          <w:tcPr>
            <w:tcW w:w="476" w:type="dxa"/>
            <w:tcBorders>
              <w:left w:val="single" w:color="auto" w:sz="4" w:space="0"/>
            </w:tcBorders>
            <w:shd w:val="clear" w:color="auto" w:fill="C6EFCE"/>
            <w:noWrap/>
            <w:vAlign w:val="center"/>
            <w:hideMark/>
          </w:tcPr>
          <w:p w:rsidR="00681493" w:rsidP="00D63558" w:rsidRDefault="00681493" w14:paraId="61EACA57" w14:textId="77777777">
            <w:pPr>
              <w:jc w:val="center"/>
              <w:rPr>
                <w:color w:val="006100"/>
                <w:sz w:val="18"/>
                <w:szCs w:val="18"/>
                <w:lang w:eastAsia="es-ES"/>
              </w:rPr>
            </w:pPr>
            <w:r>
              <w:rPr>
                <w:color w:val="006100"/>
                <w:sz w:val="18"/>
                <w:szCs w:val="18"/>
                <w:lang w:eastAsia="es-ES"/>
              </w:rPr>
              <w:t>+</w:t>
            </w:r>
          </w:p>
        </w:tc>
        <w:tc>
          <w:tcPr>
            <w:tcW w:w="566" w:type="dxa"/>
            <w:noWrap/>
            <w:vAlign w:val="center"/>
            <w:hideMark/>
          </w:tcPr>
          <w:p w:rsidR="00681493" w:rsidP="00D63558" w:rsidRDefault="00681493" w14:paraId="0761672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3EBF7DE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34D602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shd w:val="clear" w:color="auto" w:fill="C6EFCE"/>
            <w:noWrap/>
            <w:vAlign w:val="center"/>
            <w:hideMark/>
          </w:tcPr>
          <w:p w:rsidR="00681493" w:rsidP="00D63558" w:rsidRDefault="00681493" w14:paraId="5A6FA212" w14:textId="77777777">
            <w:pPr>
              <w:jc w:val="center"/>
              <w:rPr>
                <w:color w:val="006100"/>
                <w:sz w:val="18"/>
                <w:szCs w:val="18"/>
                <w:lang w:eastAsia="es-ES"/>
              </w:rPr>
            </w:pPr>
            <w:r>
              <w:rPr>
                <w:color w:val="006100"/>
                <w:sz w:val="18"/>
                <w:szCs w:val="18"/>
                <w:lang w:eastAsia="es-ES"/>
              </w:rPr>
              <w:t>+</w:t>
            </w:r>
          </w:p>
        </w:tc>
        <w:tc>
          <w:tcPr>
            <w:tcW w:w="760" w:type="dxa"/>
            <w:vAlign w:val="center"/>
            <w:hideMark/>
          </w:tcPr>
          <w:p w:rsidR="00681493" w:rsidP="00D63558" w:rsidRDefault="00681493" w14:paraId="07A972D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0AA693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37335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65E7052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6ABD92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059C5B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5A6671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2717A39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0EC01D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091080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593012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2447FD0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8C32BD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60A0AB02"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2D6D27E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4FA072CD" w14:textId="77777777">
            <w:pPr>
              <w:rPr>
                <w:color w:val="000000"/>
                <w:sz w:val="18"/>
                <w:szCs w:val="18"/>
                <w:lang w:eastAsia="es-ES"/>
              </w:rPr>
            </w:pPr>
            <w:r>
              <w:rPr>
                <w:color w:val="000000"/>
                <w:sz w:val="18"/>
                <w:szCs w:val="18"/>
                <w:lang w:eastAsia="es-ES"/>
              </w:rPr>
              <w:t>1.1.1.3.5.1.</w:t>
            </w:r>
            <w:r>
              <w:rPr>
                <w:i/>
                <w:color w:val="000000"/>
                <w:sz w:val="18"/>
                <w:szCs w:val="18"/>
                <w:lang w:eastAsia="es-ES"/>
              </w:rPr>
              <w:t xml:space="preserve">Ruminococcus </w:t>
            </w:r>
            <w:proofErr w:type="spellStart"/>
            <w:r>
              <w:rPr>
                <w:i/>
                <w:color w:val="000000"/>
                <w:sz w:val="18"/>
                <w:szCs w:val="18"/>
                <w:lang w:eastAsia="es-ES"/>
              </w:rPr>
              <w:t>bicirculans</w:t>
            </w:r>
            <w:proofErr w:type="spellEnd"/>
          </w:p>
        </w:tc>
        <w:tc>
          <w:tcPr>
            <w:tcW w:w="476" w:type="dxa"/>
            <w:tcBorders>
              <w:left w:val="single" w:color="auto" w:sz="4" w:space="0"/>
            </w:tcBorders>
            <w:noWrap/>
            <w:vAlign w:val="center"/>
            <w:hideMark/>
          </w:tcPr>
          <w:p w:rsidR="00681493" w:rsidP="00D63558" w:rsidRDefault="00681493" w14:paraId="596110E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7BD2D72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295779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1B1AD0E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ECDD6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69AA2A5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02716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69B31B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ACE370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5421FEA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7342BD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678357CF"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34CC859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252D4F6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64B73E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27A9AD0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35F85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C6EFCE"/>
            <w:vAlign w:val="center"/>
            <w:hideMark/>
          </w:tcPr>
          <w:p w:rsidR="00681493" w:rsidP="00D63558" w:rsidRDefault="00681493" w14:paraId="729887DA" w14:textId="77777777">
            <w:pPr>
              <w:jc w:val="center"/>
              <w:rPr>
                <w:color w:val="A6A6A6" w:themeColor="background1" w:themeShade="A6"/>
                <w:sz w:val="18"/>
                <w:szCs w:val="18"/>
                <w:lang w:eastAsia="es-ES"/>
              </w:rPr>
            </w:pPr>
            <w:r>
              <w:rPr>
                <w:color w:val="006100"/>
                <w:sz w:val="18"/>
                <w:szCs w:val="18"/>
                <w:lang w:eastAsia="es-ES"/>
              </w:rPr>
              <w:t>+</w:t>
            </w:r>
          </w:p>
        </w:tc>
      </w:tr>
      <w:tr w:rsidR="00681493" w:rsidTr="00D63558" w14:paraId="6F025CE6"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0ECD4C76"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74FB1172" w14:textId="77777777">
            <w:pPr>
              <w:rPr>
                <w:color w:val="000000"/>
                <w:sz w:val="18"/>
                <w:szCs w:val="18"/>
                <w:lang w:eastAsia="es-ES"/>
              </w:rPr>
            </w:pPr>
            <w:r>
              <w:rPr>
                <w:color w:val="000000"/>
                <w:sz w:val="18"/>
                <w:szCs w:val="18"/>
                <w:lang w:eastAsia="es-ES"/>
              </w:rPr>
              <w:t>2.1.1.3.1.1.</w:t>
            </w:r>
            <w:r>
              <w:rPr>
                <w:i/>
                <w:color w:val="000000"/>
                <w:sz w:val="18"/>
                <w:szCs w:val="18"/>
                <w:lang w:eastAsia="es-ES"/>
              </w:rPr>
              <w:t xml:space="preserve">Prevotella </w:t>
            </w:r>
            <w:proofErr w:type="spellStart"/>
            <w:r>
              <w:rPr>
                <w:i/>
                <w:color w:val="000000"/>
                <w:sz w:val="18"/>
                <w:szCs w:val="18"/>
                <w:lang w:eastAsia="es-ES"/>
              </w:rPr>
              <w:t>copri</w:t>
            </w:r>
            <w:proofErr w:type="spellEnd"/>
          </w:p>
        </w:tc>
        <w:tc>
          <w:tcPr>
            <w:tcW w:w="476" w:type="dxa"/>
            <w:tcBorders>
              <w:left w:val="single" w:color="auto" w:sz="4" w:space="0"/>
            </w:tcBorders>
            <w:noWrap/>
            <w:vAlign w:val="center"/>
            <w:hideMark/>
          </w:tcPr>
          <w:p w:rsidR="00681493" w:rsidP="00D63558" w:rsidRDefault="00681493" w14:paraId="5ED946A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5078B22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4157B6E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5D104D8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557B01D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6B019D9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3807B4E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1AB4A05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1E791F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27C5B34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667C2A7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44754E53"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634AAA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426CB37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5F2E888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73916F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0431B1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shd w:val="clear" w:color="auto" w:fill="FFC7CE"/>
            <w:vAlign w:val="center"/>
            <w:hideMark/>
          </w:tcPr>
          <w:p w:rsidR="00681493" w:rsidP="00D63558" w:rsidRDefault="00681493" w14:paraId="0181E387" w14:textId="77777777">
            <w:pPr>
              <w:jc w:val="center"/>
              <w:rPr>
                <w:color w:val="A6A6A6" w:themeColor="background1" w:themeShade="A6"/>
                <w:sz w:val="18"/>
                <w:szCs w:val="18"/>
                <w:lang w:eastAsia="es-ES"/>
              </w:rPr>
            </w:pPr>
            <w:r>
              <w:rPr>
                <w:color w:val="9C0006"/>
                <w:sz w:val="18"/>
                <w:szCs w:val="18"/>
                <w:lang w:eastAsia="es-ES"/>
              </w:rPr>
              <w:t>-</w:t>
            </w:r>
          </w:p>
        </w:tc>
      </w:tr>
      <w:tr w:rsidR="00681493" w:rsidTr="00D63558" w14:paraId="15BDF349"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48B2DFDD"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142ED7E" w14:textId="77777777">
            <w:pPr>
              <w:rPr>
                <w:color w:val="000000"/>
                <w:sz w:val="18"/>
                <w:szCs w:val="18"/>
                <w:lang w:eastAsia="es-ES"/>
              </w:rPr>
            </w:pPr>
            <w:r>
              <w:rPr>
                <w:color w:val="000000"/>
                <w:sz w:val="18"/>
                <w:szCs w:val="18"/>
                <w:lang w:eastAsia="es-ES"/>
              </w:rPr>
              <w:t>2.1.1.6.1.1.</w:t>
            </w:r>
            <w:r>
              <w:rPr>
                <w:i/>
                <w:color w:val="000000"/>
                <w:sz w:val="18"/>
                <w:szCs w:val="18"/>
                <w:lang w:eastAsia="es-ES"/>
              </w:rPr>
              <w:t xml:space="preserve">Bacteroides </w:t>
            </w:r>
            <w:proofErr w:type="spellStart"/>
            <w:r>
              <w:rPr>
                <w:i/>
                <w:color w:val="000000"/>
                <w:sz w:val="18"/>
                <w:szCs w:val="18"/>
                <w:lang w:eastAsia="es-ES"/>
              </w:rPr>
              <w:t>finegoldii</w:t>
            </w:r>
            <w:proofErr w:type="spellEnd"/>
          </w:p>
        </w:tc>
        <w:tc>
          <w:tcPr>
            <w:tcW w:w="476" w:type="dxa"/>
            <w:tcBorders>
              <w:left w:val="single" w:color="auto" w:sz="4" w:space="0"/>
            </w:tcBorders>
            <w:noWrap/>
            <w:vAlign w:val="center"/>
            <w:hideMark/>
          </w:tcPr>
          <w:p w:rsidR="00681493" w:rsidP="00D63558" w:rsidRDefault="00681493" w14:paraId="4F9DA3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6DA310E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23CC1E5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8B416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5FDC20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1AD3C60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4961576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3664031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5D71A9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1823E4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3F4891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473BA719"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568633F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758441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6DE3027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8E2340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58F284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6ADF5B4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7809D6A8"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332B036C" w14:textId="77777777">
            <w:pPr>
              <w:rPr>
                <w:b/>
                <w:color w:val="000000"/>
                <w:sz w:val="18"/>
                <w:szCs w:val="18"/>
                <w:lang w:eastAsia="es-ES"/>
              </w:rPr>
            </w:pPr>
          </w:p>
        </w:tc>
        <w:tc>
          <w:tcPr>
            <w:tcW w:w="3409" w:type="dxa"/>
            <w:tcBorders>
              <w:right w:val="single" w:color="auto" w:sz="4" w:space="0"/>
            </w:tcBorders>
            <w:noWrap/>
            <w:vAlign w:val="bottom"/>
            <w:hideMark/>
          </w:tcPr>
          <w:p w:rsidR="00681493" w:rsidP="00D63558" w:rsidRDefault="00681493" w14:paraId="142F2027" w14:textId="77777777">
            <w:pPr>
              <w:rPr>
                <w:color w:val="000000"/>
                <w:sz w:val="18"/>
                <w:szCs w:val="18"/>
                <w:lang w:eastAsia="es-ES"/>
              </w:rPr>
            </w:pPr>
            <w:r>
              <w:rPr>
                <w:color w:val="000000"/>
                <w:sz w:val="18"/>
                <w:szCs w:val="18"/>
                <w:lang w:eastAsia="es-ES"/>
              </w:rPr>
              <w:t>3.2.1.1.1.1.</w:t>
            </w:r>
            <w:r>
              <w:rPr>
                <w:i/>
                <w:color w:val="000000"/>
                <w:sz w:val="18"/>
                <w:szCs w:val="18"/>
                <w:lang w:eastAsia="es-ES"/>
              </w:rPr>
              <w:t xml:space="preserve">Collinsella </w:t>
            </w:r>
            <w:proofErr w:type="spellStart"/>
            <w:r>
              <w:rPr>
                <w:i/>
                <w:color w:val="000000"/>
                <w:sz w:val="18"/>
                <w:szCs w:val="18"/>
                <w:lang w:eastAsia="es-ES"/>
              </w:rPr>
              <w:t>aerofaciens</w:t>
            </w:r>
            <w:proofErr w:type="spellEnd"/>
          </w:p>
        </w:tc>
        <w:tc>
          <w:tcPr>
            <w:tcW w:w="476" w:type="dxa"/>
            <w:tcBorders>
              <w:left w:val="single" w:color="auto" w:sz="4" w:space="0"/>
            </w:tcBorders>
            <w:noWrap/>
            <w:vAlign w:val="center"/>
            <w:hideMark/>
          </w:tcPr>
          <w:p w:rsidR="00681493" w:rsidP="00D63558" w:rsidRDefault="00681493" w14:paraId="6EF12A7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34F62CA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noWrap/>
            <w:vAlign w:val="center"/>
            <w:hideMark/>
          </w:tcPr>
          <w:p w:rsidR="00681493" w:rsidP="00D63558" w:rsidRDefault="00681493" w14:paraId="631D045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noWrap/>
            <w:vAlign w:val="center"/>
            <w:hideMark/>
          </w:tcPr>
          <w:p w:rsidR="00681493" w:rsidP="00D63558" w:rsidRDefault="00681493" w14:paraId="6B3BBA5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6D67B14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3E08FA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noWrap/>
            <w:vAlign w:val="center"/>
            <w:hideMark/>
          </w:tcPr>
          <w:p w:rsidR="00681493" w:rsidP="00D63558" w:rsidRDefault="00681493" w14:paraId="7987E7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noWrap/>
            <w:vAlign w:val="center"/>
            <w:hideMark/>
          </w:tcPr>
          <w:p w:rsidR="00681493" w:rsidP="00D63558" w:rsidRDefault="00681493" w14:paraId="6DCBADB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9D54CD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46F1562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3382062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shd w:val="clear" w:color="auto" w:fill="C6EFCE"/>
            <w:noWrap/>
            <w:vAlign w:val="center"/>
            <w:hideMark/>
          </w:tcPr>
          <w:p w:rsidR="00681493" w:rsidP="00D63558" w:rsidRDefault="00681493" w14:paraId="1E330207" w14:textId="77777777">
            <w:pPr>
              <w:jc w:val="center"/>
              <w:rPr>
                <w:color w:val="006100"/>
                <w:sz w:val="18"/>
                <w:szCs w:val="18"/>
                <w:lang w:eastAsia="es-ES"/>
              </w:rPr>
            </w:pPr>
            <w:r>
              <w:rPr>
                <w:color w:val="006100"/>
                <w:sz w:val="18"/>
                <w:szCs w:val="18"/>
                <w:lang w:eastAsia="es-ES"/>
              </w:rPr>
              <w:t>+</w:t>
            </w:r>
          </w:p>
        </w:tc>
        <w:tc>
          <w:tcPr>
            <w:tcW w:w="478" w:type="dxa"/>
            <w:tcBorders>
              <w:top w:val="nil"/>
              <w:left w:val="nil"/>
              <w:bottom w:val="nil"/>
              <w:right w:val="dashed" w:color="auto" w:sz="4" w:space="0"/>
            </w:tcBorders>
            <w:vAlign w:val="center"/>
            <w:hideMark/>
          </w:tcPr>
          <w:p w:rsidR="00681493" w:rsidP="00D63558" w:rsidRDefault="00681493" w14:paraId="25E183B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noWrap/>
            <w:vAlign w:val="center"/>
            <w:hideMark/>
          </w:tcPr>
          <w:p w:rsidR="00681493" w:rsidP="00D63558" w:rsidRDefault="00681493" w14:paraId="5785B2C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noWrap/>
            <w:vAlign w:val="center"/>
            <w:hideMark/>
          </w:tcPr>
          <w:p w:rsidR="00681493" w:rsidP="00D63558" w:rsidRDefault="00681493" w14:paraId="3F2967B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327BEFD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57AD766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34A34E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382F8B44" w14:textId="77777777">
        <w:trPr>
          <w:trHeight w:val="300"/>
        </w:trPr>
        <w:tc>
          <w:tcPr>
            <w:tcW w:w="429" w:type="dxa"/>
            <w:vMerge/>
            <w:tcBorders>
              <w:top w:val="single" w:color="auto" w:sz="4" w:space="0"/>
              <w:left w:val="nil"/>
              <w:bottom w:val="single" w:color="auto" w:sz="4" w:space="0"/>
              <w:right w:val="nil"/>
            </w:tcBorders>
            <w:vAlign w:val="center"/>
            <w:hideMark/>
          </w:tcPr>
          <w:p w:rsidR="00681493" w:rsidP="00D63558" w:rsidRDefault="00681493" w14:paraId="2C7CDDE6" w14:textId="77777777">
            <w:pPr>
              <w:rPr>
                <w:b/>
                <w:color w:val="000000"/>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4D598590" w14:textId="77777777">
            <w:pPr>
              <w:rPr>
                <w:color w:val="000000"/>
                <w:sz w:val="18"/>
                <w:szCs w:val="18"/>
                <w:lang w:eastAsia="es-ES"/>
              </w:rPr>
            </w:pPr>
            <w:r>
              <w:rPr>
                <w:color w:val="000000"/>
                <w:sz w:val="18"/>
                <w:szCs w:val="18"/>
                <w:lang w:eastAsia="es-ES"/>
              </w:rPr>
              <w:t>5.1.1.1.1.1.</w:t>
            </w:r>
            <w:r>
              <w:rPr>
                <w:i/>
                <w:color w:val="000000"/>
                <w:sz w:val="18"/>
                <w:szCs w:val="18"/>
                <w:lang w:eastAsia="es-ES"/>
              </w:rPr>
              <w:t xml:space="preserve">Akkermansia </w:t>
            </w:r>
            <w:proofErr w:type="spellStart"/>
            <w:r>
              <w:rPr>
                <w:i/>
                <w:color w:val="000000"/>
                <w:sz w:val="18"/>
                <w:szCs w:val="18"/>
                <w:lang w:eastAsia="es-ES"/>
              </w:rPr>
              <w:t>muciniphila</w:t>
            </w:r>
            <w:proofErr w:type="spellEnd"/>
            <w:r>
              <w:rPr>
                <w:color w:val="000000"/>
                <w:sz w:val="18"/>
                <w:szCs w:val="18"/>
                <w:lang w:eastAsia="es-ES"/>
              </w:rPr>
              <w:t xml:space="preserve"> </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7E65CA5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noWrap/>
            <w:vAlign w:val="center"/>
            <w:hideMark/>
          </w:tcPr>
          <w:p w:rsidR="00681493" w:rsidP="00D63558" w:rsidRDefault="00681493" w14:paraId="220F599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nil"/>
              <w:left w:val="nil"/>
              <w:bottom w:val="single" w:color="auto" w:sz="2" w:space="0"/>
              <w:right w:val="nil"/>
            </w:tcBorders>
            <w:noWrap/>
            <w:vAlign w:val="center"/>
            <w:hideMark/>
          </w:tcPr>
          <w:p w:rsidR="00681493" w:rsidP="00D63558" w:rsidRDefault="00681493" w14:paraId="41EC0F4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1812FD7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shd w:val="clear" w:color="auto" w:fill="C6EFCE"/>
            <w:noWrap/>
            <w:vAlign w:val="center"/>
            <w:hideMark/>
          </w:tcPr>
          <w:p w:rsidR="00681493" w:rsidP="00D63558" w:rsidRDefault="00681493" w14:paraId="2B91D269" w14:textId="77777777">
            <w:pPr>
              <w:jc w:val="center"/>
              <w:rPr>
                <w:color w:val="006100"/>
                <w:sz w:val="18"/>
                <w:szCs w:val="18"/>
                <w:lang w:eastAsia="es-ES"/>
              </w:rPr>
            </w:pPr>
            <w:r>
              <w:rPr>
                <w:color w:val="006100"/>
                <w:sz w:val="18"/>
                <w:szCs w:val="18"/>
                <w:lang w:eastAsia="es-ES"/>
              </w:rPr>
              <w:t>+</w:t>
            </w:r>
          </w:p>
        </w:tc>
        <w:tc>
          <w:tcPr>
            <w:tcW w:w="760" w:type="dxa"/>
            <w:tcBorders>
              <w:top w:val="nil"/>
              <w:left w:val="nil"/>
              <w:bottom w:val="single" w:color="auto" w:sz="2" w:space="0"/>
              <w:right w:val="nil"/>
            </w:tcBorders>
            <w:vAlign w:val="center"/>
            <w:hideMark/>
          </w:tcPr>
          <w:p w:rsidR="00681493" w:rsidP="00D63558" w:rsidRDefault="00681493" w14:paraId="1441D16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noWrap/>
            <w:vAlign w:val="center"/>
            <w:hideMark/>
          </w:tcPr>
          <w:p w:rsidR="00681493" w:rsidP="00D63558" w:rsidRDefault="00681493" w14:paraId="3C0A117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74" w:type="dxa"/>
            <w:tcBorders>
              <w:top w:val="nil"/>
              <w:left w:val="nil"/>
              <w:bottom w:val="single" w:color="auto" w:sz="2" w:space="0"/>
              <w:right w:val="nil"/>
            </w:tcBorders>
            <w:noWrap/>
            <w:vAlign w:val="center"/>
            <w:hideMark/>
          </w:tcPr>
          <w:p w:rsidR="00681493" w:rsidP="00D63558" w:rsidRDefault="00681493" w14:paraId="694BCD0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1C0663F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3C36827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12386A8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2" w:space="0"/>
              <w:right w:val="nil"/>
            </w:tcBorders>
            <w:noWrap/>
            <w:vAlign w:val="center"/>
            <w:hideMark/>
          </w:tcPr>
          <w:p w:rsidR="00681493" w:rsidP="00D63558" w:rsidRDefault="00681493" w14:paraId="195C49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vAlign w:val="center"/>
            <w:hideMark/>
          </w:tcPr>
          <w:p w:rsidR="00681493" w:rsidP="00D63558" w:rsidRDefault="00681493" w14:paraId="0485991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144E375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17AD920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2" w:space="0"/>
              <w:right w:val="nil"/>
            </w:tcBorders>
            <w:noWrap/>
            <w:vAlign w:val="center"/>
            <w:hideMark/>
          </w:tcPr>
          <w:p w:rsidR="00681493" w:rsidP="00D63558" w:rsidRDefault="00681493" w14:paraId="78C790F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vAlign w:val="center"/>
            <w:hideMark/>
          </w:tcPr>
          <w:p w:rsidR="00681493" w:rsidP="00D63558" w:rsidRDefault="00681493" w14:paraId="1B1275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vAlign w:val="center"/>
            <w:hideMark/>
          </w:tcPr>
          <w:p w:rsidR="00681493" w:rsidP="00D63558" w:rsidRDefault="00681493" w14:paraId="2E42151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D36295A" w14:textId="77777777">
        <w:trPr>
          <w:trHeight w:val="300"/>
        </w:trPr>
        <w:tc>
          <w:tcPr>
            <w:tcW w:w="429" w:type="dxa"/>
            <w:vMerge w:val="restart"/>
            <w:tcBorders>
              <w:top w:val="single" w:color="auto" w:sz="4" w:space="0"/>
              <w:left w:val="nil"/>
              <w:bottom w:val="single" w:color="auto" w:sz="2" w:space="0"/>
              <w:right w:val="nil"/>
            </w:tcBorders>
            <w:noWrap/>
            <w:textDirection w:val="btLr"/>
            <w:vAlign w:val="center"/>
            <w:hideMark/>
          </w:tcPr>
          <w:p w:rsidR="00681493" w:rsidP="00D63558" w:rsidRDefault="00681493" w14:paraId="12FE71DE" w14:textId="77777777">
            <w:pPr>
              <w:jc w:val="center"/>
              <w:rPr>
                <w:b/>
                <w:color w:val="FFFFFF"/>
                <w:sz w:val="18"/>
                <w:szCs w:val="18"/>
                <w:lang w:eastAsia="es-ES"/>
              </w:rPr>
            </w:pPr>
            <w:r>
              <w:rPr>
                <w:b/>
                <w:sz w:val="18"/>
                <w:szCs w:val="18"/>
                <w:lang w:eastAsia="es-ES"/>
              </w:rPr>
              <w:t>SCFAs</w:t>
            </w:r>
          </w:p>
        </w:tc>
        <w:tc>
          <w:tcPr>
            <w:tcW w:w="3409" w:type="dxa"/>
            <w:tcBorders>
              <w:top w:val="single" w:color="auto" w:sz="2" w:space="0"/>
              <w:left w:val="nil"/>
              <w:bottom w:val="nil"/>
              <w:right w:val="single" w:color="auto" w:sz="4" w:space="0"/>
            </w:tcBorders>
            <w:noWrap/>
            <w:vAlign w:val="bottom"/>
            <w:hideMark/>
          </w:tcPr>
          <w:p w:rsidR="00681493" w:rsidP="00D63558" w:rsidRDefault="00681493" w14:paraId="46631409" w14:textId="77777777">
            <w:pPr>
              <w:rPr>
                <w:color w:val="000000"/>
                <w:sz w:val="18"/>
                <w:szCs w:val="18"/>
                <w:lang w:eastAsia="es-ES"/>
              </w:rPr>
            </w:pPr>
            <w:r>
              <w:rPr>
                <w:color w:val="000000"/>
                <w:sz w:val="18"/>
                <w:szCs w:val="18"/>
                <w:lang w:eastAsia="es-ES"/>
              </w:rPr>
              <w:t xml:space="preserve">1.Propionate </w:t>
            </w:r>
          </w:p>
        </w:tc>
        <w:tc>
          <w:tcPr>
            <w:tcW w:w="476" w:type="dxa"/>
            <w:tcBorders>
              <w:top w:val="single" w:color="auto" w:sz="2" w:space="0"/>
              <w:left w:val="single" w:color="auto" w:sz="4" w:space="0"/>
              <w:bottom w:val="nil"/>
              <w:right w:val="nil"/>
            </w:tcBorders>
            <w:noWrap/>
            <w:vAlign w:val="center"/>
            <w:hideMark/>
          </w:tcPr>
          <w:p w:rsidR="00681493" w:rsidP="00D63558" w:rsidRDefault="00681493" w14:paraId="6204748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noWrap/>
            <w:vAlign w:val="center"/>
            <w:hideMark/>
          </w:tcPr>
          <w:p w:rsidR="00681493" w:rsidP="00D63558" w:rsidRDefault="00681493" w14:paraId="5FF8833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single" w:color="auto" w:sz="2" w:space="0"/>
              <w:left w:val="nil"/>
              <w:bottom w:val="nil"/>
              <w:right w:val="nil"/>
            </w:tcBorders>
            <w:shd w:val="clear" w:color="auto" w:fill="FFC7CE"/>
            <w:noWrap/>
            <w:vAlign w:val="center"/>
            <w:hideMark/>
          </w:tcPr>
          <w:p w:rsidR="00681493" w:rsidP="00D63558" w:rsidRDefault="00681493" w14:paraId="5BCFAD93" w14:textId="77777777">
            <w:pPr>
              <w:jc w:val="center"/>
              <w:rPr>
                <w:color w:val="9C0006"/>
                <w:sz w:val="18"/>
                <w:szCs w:val="18"/>
                <w:lang w:eastAsia="es-ES"/>
              </w:rPr>
            </w:pPr>
            <w:r>
              <w:rPr>
                <w:color w:val="9C0006"/>
                <w:sz w:val="18"/>
                <w:szCs w:val="18"/>
                <w:lang w:eastAsia="es-ES"/>
              </w:rPr>
              <w:t>-</w:t>
            </w:r>
          </w:p>
        </w:tc>
        <w:tc>
          <w:tcPr>
            <w:tcW w:w="541" w:type="dxa"/>
            <w:tcBorders>
              <w:top w:val="single" w:color="auto" w:sz="2" w:space="0"/>
              <w:left w:val="nil"/>
              <w:bottom w:val="nil"/>
              <w:right w:val="nil"/>
            </w:tcBorders>
            <w:noWrap/>
            <w:vAlign w:val="center"/>
            <w:hideMark/>
          </w:tcPr>
          <w:p w:rsidR="00681493" w:rsidP="00D63558" w:rsidRDefault="00681493" w14:paraId="4942C84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single" w:color="auto" w:sz="2" w:space="0"/>
              <w:left w:val="nil"/>
              <w:bottom w:val="nil"/>
              <w:right w:val="nil"/>
            </w:tcBorders>
            <w:noWrap/>
            <w:vAlign w:val="center"/>
            <w:hideMark/>
          </w:tcPr>
          <w:p w:rsidR="00681493" w:rsidP="00D63558" w:rsidRDefault="00681493" w14:paraId="2209360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single" w:color="auto" w:sz="2" w:space="0"/>
              <w:left w:val="nil"/>
              <w:bottom w:val="nil"/>
              <w:right w:val="nil"/>
            </w:tcBorders>
            <w:vAlign w:val="center"/>
            <w:hideMark/>
          </w:tcPr>
          <w:p w:rsidR="00681493" w:rsidP="00D63558" w:rsidRDefault="00681493" w14:paraId="5669E71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single" w:color="auto" w:sz="2" w:space="0"/>
              <w:left w:val="nil"/>
              <w:bottom w:val="nil"/>
              <w:right w:val="nil"/>
            </w:tcBorders>
            <w:shd w:val="clear" w:color="auto" w:fill="C6EFCE"/>
            <w:noWrap/>
            <w:vAlign w:val="center"/>
            <w:hideMark/>
          </w:tcPr>
          <w:p w:rsidR="00681493" w:rsidP="00D63558" w:rsidRDefault="00681493" w14:paraId="37D3E4BB" w14:textId="77777777">
            <w:pPr>
              <w:jc w:val="center"/>
              <w:rPr>
                <w:color w:val="006100"/>
                <w:sz w:val="18"/>
                <w:szCs w:val="18"/>
                <w:lang w:eastAsia="es-ES"/>
              </w:rPr>
            </w:pPr>
            <w:r>
              <w:rPr>
                <w:color w:val="006100"/>
                <w:sz w:val="18"/>
                <w:szCs w:val="18"/>
                <w:lang w:eastAsia="es-ES"/>
              </w:rPr>
              <w:t>+</w:t>
            </w:r>
          </w:p>
        </w:tc>
        <w:tc>
          <w:tcPr>
            <w:tcW w:w="574" w:type="dxa"/>
            <w:tcBorders>
              <w:top w:val="single" w:color="auto" w:sz="2" w:space="0"/>
              <w:left w:val="nil"/>
              <w:bottom w:val="nil"/>
              <w:right w:val="nil"/>
            </w:tcBorders>
            <w:noWrap/>
            <w:vAlign w:val="center"/>
            <w:hideMark/>
          </w:tcPr>
          <w:p w:rsidR="00681493" w:rsidP="00D63558" w:rsidRDefault="00681493" w14:paraId="56FA9F5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single" w:color="auto" w:sz="2" w:space="0"/>
              <w:left w:val="nil"/>
              <w:bottom w:val="nil"/>
              <w:right w:val="dashed" w:color="auto" w:sz="4" w:space="0"/>
            </w:tcBorders>
            <w:noWrap/>
            <w:vAlign w:val="center"/>
            <w:hideMark/>
          </w:tcPr>
          <w:p w:rsidR="00681493" w:rsidP="00D63558" w:rsidRDefault="00681493" w14:paraId="67BEC7E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single" w:color="auto" w:sz="2" w:space="0"/>
              <w:left w:val="dashed" w:color="auto" w:sz="4" w:space="0"/>
              <w:bottom w:val="nil"/>
              <w:right w:val="nil"/>
            </w:tcBorders>
            <w:noWrap/>
            <w:vAlign w:val="center"/>
            <w:hideMark/>
          </w:tcPr>
          <w:p w:rsidR="00681493" w:rsidP="00D63558" w:rsidRDefault="00681493" w14:paraId="1D07F53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single" w:color="auto" w:sz="2" w:space="0"/>
              <w:left w:val="nil"/>
              <w:bottom w:val="nil"/>
              <w:right w:val="nil"/>
            </w:tcBorders>
            <w:noWrap/>
            <w:vAlign w:val="center"/>
            <w:hideMark/>
          </w:tcPr>
          <w:p w:rsidR="00681493" w:rsidP="00D63558" w:rsidRDefault="00681493" w14:paraId="5555E71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single" w:color="auto" w:sz="2" w:space="0"/>
              <w:left w:val="nil"/>
              <w:bottom w:val="nil"/>
              <w:right w:val="nil"/>
            </w:tcBorders>
            <w:noWrap/>
            <w:vAlign w:val="center"/>
            <w:hideMark/>
          </w:tcPr>
          <w:p w:rsidR="00681493" w:rsidP="00D63558" w:rsidRDefault="00681493" w14:paraId="5B90119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single" w:color="auto" w:sz="2" w:space="0"/>
              <w:left w:val="nil"/>
              <w:bottom w:val="nil"/>
              <w:right w:val="dashed" w:color="auto" w:sz="4" w:space="0"/>
            </w:tcBorders>
            <w:vAlign w:val="center"/>
            <w:hideMark/>
          </w:tcPr>
          <w:p w:rsidR="00681493" w:rsidP="00D63558" w:rsidRDefault="00681493" w14:paraId="410071D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single" w:color="auto" w:sz="2" w:space="0"/>
              <w:left w:val="dashed" w:color="auto" w:sz="4" w:space="0"/>
              <w:bottom w:val="nil"/>
              <w:right w:val="nil"/>
            </w:tcBorders>
            <w:noWrap/>
            <w:vAlign w:val="center"/>
            <w:hideMark/>
          </w:tcPr>
          <w:p w:rsidR="00681493" w:rsidP="00D63558" w:rsidRDefault="00681493" w14:paraId="491C8C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noWrap/>
            <w:vAlign w:val="center"/>
            <w:hideMark/>
          </w:tcPr>
          <w:p w:rsidR="00681493" w:rsidP="00D63558" w:rsidRDefault="00681493" w14:paraId="67439EA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single" w:color="auto" w:sz="2" w:space="0"/>
              <w:left w:val="nil"/>
              <w:bottom w:val="nil"/>
              <w:right w:val="nil"/>
            </w:tcBorders>
            <w:noWrap/>
            <w:vAlign w:val="center"/>
            <w:hideMark/>
          </w:tcPr>
          <w:p w:rsidR="00681493" w:rsidP="00D63558" w:rsidRDefault="00681493" w14:paraId="2829D5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single" w:color="auto" w:sz="2" w:space="0"/>
              <w:left w:val="nil"/>
              <w:bottom w:val="nil"/>
              <w:right w:val="nil"/>
            </w:tcBorders>
            <w:vAlign w:val="center"/>
            <w:hideMark/>
          </w:tcPr>
          <w:p w:rsidR="00681493" w:rsidP="00D63558" w:rsidRDefault="00681493" w14:paraId="67E29E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single" w:color="auto" w:sz="2" w:space="0"/>
              <w:left w:val="nil"/>
              <w:bottom w:val="nil"/>
              <w:right w:val="nil"/>
            </w:tcBorders>
            <w:vAlign w:val="center"/>
            <w:hideMark/>
          </w:tcPr>
          <w:p w:rsidR="00681493" w:rsidP="00D63558" w:rsidRDefault="00681493" w14:paraId="7BEA0E5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11BBF786" w14:textId="77777777">
        <w:trPr>
          <w:trHeight w:val="300"/>
        </w:trPr>
        <w:tc>
          <w:tcPr>
            <w:tcW w:w="429" w:type="dxa"/>
            <w:vMerge/>
            <w:tcBorders>
              <w:top w:val="single" w:color="auto" w:sz="4" w:space="0"/>
              <w:left w:val="nil"/>
              <w:bottom w:val="single" w:color="auto" w:sz="2" w:space="0"/>
              <w:right w:val="nil"/>
            </w:tcBorders>
            <w:vAlign w:val="center"/>
            <w:hideMark/>
          </w:tcPr>
          <w:p w:rsidR="00681493" w:rsidP="00D63558" w:rsidRDefault="00681493" w14:paraId="01DD4F9F" w14:textId="77777777">
            <w:pPr>
              <w:rPr>
                <w:b/>
                <w:color w:val="FFFFFF"/>
                <w:sz w:val="18"/>
                <w:szCs w:val="18"/>
                <w:lang w:eastAsia="es-ES"/>
              </w:rPr>
            </w:pPr>
          </w:p>
        </w:tc>
        <w:tc>
          <w:tcPr>
            <w:tcW w:w="3409" w:type="dxa"/>
            <w:tcBorders>
              <w:right w:val="single" w:color="auto" w:sz="4" w:space="0"/>
            </w:tcBorders>
            <w:noWrap/>
            <w:vAlign w:val="bottom"/>
            <w:hideMark/>
          </w:tcPr>
          <w:p w:rsidR="00681493" w:rsidP="00D63558" w:rsidRDefault="00681493" w14:paraId="224425C9" w14:textId="77777777">
            <w:pPr>
              <w:rPr>
                <w:color w:val="000000"/>
                <w:sz w:val="18"/>
                <w:szCs w:val="18"/>
                <w:lang w:eastAsia="es-ES"/>
              </w:rPr>
            </w:pPr>
            <w:r>
              <w:rPr>
                <w:color w:val="000000"/>
                <w:sz w:val="18"/>
                <w:szCs w:val="18"/>
                <w:lang w:eastAsia="es-ES"/>
              </w:rPr>
              <w:t>2.Acetate</w:t>
            </w:r>
          </w:p>
        </w:tc>
        <w:tc>
          <w:tcPr>
            <w:tcW w:w="476" w:type="dxa"/>
            <w:tcBorders>
              <w:left w:val="single" w:color="auto" w:sz="4" w:space="0"/>
            </w:tcBorders>
            <w:noWrap/>
            <w:vAlign w:val="center"/>
            <w:hideMark/>
          </w:tcPr>
          <w:p w:rsidR="00681493" w:rsidP="00D63558" w:rsidRDefault="00681493" w14:paraId="2B6A4B24"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27D17A9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FFC7CE"/>
            <w:noWrap/>
            <w:vAlign w:val="center"/>
            <w:hideMark/>
          </w:tcPr>
          <w:p w:rsidR="00681493" w:rsidP="00D63558" w:rsidRDefault="00681493" w14:paraId="2A59F7BC" w14:textId="77777777">
            <w:pPr>
              <w:jc w:val="center"/>
              <w:rPr>
                <w:color w:val="9C0006"/>
                <w:sz w:val="18"/>
                <w:szCs w:val="18"/>
                <w:lang w:eastAsia="es-ES"/>
              </w:rPr>
            </w:pPr>
            <w:r>
              <w:rPr>
                <w:color w:val="9C0006"/>
                <w:sz w:val="18"/>
                <w:szCs w:val="18"/>
                <w:lang w:eastAsia="es-ES"/>
              </w:rPr>
              <w:t>-</w:t>
            </w:r>
          </w:p>
        </w:tc>
        <w:tc>
          <w:tcPr>
            <w:tcW w:w="541" w:type="dxa"/>
            <w:noWrap/>
            <w:vAlign w:val="center"/>
            <w:hideMark/>
          </w:tcPr>
          <w:p w:rsidR="00681493" w:rsidP="00D63558" w:rsidRDefault="00681493" w14:paraId="5881B63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0337804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0340A45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shd w:val="clear" w:color="auto" w:fill="C6EFCE"/>
            <w:noWrap/>
            <w:vAlign w:val="center"/>
            <w:hideMark/>
          </w:tcPr>
          <w:p w:rsidR="00681493" w:rsidP="00D63558" w:rsidRDefault="00681493" w14:paraId="61EC9BAE" w14:textId="77777777">
            <w:pPr>
              <w:jc w:val="center"/>
              <w:rPr>
                <w:color w:val="006100"/>
                <w:sz w:val="18"/>
                <w:szCs w:val="18"/>
                <w:lang w:eastAsia="es-ES"/>
              </w:rPr>
            </w:pPr>
            <w:r>
              <w:rPr>
                <w:color w:val="006100"/>
                <w:sz w:val="18"/>
                <w:szCs w:val="18"/>
                <w:lang w:eastAsia="es-ES"/>
              </w:rPr>
              <w:t>+</w:t>
            </w:r>
          </w:p>
        </w:tc>
        <w:tc>
          <w:tcPr>
            <w:tcW w:w="574" w:type="dxa"/>
            <w:noWrap/>
            <w:vAlign w:val="center"/>
            <w:hideMark/>
          </w:tcPr>
          <w:p w:rsidR="00681493" w:rsidP="00D63558" w:rsidRDefault="00681493" w14:paraId="4D1D54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793B985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E50C9F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7C6068E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19A49E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5B6D5D04"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vAlign w:val="center"/>
            <w:hideMark/>
          </w:tcPr>
          <w:p w:rsidR="00681493" w:rsidP="00D63558" w:rsidRDefault="00681493" w14:paraId="0D9638EC"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571280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7BE1A5A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1A9DE7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36D7D96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0BC86E1A" w14:textId="77777777">
        <w:trPr>
          <w:trHeight w:val="300"/>
        </w:trPr>
        <w:tc>
          <w:tcPr>
            <w:tcW w:w="429" w:type="dxa"/>
            <w:vMerge/>
            <w:tcBorders>
              <w:top w:val="single" w:color="auto" w:sz="4" w:space="0"/>
              <w:left w:val="nil"/>
              <w:bottom w:val="single" w:color="auto" w:sz="2" w:space="0"/>
              <w:right w:val="nil"/>
            </w:tcBorders>
            <w:vAlign w:val="center"/>
            <w:hideMark/>
          </w:tcPr>
          <w:p w:rsidR="00681493" w:rsidP="00D63558" w:rsidRDefault="00681493" w14:paraId="73137E82" w14:textId="77777777">
            <w:pPr>
              <w:rPr>
                <w:b/>
                <w:color w:val="FFFFFF"/>
                <w:sz w:val="18"/>
                <w:szCs w:val="18"/>
                <w:lang w:eastAsia="es-ES"/>
              </w:rPr>
            </w:pPr>
          </w:p>
        </w:tc>
        <w:tc>
          <w:tcPr>
            <w:tcW w:w="3409" w:type="dxa"/>
            <w:tcBorders>
              <w:right w:val="single" w:color="auto" w:sz="4" w:space="0"/>
            </w:tcBorders>
            <w:noWrap/>
            <w:vAlign w:val="bottom"/>
            <w:hideMark/>
          </w:tcPr>
          <w:p w:rsidR="00681493" w:rsidP="00D63558" w:rsidRDefault="00681493" w14:paraId="4DE92F39" w14:textId="77777777">
            <w:pPr>
              <w:rPr>
                <w:color w:val="000000"/>
                <w:sz w:val="18"/>
                <w:szCs w:val="18"/>
                <w:lang w:eastAsia="es-ES"/>
              </w:rPr>
            </w:pPr>
            <w:r>
              <w:rPr>
                <w:color w:val="000000"/>
                <w:sz w:val="18"/>
                <w:szCs w:val="18"/>
                <w:lang w:eastAsia="es-ES"/>
              </w:rPr>
              <w:t>3.Butyrate</w:t>
            </w:r>
          </w:p>
        </w:tc>
        <w:tc>
          <w:tcPr>
            <w:tcW w:w="476" w:type="dxa"/>
            <w:tcBorders>
              <w:left w:val="single" w:color="auto" w:sz="4" w:space="0"/>
            </w:tcBorders>
            <w:noWrap/>
            <w:vAlign w:val="center"/>
            <w:hideMark/>
          </w:tcPr>
          <w:p w:rsidR="00681493" w:rsidP="00D63558" w:rsidRDefault="00681493" w14:paraId="05C56A1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noWrap/>
            <w:vAlign w:val="center"/>
            <w:hideMark/>
          </w:tcPr>
          <w:p w:rsidR="00681493" w:rsidP="00D63558" w:rsidRDefault="00681493" w14:paraId="01829ED0"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shd w:val="clear" w:color="auto" w:fill="C6EFCE"/>
            <w:noWrap/>
            <w:vAlign w:val="center"/>
            <w:hideMark/>
          </w:tcPr>
          <w:p w:rsidR="00681493" w:rsidP="00D63558" w:rsidRDefault="00681493" w14:paraId="0B13517B" w14:textId="77777777">
            <w:pPr>
              <w:jc w:val="center"/>
              <w:rPr>
                <w:color w:val="006100"/>
                <w:sz w:val="18"/>
                <w:szCs w:val="18"/>
                <w:lang w:eastAsia="es-ES"/>
              </w:rPr>
            </w:pPr>
            <w:r>
              <w:rPr>
                <w:color w:val="006100"/>
                <w:sz w:val="18"/>
                <w:szCs w:val="18"/>
                <w:lang w:eastAsia="es-ES"/>
              </w:rPr>
              <w:t>+</w:t>
            </w:r>
          </w:p>
        </w:tc>
        <w:tc>
          <w:tcPr>
            <w:tcW w:w="541" w:type="dxa"/>
            <w:noWrap/>
            <w:vAlign w:val="center"/>
            <w:hideMark/>
          </w:tcPr>
          <w:p w:rsidR="00681493" w:rsidP="00D63558" w:rsidRDefault="00681493" w14:paraId="7F298CD6"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noWrap/>
            <w:vAlign w:val="center"/>
            <w:hideMark/>
          </w:tcPr>
          <w:p w:rsidR="00681493" w:rsidP="00D63558" w:rsidRDefault="00681493" w14:paraId="780CD9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vAlign w:val="center"/>
            <w:hideMark/>
          </w:tcPr>
          <w:p w:rsidR="00681493" w:rsidP="00D63558" w:rsidRDefault="00681493" w14:paraId="1FF0A2B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shd w:val="clear" w:color="auto" w:fill="C6EFCE"/>
            <w:noWrap/>
            <w:vAlign w:val="center"/>
            <w:hideMark/>
          </w:tcPr>
          <w:p w:rsidR="00681493" w:rsidP="00D63558" w:rsidRDefault="00681493" w14:paraId="6D9F2736" w14:textId="77777777">
            <w:pPr>
              <w:jc w:val="center"/>
              <w:rPr>
                <w:color w:val="006100"/>
                <w:sz w:val="18"/>
                <w:szCs w:val="18"/>
                <w:lang w:eastAsia="es-ES"/>
              </w:rPr>
            </w:pPr>
            <w:r>
              <w:rPr>
                <w:color w:val="006100"/>
                <w:sz w:val="18"/>
                <w:szCs w:val="18"/>
                <w:lang w:eastAsia="es-ES"/>
              </w:rPr>
              <w:t>+</w:t>
            </w:r>
          </w:p>
        </w:tc>
        <w:tc>
          <w:tcPr>
            <w:tcW w:w="574" w:type="dxa"/>
            <w:noWrap/>
            <w:vAlign w:val="center"/>
            <w:hideMark/>
          </w:tcPr>
          <w:p w:rsidR="00681493" w:rsidP="00D63558" w:rsidRDefault="00681493" w14:paraId="0DB02F9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nil"/>
              <w:right w:val="dashed" w:color="auto" w:sz="4" w:space="0"/>
            </w:tcBorders>
            <w:noWrap/>
            <w:vAlign w:val="center"/>
            <w:hideMark/>
          </w:tcPr>
          <w:p w:rsidR="00681493" w:rsidP="00D63558" w:rsidRDefault="00681493" w14:paraId="3B1D855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nil"/>
              <w:right w:val="nil"/>
            </w:tcBorders>
            <w:noWrap/>
            <w:vAlign w:val="center"/>
            <w:hideMark/>
          </w:tcPr>
          <w:p w:rsidR="00681493" w:rsidP="00D63558" w:rsidRDefault="00681493" w14:paraId="76917F98"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noWrap/>
            <w:vAlign w:val="center"/>
            <w:hideMark/>
          </w:tcPr>
          <w:p w:rsidR="00681493" w:rsidP="00D63558" w:rsidRDefault="00681493" w14:paraId="46D8E95F"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noWrap/>
            <w:vAlign w:val="center"/>
            <w:hideMark/>
          </w:tcPr>
          <w:p w:rsidR="00681493" w:rsidP="00D63558" w:rsidRDefault="00681493" w14:paraId="0A7DC4C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nil"/>
              <w:right w:val="dashed" w:color="auto" w:sz="4" w:space="0"/>
            </w:tcBorders>
            <w:vAlign w:val="center"/>
            <w:hideMark/>
          </w:tcPr>
          <w:p w:rsidR="00681493" w:rsidP="00D63558" w:rsidRDefault="00681493" w14:paraId="15F36D13" w14:textId="77777777">
            <w:pPr>
              <w:jc w:val="center"/>
              <w:rPr>
                <w:color w:val="006100"/>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nil"/>
              <w:right w:val="nil"/>
            </w:tcBorders>
            <w:shd w:val="clear" w:color="auto" w:fill="C6EFCE"/>
            <w:noWrap/>
            <w:vAlign w:val="center"/>
            <w:hideMark/>
          </w:tcPr>
          <w:p w:rsidR="00681493" w:rsidP="00D63558" w:rsidRDefault="00681493" w14:paraId="36AC36C3" w14:textId="77777777">
            <w:pPr>
              <w:jc w:val="center"/>
              <w:rPr>
                <w:color w:val="006100"/>
                <w:sz w:val="18"/>
                <w:szCs w:val="18"/>
                <w:lang w:eastAsia="es-ES"/>
              </w:rPr>
            </w:pPr>
            <w:r>
              <w:rPr>
                <w:color w:val="006100"/>
                <w:sz w:val="18"/>
                <w:szCs w:val="18"/>
                <w:lang w:eastAsia="es-ES"/>
              </w:rPr>
              <w:t>+</w:t>
            </w:r>
          </w:p>
        </w:tc>
        <w:tc>
          <w:tcPr>
            <w:tcW w:w="425" w:type="dxa"/>
            <w:noWrap/>
            <w:vAlign w:val="center"/>
            <w:hideMark/>
          </w:tcPr>
          <w:p w:rsidR="00681493" w:rsidP="00D63558" w:rsidRDefault="00681493" w14:paraId="07BDADE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noWrap/>
            <w:vAlign w:val="center"/>
            <w:hideMark/>
          </w:tcPr>
          <w:p w:rsidR="00681493" w:rsidP="00D63558" w:rsidRDefault="00681493" w14:paraId="12C579A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vAlign w:val="center"/>
            <w:hideMark/>
          </w:tcPr>
          <w:p w:rsidR="00681493" w:rsidP="00D63558" w:rsidRDefault="00681493" w14:paraId="3CD96D8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vAlign w:val="center"/>
            <w:hideMark/>
          </w:tcPr>
          <w:p w:rsidR="00681493" w:rsidP="00D63558" w:rsidRDefault="00681493" w14:paraId="7C4C077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5066776A" w14:textId="77777777">
        <w:trPr>
          <w:trHeight w:val="300"/>
        </w:trPr>
        <w:tc>
          <w:tcPr>
            <w:tcW w:w="429" w:type="dxa"/>
            <w:vMerge/>
            <w:tcBorders>
              <w:top w:val="single" w:color="auto" w:sz="4" w:space="0"/>
              <w:left w:val="nil"/>
              <w:bottom w:val="single" w:color="auto" w:sz="2" w:space="0"/>
              <w:right w:val="nil"/>
            </w:tcBorders>
            <w:vAlign w:val="center"/>
            <w:hideMark/>
          </w:tcPr>
          <w:p w:rsidR="00681493" w:rsidP="00D63558" w:rsidRDefault="00681493" w14:paraId="2334A2B4" w14:textId="77777777">
            <w:pPr>
              <w:rPr>
                <w:b/>
                <w:color w:val="FFFFFF"/>
                <w:sz w:val="18"/>
                <w:szCs w:val="18"/>
                <w:lang w:eastAsia="es-ES"/>
              </w:rPr>
            </w:pPr>
          </w:p>
        </w:tc>
        <w:tc>
          <w:tcPr>
            <w:tcW w:w="3409" w:type="dxa"/>
            <w:tcBorders>
              <w:top w:val="nil"/>
              <w:left w:val="nil"/>
              <w:bottom w:val="single" w:color="auto" w:sz="2" w:space="0"/>
              <w:right w:val="single" w:color="auto" w:sz="4" w:space="0"/>
            </w:tcBorders>
            <w:noWrap/>
            <w:vAlign w:val="bottom"/>
            <w:hideMark/>
          </w:tcPr>
          <w:p w:rsidR="00681493" w:rsidP="00D63558" w:rsidRDefault="00681493" w14:paraId="3552A344" w14:textId="77777777">
            <w:pPr>
              <w:rPr>
                <w:color w:val="000000"/>
                <w:sz w:val="18"/>
                <w:szCs w:val="18"/>
                <w:lang w:eastAsia="es-ES"/>
              </w:rPr>
            </w:pPr>
            <w:r>
              <w:rPr>
                <w:color w:val="000000"/>
                <w:sz w:val="18"/>
                <w:szCs w:val="18"/>
                <w:lang w:eastAsia="es-ES"/>
              </w:rPr>
              <w:t>4.Valerate</w:t>
            </w:r>
          </w:p>
        </w:tc>
        <w:tc>
          <w:tcPr>
            <w:tcW w:w="476" w:type="dxa"/>
            <w:tcBorders>
              <w:top w:val="nil"/>
              <w:left w:val="single" w:color="auto" w:sz="4" w:space="0"/>
              <w:bottom w:val="single" w:color="auto" w:sz="2" w:space="0"/>
              <w:right w:val="nil"/>
            </w:tcBorders>
            <w:noWrap/>
            <w:vAlign w:val="center"/>
            <w:hideMark/>
          </w:tcPr>
          <w:p w:rsidR="00681493" w:rsidP="00D63558" w:rsidRDefault="00681493" w14:paraId="3E4E334E"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2" w:space="0"/>
              <w:right w:val="nil"/>
            </w:tcBorders>
            <w:noWrap/>
            <w:vAlign w:val="center"/>
            <w:hideMark/>
          </w:tcPr>
          <w:p w:rsidR="00681493" w:rsidP="00D63558" w:rsidRDefault="00681493" w14:paraId="59131BB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57" w:type="dxa"/>
            <w:tcBorders>
              <w:top w:val="nil"/>
              <w:left w:val="nil"/>
              <w:bottom w:val="single" w:color="auto" w:sz="2" w:space="0"/>
              <w:right w:val="nil"/>
            </w:tcBorders>
            <w:noWrap/>
            <w:vAlign w:val="center"/>
            <w:hideMark/>
          </w:tcPr>
          <w:p w:rsidR="00681493" w:rsidP="00D63558" w:rsidRDefault="00681493" w14:paraId="4D1C0AC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41" w:type="dxa"/>
            <w:tcBorders>
              <w:top w:val="nil"/>
              <w:left w:val="nil"/>
              <w:bottom w:val="single" w:color="auto" w:sz="2" w:space="0"/>
              <w:right w:val="nil"/>
            </w:tcBorders>
            <w:noWrap/>
            <w:vAlign w:val="center"/>
            <w:hideMark/>
          </w:tcPr>
          <w:p w:rsidR="00681493" w:rsidP="00D63558" w:rsidRDefault="00681493" w14:paraId="47D694C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2" w:type="dxa"/>
            <w:tcBorders>
              <w:top w:val="nil"/>
              <w:left w:val="nil"/>
              <w:bottom w:val="single" w:color="auto" w:sz="2" w:space="0"/>
              <w:right w:val="nil"/>
            </w:tcBorders>
            <w:noWrap/>
            <w:vAlign w:val="center"/>
            <w:hideMark/>
          </w:tcPr>
          <w:p w:rsidR="00681493" w:rsidP="00D63558" w:rsidRDefault="00681493" w14:paraId="0E16E613"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760" w:type="dxa"/>
            <w:tcBorders>
              <w:top w:val="nil"/>
              <w:left w:val="nil"/>
              <w:bottom w:val="single" w:color="auto" w:sz="2" w:space="0"/>
              <w:right w:val="nil"/>
            </w:tcBorders>
            <w:vAlign w:val="center"/>
            <w:hideMark/>
          </w:tcPr>
          <w:p w:rsidR="00681493" w:rsidP="00D63558" w:rsidRDefault="00681493" w14:paraId="1F850E77"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8" w:type="dxa"/>
            <w:tcBorders>
              <w:top w:val="nil"/>
              <w:left w:val="nil"/>
              <w:bottom w:val="single" w:color="auto" w:sz="2" w:space="0"/>
              <w:right w:val="nil"/>
            </w:tcBorders>
            <w:shd w:val="clear" w:color="auto" w:fill="C6EFCE"/>
            <w:noWrap/>
            <w:vAlign w:val="center"/>
            <w:hideMark/>
          </w:tcPr>
          <w:p w:rsidR="00681493" w:rsidP="00D63558" w:rsidRDefault="00681493" w14:paraId="4E88C179" w14:textId="77777777">
            <w:pPr>
              <w:jc w:val="center"/>
              <w:rPr>
                <w:color w:val="006100"/>
                <w:sz w:val="18"/>
                <w:szCs w:val="18"/>
                <w:lang w:eastAsia="es-ES"/>
              </w:rPr>
            </w:pPr>
            <w:r>
              <w:rPr>
                <w:color w:val="006100"/>
                <w:sz w:val="18"/>
                <w:szCs w:val="18"/>
                <w:lang w:eastAsia="es-ES"/>
              </w:rPr>
              <w:t>+</w:t>
            </w:r>
          </w:p>
        </w:tc>
        <w:tc>
          <w:tcPr>
            <w:tcW w:w="574" w:type="dxa"/>
            <w:tcBorders>
              <w:top w:val="nil"/>
              <w:left w:val="nil"/>
              <w:bottom w:val="single" w:color="auto" w:sz="2" w:space="0"/>
              <w:right w:val="nil"/>
            </w:tcBorders>
            <w:noWrap/>
            <w:vAlign w:val="center"/>
            <w:hideMark/>
          </w:tcPr>
          <w:p w:rsidR="00681493" w:rsidP="00D63558" w:rsidRDefault="00681493" w14:paraId="6F731B6A"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0" w:type="dxa"/>
            <w:tcBorders>
              <w:top w:val="nil"/>
              <w:left w:val="nil"/>
              <w:bottom w:val="single" w:color="auto" w:sz="2" w:space="0"/>
              <w:right w:val="dashed" w:color="auto" w:sz="4" w:space="0"/>
            </w:tcBorders>
            <w:noWrap/>
            <w:vAlign w:val="center"/>
            <w:hideMark/>
          </w:tcPr>
          <w:p w:rsidR="00681493" w:rsidP="00D63558" w:rsidRDefault="00681493" w14:paraId="2DEFB742"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31" w:type="dxa"/>
            <w:tcBorders>
              <w:top w:val="nil"/>
              <w:left w:val="dashed" w:color="auto" w:sz="4" w:space="0"/>
              <w:bottom w:val="single" w:color="auto" w:sz="2" w:space="0"/>
              <w:right w:val="nil"/>
            </w:tcBorders>
            <w:noWrap/>
            <w:vAlign w:val="center"/>
            <w:hideMark/>
          </w:tcPr>
          <w:p w:rsidR="00681493" w:rsidP="00D63558" w:rsidRDefault="00681493" w14:paraId="60561B4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640" w:type="dxa"/>
            <w:tcBorders>
              <w:top w:val="nil"/>
              <w:left w:val="nil"/>
              <w:bottom w:val="single" w:color="auto" w:sz="2" w:space="0"/>
              <w:right w:val="nil"/>
            </w:tcBorders>
            <w:noWrap/>
            <w:vAlign w:val="center"/>
            <w:hideMark/>
          </w:tcPr>
          <w:p w:rsidR="00681493" w:rsidP="00D63558" w:rsidRDefault="00681493" w14:paraId="6261EE8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14" w:type="dxa"/>
            <w:tcBorders>
              <w:top w:val="nil"/>
              <w:left w:val="nil"/>
              <w:bottom w:val="single" w:color="auto" w:sz="2" w:space="0"/>
              <w:right w:val="nil"/>
            </w:tcBorders>
            <w:noWrap/>
            <w:vAlign w:val="center"/>
            <w:hideMark/>
          </w:tcPr>
          <w:p w:rsidR="00681493" w:rsidP="00D63558" w:rsidRDefault="00681493" w14:paraId="62097D0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nil"/>
              <w:bottom w:val="single" w:color="auto" w:sz="2" w:space="0"/>
              <w:right w:val="dashed" w:color="auto" w:sz="4" w:space="0"/>
            </w:tcBorders>
            <w:vAlign w:val="center"/>
            <w:hideMark/>
          </w:tcPr>
          <w:p w:rsidR="00681493" w:rsidP="00D63558" w:rsidRDefault="00681493" w14:paraId="210F2FCB"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78" w:type="dxa"/>
            <w:tcBorders>
              <w:top w:val="nil"/>
              <w:left w:val="dashed" w:color="auto" w:sz="4" w:space="0"/>
              <w:bottom w:val="single" w:color="auto" w:sz="2" w:space="0"/>
              <w:right w:val="nil"/>
            </w:tcBorders>
            <w:noWrap/>
            <w:vAlign w:val="center"/>
            <w:hideMark/>
          </w:tcPr>
          <w:p w:rsidR="00681493" w:rsidP="00D63558" w:rsidRDefault="00681493" w14:paraId="5EA950F1"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2" w:space="0"/>
              <w:right w:val="nil"/>
            </w:tcBorders>
            <w:noWrap/>
            <w:vAlign w:val="center"/>
            <w:hideMark/>
          </w:tcPr>
          <w:p w:rsidR="00681493" w:rsidP="00D63558" w:rsidRDefault="00681493" w14:paraId="2093115C"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6" w:type="dxa"/>
            <w:tcBorders>
              <w:top w:val="nil"/>
              <w:left w:val="nil"/>
              <w:bottom w:val="single" w:color="auto" w:sz="4" w:space="0"/>
              <w:right w:val="nil"/>
            </w:tcBorders>
            <w:noWrap/>
            <w:vAlign w:val="center"/>
            <w:hideMark/>
          </w:tcPr>
          <w:p w:rsidR="00681493" w:rsidP="00D63558" w:rsidRDefault="00681493" w14:paraId="450DA7CD"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425" w:type="dxa"/>
            <w:tcBorders>
              <w:top w:val="nil"/>
              <w:left w:val="nil"/>
              <w:bottom w:val="single" w:color="auto" w:sz="4" w:space="0"/>
              <w:right w:val="nil"/>
            </w:tcBorders>
            <w:vAlign w:val="center"/>
            <w:hideMark/>
          </w:tcPr>
          <w:p w:rsidR="00681493" w:rsidP="00D63558" w:rsidRDefault="00681493" w14:paraId="37EB31D9"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c>
          <w:tcPr>
            <w:tcW w:w="566" w:type="dxa"/>
            <w:tcBorders>
              <w:top w:val="nil"/>
              <w:left w:val="nil"/>
              <w:bottom w:val="single" w:color="auto" w:sz="4" w:space="0"/>
              <w:right w:val="nil"/>
            </w:tcBorders>
            <w:vAlign w:val="center"/>
            <w:hideMark/>
          </w:tcPr>
          <w:p w:rsidR="00681493" w:rsidP="00D63558" w:rsidRDefault="00681493" w14:paraId="54E42B85" w14:textId="77777777">
            <w:pPr>
              <w:jc w:val="center"/>
              <w:rPr>
                <w:color w:val="A6A6A6" w:themeColor="background1" w:themeShade="A6"/>
                <w:sz w:val="18"/>
                <w:szCs w:val="18"/>
                <w:lang w:eastAsia="es-ES"/>
              </w:rPr>
            </w:pPr>
            <w:r>
              <w:rPr>
                <w:color w:val="A6A6A6" w:themeColor="background1" w:themeShade="A6"/>
                <w:sz w:val="18"/>
                <w:szCs w:val="18"/>
                <w:lang w:eastAsia="es-ES"/>
              </w:rPr>
              <w:t>NR</w:t>
            </w:r>
          </w:p>
        </w:tc>
      </w:tr>
      <w:tr w:rsidR="00681493" w:rsidTr="00D63558" w14:paraId="48EBD58E" w14:textId="77777777">
        <w:trPr>
          <w:trHeight w:val="300"/>
        </w:trPr>
        <w:tc>
          <w:tcPr>
            <w:tcW w:w="13295" w:type="dxa"/>
            <w:gridSpan w:val="20"/>
            <w:tcBorders>
              <w:top w:val="single" w:color="auto" w:sz="2" w:space="0"/>
              <w:left w:val="nil"/>
              <w:bottom w:val="nil"/>
              <w:right w:val="nil"/>
            </w:tcBorders>
          </w:tcPr>
          <w:p w:rsidR="00681493" w:rsidP="00D63558" w:rsidRDefault="00681493" w14:paraId="05FFFF25" w14:textId="77777777">
            <w:pPr>
              <w:jc w:val="both"/>
              <w:rPr>
                <w:sz w:val="18"/>
                <w:szCs w:val="18"/>
                <w:lang w:eastAsia="es-ES"/>
              </w:rPr>
            </w:pPr>
            <w:r>
              <w:rPr>
                <w:sz w:val="18"/>
                <w:szCs w:val="18"/>
                <w:lang w:eastAsia="es-ES"/>
              </w:rPr>
              <w:t xml:space="preserve">Green cells (+) </w:t>
            </w:r>
            <w:proofErr w:type="gramStart"/>
            <w:r>
              <w:rPr>
                <w:sz w:val="18"/>
                <w:szCs w:val="18"/>
                <w:lang w:eastAsia="es-ES"/>
              </w:rPr>
              <w:t>indicate</w:t>
            </w:r>
            <w:proofErr w:type="gramEnd"/>
            <w:r>
              <w:rPr>
                <w:sz w:val="18"/>
                <w:szCs w:val="18"/>
                <w:lang w:eastAsia="es-ES"/>
              </w:rPr>
              <w:t xml:space="preserve"> a positive relationship with, or an effect of exercise or physical activity on, alpha and beta diversities, different microorganism or SCFAs.  Red cells (-) indicate a negative relationship with, or null effect of exercise or physical activity on, alpha and beta diversities, different microorganism or SCFAs. Yellow cells (+/-) indicate positive and negative results detected between exercise or physical activity and different microorganism. Symbol (0) indicated no relationship seen between exercise/physical activity and alpha and beta diversities. “NR” indicates that the above types of relationship were not reported. SCFAs: Short-chain fatty acids.</w:t>
            </w:r>
          </w:p>
        </w:tc>
      </w:tr>
    </w:tbl>
    <w:p w:rsidR="00681493" w:rsidP="0034188A" w:rsidRDefault="00681493" w14:paraId="1A6C7B62" w14:textId="77777777"/>
    <w:p w:rsidR="0034188A" w:rsidP="0034188A" w:rsidRDefault="0034188A" w14:paraId="4EC62D6D" w14:textId="77777777">
      <w:pPr>
        <w:widowControl w:val="0"/>
        <w:autoSpaceDE w:val="0"/>
        <w:autoSpaceDN w:val="0"/>
        <w:adjustRightInd w:val="0"/>
        <w:spacing w:before="120" w:after="120" w:line="480" w:lineRule="auto"/>
      </w:pPr>
    </w:p>
    <w:p w:rsidR="0034188A" w:rsidP="0034188A" w:rsidRDefault="0034188A" w14:paraId="23C98BBC" w14:textId="77777777">
      <w:pPr>
        <w:widowControl w:val="0"/>
        <w:autoSpaceDE w:val="0"/>
        <w:autoSpaceDN w:val="0"/>
        <w:adjustRightInd w:val="0"/>
        <w:spacing w:before="120" w:after="120" w:line="480" w:lineRule="auto"/>
      </w:pPr>
    </w:p>
    <w:p w:rsidR="0034188A" w:rsidP="0034188A" w:rsidRDefault="0034188A" w14:paraId="06027CAC"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28759001" w14:textId="77777777">
      <w:pPr>
        <w:widowControl w:val="0"/>
        <w:autoSpaceDE w:val="0"/>
        <w:autoSpaceDN w:val="0"/>
        <w:adjustRightInd w:val="0"/>
        <w:spacing w:before="120" w:after="120" w:line="480" w:lineRule="auto"/>
        <w:rPr>
          <w:color w:val="A6A6A6" w:themeColor="background1" w:themeShade="A6"/>
        </w:rPr>
      </w:pPr>
    </w:p>
    <w:p w:rsidR="00C81275" w:rsidP="0034188A" w:rsidRDefault="00C81275" w14:paraId="0781F18A"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41222EB6" w14:textId="2AE65BEF">
      <w:pPr>
        <w:widowControl w:val="0"/>
        <w:autoSpaceDE w:val="0"/>
        <w:autoSpaceDN w:val="0"/>
        <w:adjustRightInd w:val="0"/>
        <w:spacing w:before="120" w:after="120" w:line="480" w:lineRule="auto"/>
        <w:rPr>
          <w:color w:val="A6A6A6" w:themeColor="background1" w:themeShade="A6"/>
        </w:rPr>
      </w:pPr>
    </w:p>
    <w:p w:rsidR="009549E0" w:rsidP="0034188A" w:rsidRDefault="009549E0" w14:paraId="6261B624" w14:textId="59956682">
      <w:pPr>
        <w:widowControl w:val="0"/>
        <w:autoSpaceDE w:val="0"/>
        <w:autoSpaceDN w:val="0"/>
        <w:adjustRightInd w:val="0"/>
        <w:spacing w:before="120" w:after="120" w:line="480" w:lineRule="auto"/>
        <w:rPr>
          <w:color w:val="A6A6A6" w:themeColor="background1" w:themeShade="A6"/>
        </w:rPr>
      </w:pPr>
    </w:p>
    <w:p w:rsidR="009549E0" w:rsidP="0034188A" w:rsidRDefault="009549E0" w14:paraId="538A647D" w14:textId="7F3DF263">
      <w:pPr>
        <w:widowControl w:val="0"/>
        <w:autoSpaceDE w:val="0"/>
        <w:autoSpaceDN w:val="0"/>
        <w:adjustRightInd w:val="0"/>
        <w:spacing w:before="120" w:after="120" w:line="480" w:lineRule="auto"/>
        <w:rPr>
          <w:color w:val="A6A6A6" w:themeColor="background1" w:themeShade="A6"/>
        </w:rPr>
      </w:pPr>
    </w:p>
    <w:p w:rsidR="009549E0" w:rsidP="0034188A" w:rsidRDefault="009549E0" w14:paraId="0688BE26" w14:textId="46F366C9">
      <w:pPr>
        <w:widowControl w:val="0"/>
        <w:autoSpaceDE w:val="0"/>
        <w:autoSpaceDN w:val="0"/>
        <w:adjustRightInd w:val="0"/>
        <w:spacing w:before="120" w:after="120" w:line="480" w:lineRule="auto"/>
        <w:rPr>
          <w:color w:val="A6A6A6" w:themeColor="background1" w:themeShade="A6"/>
        </w:rPr>
      </w:pPr>
    </w:p>
    <w:p w:rsidR="009549E0" w:rsidP="0034188A" w:rsidRDefault="009549E0" w14:paraId="02BB0297" w14:textId="5B5F1EF7">
      <w:pPr>
        <w:widowControl w:val="0"/>
        <w:autoSpaceDE w:val="0"/>
        <w:autoSpaceDN w:val="0"/>
        <w:adjustRightInd w:val="0"/>
        <w:spacing w:before="120" w:after="120" w:line="480" w:lineRule="auto"/>
        <w:rPr>
          <w:color w:val="A6A6A6" w:themeColor="background1" w:themeShade="A6"/>
        </w:rPr>
      </w:pPr>
    </w:p>
    <w:p w:rsidR="00C81275" w:rsidP="0034188A" w:rsidRDefault="00C81275" w14:paraId="5A85FDED" w14:textId="77777777">
      <w:pPr>
        <w:widowControl w:val="0"/>
        <w:autoSpaceDE w:val="0"/>
        <w:autoSpaceDN w:val="0"/>
        <w:adjustRightInd w:val="0"/>
        <w:spacing w:before="120" w:after="120" w:line="480" w:lineRule="auto"/>
        <w:rPr>
          <w:color w:val="A6A6A6" w:themeColor="background1" w:themeShade="A6"/>
        </w:rPr>
      </w:pPr>
    </w:p>
    <w:p w:rsidR="00C81275" w:rsidP="0034188A" w:rsidRDefault="00C81275" w14:paraId="26CFC303" w14:textId="77777777">
      <w:pPr>
        <w:widowControl w:val="0"/>
        <w:autoSpaceDE w:val="0"/>
        <w:autoSpaceDN w:val="0"/>
        <w:adjustRightInd w:val="0"/>
        <w:spacing w:before="120" w:after="120" w:line="480" w:lineRule="auto"/>
        <w:rPr>
          <w:color w:val="A6A6A6" w:themeColor="background1" w:themeShade="A6"/>
        </w:rPr>
        <w:sectPr w:rsidR="00C81275" w:rsidSect="0034188A">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417" w:bottom="1701" w:left="1417" w:header="708" w:footer="708" w:gutter="0"/>
          <w:cols w:space="708"/>
          <w:docGrid w:linePitch="360"/>
        </w:sectPr>
      </w:pPr>
    </w:p>
    <w:tbl>
      <w:tblPr>
        <w:tblStyle w:val="Tablaconcuadrcula"/>
        <w:tblpPr w:leftFromText="141" w:rightFromText="141" w:vertAnchor="page" w:horzAnchor="margin" w:tblpXSpec="center" w:tblpY="2584"/>
        <w:tblW w:w="9717" w:type="dxa"/>
        <w:tblLook w:val="04A0" w:firstRow="1" w:lastRow="0" w:firstColumn="1" w:lastColumn="0" w:noHBand="0" w:noVBand="1"/>
      </w:tblPr>
      <w:tblGrid>
        <w:gridCol w:w="3864"/>
        <w:gridCol w:w="456"/>
        <w:gridCol w:w="454"/>
        <w:gridCol w:w="454"/>
        <w:gridCol w:w="454"/>
        <w:gridCol w:w="454"/>
        <w:gridCol w:w="454"/>
        <w:gridCol w:w="454"/>
        <w:gridCol w:w="454"/>
        <w:gridCol w:w="454"/>
        <w:gridCol w:w="456"/>
        <w:gridCol w:w="456"/>
        <w:gridCol w:w="853"/>
      </w:tblGrid>
      <w:tr w:rsidRPr="00EB3392" w:rsidR="00C81275" w:rsidTr="00C81275" w14:paraId="313E0A90" w14:textId="77777777">
        <w:trPr>
          <w:trHeight w:val="454"/>
        </w:trPr>
        <w:tc>
          <w:tcPr>
            <w:tcW w:w="9717" w:type="dxa"/>
            <w:gridSpan w:val="13"/>
            <w:tcBorders>
              <w:top w:val="nil"/>
              <w:left w:val="nil"/>
              <w:bottom w:val="single" w:color="auto" w:sz="4" w:space="0"/>
              <w:right w:val="nil"/>
            </w:tcBorders>
            <w:vAlign w:val="center"/>
          </w:tcPr>
          <w:p w:rsidRPr="00EB3392" w:rsidR="00C81275" w:rsidP="00C81275" w:rsidRDefault="00C81275" w14:paraId="659F7450" w14:textId="77777777">
            <w:pPr>
              <w:rPr>
                <w:rFonts w:eastAsia="Calibri"/>
                <w:b/>
                <w:lang w:eastAsia="en-GB"/>
              </w:rPr>
            </w:pPr>
            <w:bookmarkStart w:name="_Hlk24398710" w:id="0"/>
            <w:bookmarkStart w:name="_GoBack" w:id="1"/>
            <w:bookmarkEnd w:id="1"/>
            <w:r w:rsidRPr="00EB3392">
              <w:rPr>
                <w:rFonts w:eastAsia="Calibri"/>
                <w:b/>
                <w:lang w:eastAsia="en-GB"/>
              </w:rPr>
              <w:lastRenderedPageBreak/>
              <w:t>Table S9. </w:t>
            </w:r>
            <w:r w:rsidRPr="00EB3392">
              <w:rPr>
                <w:rFonts w:eastAsia="Calibri"/>
                <w:bCs/>
                <w:lang w:eastAsia="en-GB"/>
              </w:rPr>
              <w:t xml:space="preserve">Methodological quality of clinical trials using </w:t>
            </w:r>
            <w:proofErr w:type="spellStart"/>
            <w:r w:rsidRPr="00EB3392">
              <w:rPr>
                <w:rFonts w:eastAsia="Calibri"/>
                <w:bCs/>
                <w:lang w:eastAsia="en-GB"/>
              </w:rPr>
              <w:t>PEDro</w:t>
            </w:r>
            <w:proofErr w:type="spellEnd"/>
            <w:r w:rsidRPr="00EB3392">
              <w:rPr>
                <w:rFonts w:eastAsia="Calibri"/>
                <w:bCs/>
                <w:lang w:eastAsia="en-GB"/>
              </w:rPr>
              <w:t xml:space="preserve"> Scale</w:t>
            </w:r>
          </w:p>
        </w:tc>
      </w:tr>
      <w:tr w:rsidRPr="00EB3392" w:rsidR="00C81275" w:rsidTr="00C81275" w14:paraId="2AFBB78A" w14:textId="77777777">
        <w:trPr>
          <w:trHeight w:val="454"/>
        </w:trPr>
        <w:tc>
          <w:tcPr>
            <w:tcW w:w="3864" w:type="dxa"/>
            <w:tcBorders>
              <w:top w:val="single" w:color="auto" w:sz="4" w:space="0"/>
              <w:left w:val="nil"/>
              <w:bottom w:val="single" w:color="auto" w:sz="4" w:space="0"/>
              <w:right w:val="nil"/>
            </w:tcBorders>
            <w:vAlign w:val="center"/>
          </w:tcPr>
          <w:p w:rsidRPr="00EB3392" w:rsidR="00C81275" w:rsidP="00C81275" w:rsidRDefault="00C81275" w14:paraId="34280690" w14:textId="77777777">
            <w:pPr>
              <w:rPr>
                <w:rFonts w:eastAsia="Calibri"/>
                <w:b/>
                <w:lang w:eastAsia="en-GB"/>
              </w:rPr>
            </w:pPr>
            <w:r w:rsidRPr="00EB3392">
              <w:rPr>
                <w:rFonts w:eastAsia="Calibri"/>
                <w:b/>
                <w:lang w:eastAsia="en-GB"/>
              </w:rPr>
              <w:t>Study/Year</w:t>
            </w:r>
          </w:p>
        </w:tc>
        <w:tc>
          <w:tcPr>
            <w:tcW w:w="456" w:type="dxa"/>
            <w:tcBorders>
              <w:top w:val="single" w:color="auto" w:sz="4" w:space="0"/>
              <w:left w:val="nil"/>
              <w:bottom w:val="single" w:color="auto" w:sz="4" w:space="0"/>
              <w:right w:val="nil"/>
            </w:tcBorders>
            <w:vAlign w:val="center"/>
          </w:tcPr>
          <w:p w:rsidRPr="00EB3392" w:rsidR="00C81275" w:rsidP="00C81275" w:rsidRDefault="00C81275" w14:paraId="7E908A64" w14:textId="77777777">
            <w:pPr>
              <w:jc w:val="center"/>
              <w:rPr>
                <w:rFonts w:eastAsia="Calibri"/>
                <w:b/>
                <w:lang w:eastAsia="en-GB"/>
              </w:rPr>
            </w:pPr>
            <w:r>
              <w:rPr>
                <w:rFonts w:eastAsia="Calibri"/>
                <w:b/>
                <w:lang w:eastAsia="en-GB"/>
              </w:rPr>
              <w:t>*</w:t>
            </w:r>
            <w:r w:rsidRPr="00EB3392">
              <w:rPr>
                <w:rFonts w:eastAsia="Calibri"/>
                <w:b/>
                <w:lang w:eastAsia="en-GB"/>
              </w:rPr>
              <w:t>1</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0A1A147E" w14:textId="77777777">
            <w:pPr>
              <w:jc w:val="center"/>
              <w:rPr>
                <w:rFonts w:eastAsia="Calibri"/>
                <w:b/>
                <w:lang w:eastAsia="en-GB"/>
              </w:rPr>
            </w:pPr>
            <w:r w:rsidRPr="00EB3392">
              <w:rPr>
                <w:rFonts w:eastAsia="Calibri"/>
                <w:b/>
                <w:lang w:eastAsia="en-GB"/>
              </w:rPr>
              <w:t>2</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2590EA7C" w14:textId="77777777">
            <w:pPr>
              <w:jc w:val="center"/>
              <w:rPr>
                <w:rFonts w:eastAsia="Calibri"/>
                <w:b/>
                <w:lang w:eastAsia="en-GB"/>
              </w:rPr>
            </w:pPr>
            <w:r w:rsidRPr="00EB3392">
              <w:rPr>
                <w:rFonts w:eastAsia="Calibri"/>
                <w:b/>
                <w:lang w:eastAsia="en-GB"/>
              </w:rPr>
              <w:t>3</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4380602D" w14:textId="77777777">
            <w:pPr>
              <w:jc w:val="center"/>
              <w:rPr>
                <w:rFonts w:eastAsia="Calibri"/>
                <w:b/>
                <w:lang w:eastAsia="en-GB"/>
              </w:rPr>
            </w:pPr>
            <w:r w:rsidRPr="00EB3392">
              <w:rPr>
                <w:rFonts w:eastAsia="Calibri"/>
                <w:b/>
                <w:lang w:eastAsia="en-GB"/>
              </w:rPr>
              <w:t>4</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2EF682FA" w14:textId="77777777">
            <w:pPr>
              <w:jc w:val="center"/>
              <w:rPr>
                <w:rFonts w:eastAsia="Calibri"/>
                <w:b/>
                <w:lang w:eastAsia="en-GB"/>
              </w:rPr>
            </w:pPr>
            <w:r w:rsidRPr="00EB3392">
              <w:rPr>
                <w:rFonts w:eastAsia="Calibri"/>
                <w:b/>
                <w:lang w:eastAsia="en-GB"/>
              </w:rPr>
              <w:t>5</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420B887D" w14:textId="77777777">
            <w:pPr>
              <w:jc w:val="center"/>
              <w:rPr>
                <w:rFonts w:eastAsia="Calibri"/>
                <w:b/>
                <w:lang w:eastAsia="en-GB"/>
              </w:rPr>
            </w:pPr>
            <w:r w:rsidRPr="00EB3392">
              <w:rPr>
                <w:rFonts w:eastAsia="Calibri"/>
                <w:b/>
                <w:lang w:eastAsia="en-GB"/>
              </w:rPr>
              <w:t>6</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4F7FEAD1" w14:textId="77777777">
            <w:pPr>
              <w:jc w:val="center"/>
              <w:rPr>
                <w:rFonts w:eastAsia="Calibri"/>
                <w:b/>
                <w:lang w:eastAsia="en-GB"/>
              </w:rPr>
            </w:pPr>
            <w:r w:rsidRPr="00EB3392">
              <w:rPr>
                <w:rFonts w:eastAsia="Calibri"/>
                <w:b/>
                <w:lang w:eastAsia="en-GB"/>
              </w:rPr>
              <w:t>7</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796031BC" w14:textId="77777777">
            <w:pPr>
              <w:jc w:val="center"/>
              <w:rPr>
                <w:rFonts w:eastAsia="Calibri"/>
                <w:b/>
                <w:lang w:eastAsia="en-GB"/>
              </w:rPr>
            </w:pPr>
            <w:r w:rsidRPr="00EB3392">
              <w:rPr>
                <w:rFonts w:eastAsia="Calibri"/>
                <w:b/>
                <w:lang w:eastAsia="en-GB"/>
              </w:rPr>
              <w:t>8</w:t>
            </w:r>
          </w:p>
        </w:tc>
        <w:tc>
          <w:tcPr>
            <w:tcW w:w="454" w:type="dxa"/>
            <w:tcBorders>
              <w:top w:val="single" w:color="auto" w:sz="4" w:space="0"/>
              <w:left w:val="nil"/>
              <w:bottom w:val="single" w:color="auto" w:sz="4" w:space="0"/>
              <w:right w:val="nil"/>
            </w:tcBorders>
            <w:vAlign w:val="center"/>
          </w:tcPr>
          <w:p w:rsidRPr="00EB3392" w:rsidR="00C81275" w:rsidP="00C81275" w:rsidRDefault="00C81275" w14:paraId="7A60E304" w14:textId="77777777">
            <w:pPr>
              <w:jc w:val="center"/>
              <w:rPr>
                <w:rFonts w:eastAsia="Calibri"/>
                <w:b/>
                <w:lang w:eastAsia="en-GB"/>
              </w:rPr>
            </w:pPr>
            <w:r w:rsidRPr="00EB3392">
              <w:rPr>
                <w:rFonts w:eastAsia="Calibri"/>
                <w:b/>
                <w:lang w:eastAsia="en-GB"/>
              </w:rPr>
              <w:t>9</w:t>
            </w:r>
          </w:p>
        </w:tc>
        <w:tc>
          <w:tcPr>
            <w:tcW w:w="456" w:type="dxa"/>
            <w:tcBorders>
              <w:top w:val="single" w:color="auto" w:sz="4" w:space="0"/>
              <w:left w:val="nil"/>
              <w:bottom w:val="single" w:color="auto" w:sz="4" w:space="0"/>
              <w:right w:val="nil"/>
            </w:tcBorders>
            <w:vAlign w:val="center"/>
          </w:tcPr>
          <w:p w:rsidRPr="00EB3392" w:rsidR="00C81275" w:rsidP="00C81275" w:rsidRDefault="00C81275" w14:paraId="71F21C0B" w14:textId="77777777">
            <w:pPr>
              <w:jc w:val="center"/>
              <w:rPr>
                <w:rFonts w:eastAsia="Calibri"/>
                <w:b/>
                <w:lang w:eastAsia="en-GB"/>
              </w:rPr>
            </w:pPr>
            <w:r w:rsidRPr="00EB3392">
              <w:rPr>
                <w:rFonts w:eastAsia="Calibri"/>
                <w:b/>
                <w:lang w:eastAsia="en-GB"/>
              </w:rPr>
              <w:t>10</w:t>
            </w:r>
          </w:p>
        </w:tc>
        <w:tc>
          <w:tcPr>
            <w:tcW w:w="456" w:type="dxa"/>
            <w:tcBorders>
              <w:top w:val="single" w:color="auto" w:sz="4" w:space="0"/>
              <w:left w:val="nil"/>
              <w:bottom w:val="single" w:color="auto" w:sz="4" w:space="0"/>
              <w:right w:val="nil"/>
            </w:tcBorders>
            <w:vAlign w:val="center"/>
          </w:tcPr>
          <w:p w:rsidRPr="00EB3392" w:rsidR="00C81275" w:rsidP="00C81275" w:rsidRDefault="00C81275" w14:paraId="702ABB1E" w14:textId="77777777">
            <w:pPr>
              <w:jc w:val="center"/>
              <w:rPr>
                <w:rFonts w:eastAsia="Calibri"/>
                <w:b/>
                <w:lang w:eastAsia="en-GB"/>
              </w:rPr>
            </w:pPr>
            <w:r w:rsidRPr="00EB3392">
              <w:rPr>
                <w:rFonts w:eastAsia="Calibri"/>
                <w:b/>
                <w:lang w:eastAsia="en-GB"/>
              </w:rPr>
              <w:t>11</w:t>
            </w:r>
          </w:p>
        </w:tc>
        <w:tc>
          <w:tcPr>
            <w:tcW w:w="853" w:type="dxa"/>
            <w:tcBorders>
              <w:top w:val="single" w:color="auto" w:sz="4" w:space="0"/>
              <w:left w:val="nil"/>
              <w:bottom w:val="single" w:color="auto" w:sz="4" w:space="0"/>
              <w:right w:val="nil"/>
            </w:tcBorders>
            <w:vAlign w:val="center"/>
          </w:tcPr>
          <w:p w:rsidRPr="00EB3392" w:rsidR="00C81275" w:rsidP="00C81275" w:rsidRDefault="00C81275" w14:paraId="3259681C" w14:textId="77777777">
            <w:pPr>
              <w:jc w:val="center"/>
              <w:rPr>
                <w:rFonts w:eastAsia="Calibri"/>
                <w:b/>
                <w:lang w:eastAsia="en-GB"/>
              </w:rPr>
            </w:pPr>
            <w:r w:rsidRPr="00EB3392">
              <w:rPr>
                <w:rFonts w:eastAsia="Calibri"/>
                <w:b/>
                <w:lang w:eastAsia="en-GB"/>
              </w:rPr>
              <w:t>Score</w:t>
            </w:r>
          </w:p>
        </w:tc>
      </w:tr>
      <w:tr w:rsidRPr="00EB3392" w:rsidR="00C81275" w:rsidTr="00C81275" w14:paraId="0DCC0BC8" w14:textId="77777777">
        <w:trPr>
          <w:cantSplit/>
          <w:trHeight w:val="454"/>
        </w:trPr>
        <w:tc>
          <w:tcPr>
            <w:tcW w:w="9717" w:type="dxa"/>
            <w:gridSpan w:val="13"/>
            <w:tcBorders>
              <w:top w:val="single" w:color="auto" w:sz="4" w:space="0"/>
              <w:left w:val="nil"/>
              <w:bottom w:val="single" w:color="auto" w:sz="4" w:space="0"/>
              <w:right w:val="nil"/>
            </w:tcBorders>
            <w:vAlign w:val="center"/>
          </w:tcPr>
          <w:p w:rsidRPr="00EB3392" w:rsidR="00C81275" w:rsidP="00C81275" w:rsidRDefault="00C81275" w14:paraId="15BCF9E9" w14:textId="77777777">
            <w:pPr>
              <w:rPr>
                <w:rFonts w:eastAsia="Calibri"/>
                <w:lang w:eastAsia="en-GB"/>
              </w:rPr>
            </w:pPr>
            <w:r w:rsidRPr="00EB3392">
              <w:rPr>
                <w:rFonts w:eastAsia="Calibri"/>
                <w:lang w:eastAsia="en-GB"/>
              </w:rPr>
              <w:t>Observational studies</w:t>
            </w:r>
          </w:p>
        </w:tc>
      </w:tr>
      <w:tr w:rsidRPr="00EB3392" w:rsidR="00C81275" w:rsidTr="00C81275" w14:paraId="7D59E9ED"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67ECAA9B" w14:textId="77777777">
            <w:pPr>
              <w:rPr>
                <w:rFonts w:eastAsia="Calibri"/>
                <w:lang w:eastAsia="en-GB"/>
              </w:rPr>
            </w:pPr>
            <w:r w:rsidRPr="00166B5C">
              <w:rPr>
                <w:rFonts w:eastAsia="Calibri"/>
                <w:i/>
                <w:iCs/>
                <w:lang w:eastAsia="en-GB"/>
              </w:rPr>
              <w:t>Cross-sectional</w:t>
            </w:r>
          </w:p>
        </w:tc>
      </w:tr>
      <w:tr w:rsidRPr="00EB3392" w:rsidR="00C81275" w:rsidTr="00C81275" w14:paraId="40FBDFD2"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7D701F55" w14:textId="77777777">
            <w:pPr>
              <w:rPr>
                <w:rFonts w:eastAsia="Calibri"/>
                <w:lang w:eastAsia="en-GB"/>
              </w:rPr>
            </w:pPr>
            <w:proofErr w:type="spellStart"/>
            <w:r w:rsidRPr="00166B5C">
              <w:rPr>
                <w:rFonts w:eastAsia="Calibri"/>
                <w:lang w:eastAsia="en-GB"/>
              </w:rPr>
              <w:t>McFadzean</w:t>
            </w:r>
            <w:proofErr w:type="spellEnd"/>
            <w:r w:rsidRPr="00166B5C">
              <w:rPr>
                <w:rFonts w:eastAsia="Calibri"/>
                <w:lang w:eastAsia="en-GB"/>
              </w:rPr>
              <w:t xml:space="preserve"> et al., 2014 </w:t>
            </w:r>
            <w:r w:rsidRPr="00166B5C">
              <w:rPr>
                <w:rFonts w:eastAsia="Calibri"/>
                <w:lang w:eastAsia="en-GB"/>
              </w:rPr>
              <w:fldChar w:fldCharType="begin" w:fldLock="1"/>
            </w:r>
            <w:r w:rsidRPr="00166B5C">
              <w:rPr>
                <w:rFonts w:eastAsia="Calibri"/>
                <w:lang w:eastAsia="en-GB"/>
              </w:rPr>
              <w:instrText>ADDIN CSL_CITATION {"citationItems":[{"id":"ITEM-1","itemData":{"abstract":"Moderate exercise has been shown to be beneficial to health in many ways, including reducing stress, building a stronger immune system and increasing cardiovascular health. Recent studies in the human gut microbiome have demonstrated benefits of certain microorganisms in aiding human pathogen resistance and reduction of inflammation. The hypothesis is that exercise can help modulate the human gut microbiota. Here we show that increasing exercise frequency selects for a diverse community of microbes that contribute to a healthier environment. Individuals who exercised more often showed a significant elevation in their diversity, as well as a significant elevation of certain members of the Firmicutes phylum (including Faecalibacterium prausnitzii, uncharacterized species of genus Oscillospira, Lachnospira, Coprococcus, and uncharacterized families of Clostridiales).","author":[{"dropping-particle":"","family":"Mcfadzean","given":"Robert","non-dropping-particle":"","parse-names":false,"suffix":""}],"id":"ITEM-1","issued":{"date-parts":[["2014"]]},"title":"Exercise can help modulate human gut microbiota","type":"article-journal"},"uris":["http://www.mendeley.com/documents/?uuid=1dca1dd1-25d7-4e35-ada2-95d38172beba"]}],"mendeley":{"formattedCitation":"(42)","plainTextFormattedCitation":"(42)","previouslyFormattedCitation":"(42)"},"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(44)</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16EF1D8" w14:textId="77777777">
            <w:pPr>
              <w:jc w:val="cente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840CFF3" w14:textId="77777777">
            <w:r w:rsidRPr="00166B5C">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9766701" w14:textId="77777777">
            <w:r w:rsidRPr="00166B5C">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E5A8760" w14:textId="77777777">
            <w:pPr>
              <w:rPr>
                <w:lang w:val="en-GB"/>
              </w:rPr>
            </w:pPr>
            <w:r>
              <w:rPr>
                <w:lang w:val="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2084AEF" w14:textId="77777777">
            <w:pPr>
              <w:rPr>
                <w:lang w:val="en-GB"/>
              </w:rPr>
            </w:pPr>
            <w:r w:rsidRPr="00166B5C">
              <w:rPr>
                <w:lang w:val="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32FA397"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5A3BFDC"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60412E4"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555A8F8"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23FFA67"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B75FFC2"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8E1941D" w14:textId="77777777">
            <w:pPr>
              <w:jc w:val="center"/>
              <w:rPr>
                <w:rFonts w:eastAsia="Calibri"/>
                <w:lang w:eastAsia="en-GB"/>
              </w:rPr>
            </w:pPr>
            <w:r>
              <w:rPr>
                <w:rFonts w:eastAsia="Calibri"/>
                <w:lang w:eastAsia="en-GB"/>
              </w:rPr>
              <w:t>4</w:t>
            </w:r>
          </w:p>
        </w:tc>
      </w:tr>
      <w:tr w:rsidRPr="00EB3392" w:rsidR="00C81275" w:rsidTr="00C81275" w14:paraId="6F094E64"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19C6597A" w14:textId="77777777">
            <w:pPr>
              <w:rPr>
                <w:rFonts w:eastAsia="Calibri"/>
                <w:lang w:eastAsia="en-GB"/>
              </w:rPr>
            </w:pPr>
            <w:proofErr w:type="spellStart"/>
            <w:r w:rsidRPr="00166B5C">
              <w:rPr>
                <w:rFonts w:eastAsia="Calibri"/>
                <w:lang w:eastAsia="en-GB"/>
              </w:rPr>
              <w:t>Estaki</w:t>
            </w:r>
            <w:proofErr w:type="spellEnd"/>
            <w:r w:rsidRPr="00166B5C">
              <w:rPr>
                <w:rFonts w:eastAsia="Calibri"/>
                <w:lang w:eastAsia="en-GB"/>
              </w:rPr>
              <w:t xml:space="preserve"> et al., 2016 </w:t>
            </w:r>
            <w:r w:rsidRPr="00166B5C">
              <w:rPr>
                <w:rFonts w:eastAsia="Calibri"/>
                <w:lang w:eastAsia="en-GB"/>
              </w:rPr>
              <w:fldChar w:fldCharType="begin" w:fldLock="1"/>
            </w:r>
            <w:r w:rsidRPr="00166B5C">
              <w:rPr>
                <w:rFonts w:eastAsia="Calibri"/>
                <w:lang w:eastAsia="en-GB"/>
              </w:rPr>
              <w:instrText>ADDIN CSL_CITATION {"citationItems":[{"id":"ITEM-1","itemData":{"DOI":"10.1186/s40168-016-0189-7","ISBN":"2049-2618 (Electronic) 2049-2618 (Linking)","ISSN":"20492618","PMID":"27502158","abstract":"BACKGROUND Reduced microbial diversity in human intestines has been implicated in various conditions such as diabetes, colorectal cancer, and inflammatory bowel disease. The role of physical fitness in the context of human intestinal microbiota is currently not known. We used high-throughput sequencing to analyze fecal microbiota of 39 healthy participants with similar age, BMI, and diets but with varying cardiorespiratory fitness levels. Fecal short-chain fatty acids were analyzed using gas chromatography. RESULTS We showed that peak oxygen uptake (VO2peak), the gold standard measure of cardiorespiratory fitness, can account for more than 20 % of the variation in taxonomic richness, after accounting for all other factors, including diet. While VO2peak did not explain variation in beta diversity, it did play a significant role in explaining variation in the microbiomes' predicted metagenomic functions, aligning positively with genes related to bacterial chemotaxis, motility, and fatty acid biosynthesis. These predicted functions were supported by measured increases in production of fecal butyrate, a short-chain fatty acid associated with improved gut health, amongst physically fit participants. We also identified increased abundances of key butyrate-producing taxa (Clostridiales, Roseburia, Lachnospiraceae, and Erysipelotrichaceae) amongst these individuals, which likely contributed to the observed increases in butyrate levels. CONCLUSIONS Results from this study show that cardiorespiratory fitness is correlated with increased microbial diversity in healthy humans and that the associated changes are anchored around a set of functional cores rather than specific taxa. The microbial profiles of fit individuals favor the production of butyrate. As increased microbiota diversity and butyrate production is associated with overall host health, our findings warrant the use of exercise prescription as an adjuvant therapy in combating dysbiosis-associated diseases.","author":[{"dropping-particle":"","family":"Estaki","given":"Mehrbod","non-dropping-particle":"","parse-names":false,"suffix":""},{"dropping-particle":"","family":"Pither","given":"Jason","non-dropping-particle":"","parse-names":false,"suffix":""},{"dropping-particle":"","family":"Baumeister","given":"Peter","non-dropping-particle":"","parse-names":false,"suffix":""},{"dropping-particle":"","family":"Little","given":"Jonathan P.","non-dropping-particle":"","parse-names":false,"suffix":""},{"dropping-particle":"","family":"Gill","given":"Sandeep K.","non-dropping-particle":"","parse-names":false,"suffix":""},{"dropping-particle":"","family":"Ghosh","given":"Sanjoy","non-dropping-particle":"","parse-names":false,"suffix":""},{"dropping-particle":"","family":"Ahmadi-Vand","given":"Zahra","non-dropping-particle":"","parse-names":false,"suffix":""},{"dropping-particle":"","family":"Marsden","given":"Katelyn R.","non-dropping-particle":"","parse-names":false,"suffix":""},{"dropping-particle":"","family":"Gibson","given":"Deanna L.","non-dropping-particle":"","parse-names":false,"suffix":""}],"container-title":"Microbiome","id":"ITEM-1","issued":{"date-parts":[["2016"]]},"page":"1-13","publisher":"Microbiome","title":"Cardiorespiratory fitness as a predictor of intestinal microbial diversity and distinct metagenomic functions","type":"article-journal","volume":"4"},"uris":["http://www.mendeley.com/documents/?uuid=907d030b-879a-4401-a709-43d75aca95a8"]}],"mendeley":{"formattedCitation":"(35)","plainTextFormattedCitation":"(35)","previouslyFormattedCitation":"(35)"},"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(35)</w:t>
            </w:r>
            <w:r w:rsidRPr="00166B5C">
              <w:rPr>
                <w:rFonts w:eastAsia="Calibri"/>
                <w:lang w:eastAsia="en-GB"/>
              </w:rPr>
              <w:fldChar w:fldCharType="end"/>
            </w:r>
            <w:r w:rsidRPr="00166B5C">
              <w:rPr>
                <w:rFonts w:eastAsia="Calibri"/>
                <w:lang w:eastAsia="en-GB"/>
              </w:rPr>
              <w:t xml:space="preserve"> </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9635D28"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3F9BE72"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F0BD901"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490E10B"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5162922"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E34B16D"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68785A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81F3674"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078D15E"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604B2BB"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D497085"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56E99A6" w14:textId="77777777">
            <w:pPr>
              <w:jc w:val="center"/>
              <w:rPr>
                <w:rFonts w:eastAsia="Calibri"/>
                <w:lang w:eastAsia="en-GB"/>
              </w:rPr>
            </w:pPr>
            <w:r w:rsidRPr="00166B5C">
              <w:rPr>
                <w:rFonts w:eastAsia="Calibri"/>
                <w:lang w:eastAsia="en-GB"/>
              </w:rPr>
              <w:t>6</w:t>
            </w:r>
          </w:p>
        </w:tc>
      </w:tr>
      <w:tr w:rsidRPr="00F42656" w:rsidR="00C81275" w:rsidTr="00C81275" w14:paraId="67CE1197"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53115168" w14:textId="77777777">
            <w:pPr>
              <w:rPr>
                <w:rFonts w:eastAsia="Calibri"/>
                <w:lang w:val="es-ES" w:eastAsia="en-GB"/>
              </w:rPr>
            </w:pPr>
            <w:r w:rsidRPr="00166B5C">
              <w:rPr>
                <w:rFonts w:eastAsia="Calibri"/>
                <w:lang w:eastAsia="en-GB"/>
              </w:rPr>
              <w:t xml:space="preserve">Yang et al., 2017 </w:t>
            </w:r>
            <w:r w:rsidRPr="00166B5C">
              <w:rPr>
                <w:rFonts w:eastAsia="Calibri"/>
                <w:lang w:eastAsia="en-GB"/>
              </w:rPr>
              <w:fldChar w:fldCharType="begin" w:fldLock="1"/>
            </w:r>
            <w:r w:rsidRPr="00166B5C">
              <w:rPr>
                <w:rFonts w:eastAsia="Calibri"/>
                <w:lang w:eastAsia="en-GB"/>
              </w:rPr>
              <w:instrText>ADDIN CSL_CITATION {"citationItems":[{"id":"ITEM-1","itemData":{"DOI":"10.3390/nu9080792","ISBN":"8602154747781","ISSN":"2072-6643","PMID":"28757576","abstract":"The aim of this study was to investigate the association between cardiorespiratory fitness and gut microbiota composition in premenopausal women. The participants consisted of 71 premenopausal Finnish women (aged 19-49 years). Gut microbiota were analyzed using flow cytometry, 16S rRNA gene hybridization and DNA-staining. Maximum oxygen uptake (VO2max) was assessed by respiratory gas analyzer and body composition by Bioimpdance. We found that participants with low VO2max had lower Bacteroides, but higher Eubacterium rectale-Clostridium coccoides than the high VO2max group (p &lt; 0.05 for all). VO2max was inversely associated with EreC (r = -0.309, p = 0.01) but not with other bacteria. VO2max also negatively correlated with fat% (r = -0.755, p &lt; 0.001), triglycerides (r = -0.274, p = 0.021) and leptin (r = -0.574, p &lt; 0.001). By contrast, EreC was positively associated with fat% (r = 0.382, p = 0.002), dietary fat intake (r = 0.258, p = 0.034), triglycerides (r = 0.390, p = 0.002) and leptin (r = 0.424, p = 0.001), but negatively with carbohydrate intake (r = -0.252, p = 0.034) and HDL (r = -0.26, p = 0.028). After adjusting for age and dietary intake, all the significant associations remained. However, after adjusting for fat%, the associations between VO2max and EreC disappeared. Our results suggest that cardiorespiratory fitness is associated with gut microbiota composition, independent of age and carbohydrate or fat intake. The association between VO2max and EreC, however, appears to be mediated by body fatness.","author":[{"dropping-particle":"","family":"Yang","given":"Yifan","non-dropping-particle":"","parse-names":false,"suffix":""},{"dropping-particle":"","family":"Shi","given":"Yi","non-dropping-particle":"","parse-names":false,"suffix":""},{"dropping-particle":"","family</w:instrText>
            </w:r>
            <w:r w:rsidRPr="00166B5C">
              <w:rPr>
                <w:rFonts w:eastAsia="Calibri"/>
                <w:lang w:val="es-ES" w:eastAsia="en-GB"/>
              </w:rPr>
              <w:instrText>":"Wiklund","given":"Petri","non-dropping-particle":"","parse-names":false,"suffix":""},{"dropping-particle":"","family":"Tan","given":"Xiao","non-dropping-particle":"","parse-names":false,"suffix":""},{"dropping-particle":"","family":"Wu","given":"Na","non-dropping-particle":"","parse-names":false,"suffix":""},{"dropping-particle":"","family":"Zhang","given":"Xiaobo","non-dropping-particle":"","parse-names":false,"suffix":""},{"dropping-particle":"","family":"Tikkanen","given":"Olli","non-dropping-particle":"","parse-names":false,"suffix":""},{"dropping-particle":"","family":"Zhang","given":"Chenhong","non-dropping-particle":"","parse-names":false,"suffix":""},{"dropping-particle":"","family":"Munukka","given":"Eveliina","non-dropping-particle":"","parse-names":false,"suffix":""},{"dropping-particle":"","family":"Cheng","given":"Sulin","non-dropping-particle":"","parse-names":false,"suffix":""}],"container-title":"Nutrients","id":"ITEM-1","issue":"8","issued":{"date-parts":[["2017","7","25"]]},"page":"792","title":"The Association between Cardiorespiratory Fitness and Gut Microbiota Composition in Premenopausal Women.","type":"article-journal","volume":"9"},"uris":["http://www.mendeley.com/documents/?uuid=e9181866-5025-4f9c-9adc-170d70942f99"]}],"mendeley":{"formattedCitation":"(36)","plainTextFormattedCitation":"(36)","previouslyFormattedCitation":"(36)"},"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(36)</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A6CDF04"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DB48D4C"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29D6537"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B40C931"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F735150"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6035535"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8E8C8B8"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568F4FE"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68B65F4"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4CD30586"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687D53F"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40CBD7C" w14:textId="77777777">
            <w:pPr>
              <w:jc w:val="center"/>
              <w:rPr>
                <w:rFonts w:eastAsia="Calibri"/>
                <w:lang w:val="es-ES" w:eastAsia="en-GB"/>
              </w:rPr>
            </w:pPr>
            <w:r w:rsidRPr="00166B5C">
              <w:rPr>
                <w:rFonts w:eastAsia="Calibri"/>
                <w:lang w:val="es-ES" w:eastAsia="en-GB"/>
              </w:rPr>
              <w:t>6</w:t>
            </w:r>
          </w:p>
        </w:tc>
      </w:tr>
      <w:tr w:rsidRPr="00F42656" w:rsidR="00C81275" w:rsidTr="00C81275" w14:paraId="108A264B"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6785BBFF" w14:textId="77777777">
            <w:pPr>
              <w:rPr>
                <w:rFonts w:eastAsia="Calibri"/>
                <w:b/>
                <w:lang w:val="es-ES"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i/>
                <w:iCs/>
                <w:lang w:val="es-ES" w:eastAsia="en-GB"/>
              </w:rPr>
              <w:t>Case and control</w:t>
            </w:r>
          </w:p>
        </w:tc>
      </w:tr>
      <w:tr w:rsidRPr="00F42656" w:rsidR="00C81275" w:rsidTr="00C81275" w14:paraId="23E28669"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1EEBBA01" w14:textId="77777777">
            <w:pPr>
              <w:rPr>
                <w:rFonts w:eastAsia="Calibri"/>
                <w:lang w:val="es-ES" w:eastAsia="en-GB"/>
              </w:rPr>
            </w:pPr>
            <w:r w:rsidRPr="00166B5C">
              <w:rPr>
                <w:rFonts w:eastAsia="Calibri"/>
                <w:lang w:val="es-ES" w:eastAsia="en-GB"/>
              </w:rPr>
              <w:t xml:space="preserve">Clarke et al., 2014 </w:t>
            </w:r>
            <w:r w:rsidRPr="00166B5C">
              <w:rPr>
                <w:rFonts w:eastAsia="Calibri"/>
                <w:lang w:eastAsia="en-GB"/>
              </w:rPr>
              <w:fldChar w:fldCharType="begin" w:fldLock="1"/>
            </w:r>
            <w:r w:rsidRPr="00166B5C">
              <w:rPr>
                <w:rFonts w:eastAsia="Calibri"/>
                <w:lang w:val="es-ES" w:eastAsia="en-GB"/>
              </w:rPr>
              <w:instrText>ADDIN CSL_CITATION {"citationItems":[{"id":"ITEM-1","itemData":{"DOI":"10.1136/gutjnl-2013-306541","ISBN":"1468-3288 (Electronic)\\r0017-5749 (Linking)","ISSN":"0017-5749","PMID":"25021423","abstract":"OBJECTIVE The commensal microbiota, host immunity and metabolism participate in a signalling network, with diet influencing each component of this triad. In addition to diet, many elements of a modern lifestyle influence the gut microbiota but the degree to which exercise affects this population is unclear. Therefore, we explored exercise and diet for their impact on the gut microbiota. DESIGN Since extremes of exercise often accompany extremes of diet, we addressed the issue by studying professional athletes from an international rugby union squad. Two groups were included to control for physical size, age and gender. Compositional analysis of the microbiota was explored by 16S rRNA amplicon sequencing. Each participant completed a detailed food frequency questionnaire. RESULTS As expected, athletes and controls differed significantly with respect to plasma creatine kinase (a marker of extreme exercise), and inflammatory and metabolic markers. More importantly, athletes had a higher diversity of gut micro-organisms, representing 22 distinct phyla, which in turn positively correlated with protein consumption and creatine kinase. CONCLUSIONS The results provide evidence for a beneficial impact of exercise on g</w:instrText>
            </w:r>
            <w:r w:rsidRPr="00166B5C">
              <w:rPr>
                <w:rFonts w:eastAsia="Calibri"/>
                <w:lang w:eastAsia="en-GB"/>
              </w:rPr>
              <w:instrText>ut microbiota diversity but also indicate that the relationship is complex and is related to accompanying dietary extremes.","author":[{"dropping-particle":"","family":"Clarke","given":"Siobhan F.","non-dropping-particle":"","parse-names":false,"suffix":""},{"dropping-particle":"","family":"Murphy","given":"Eileen F.","non-dropping-particle":"","parse-names":false,"suffix":""},{"dropping-particle":"","family":"O'Sullivan","given":"Orla","non-dropping-particle":"","parse-names":false,"suffix":""},{"dropping-particle":"","family":"Lucey","given":"Alice J.","non-dropping-particle":"","parse-names":false,"suffix":""},{"dropping-particle":"","family":"Humphreys","given":"Margaret","non-dropping-particle":"","parse-names":false,"suffix":""},{"dropping-particle":"","family":"Hogan","given":"Aileen","non-dropping-particle":"","parse-names":false,"suffix":""},{"dropping-particle":"","family":"Hayes","given":"Paula","non-dropping-particle":"","parse-names":false,"suffix":""},{"dropping-particle":"","family":"O'Reilly","given":"Maeve","non-dropping-particle":"","parse-names":false,"suffix":""},{"dropping-particle":"","family":"Jeffery","given":"Ian B.","non-dropping-particle":"","parse-names":false,"suffix":""},{"dropping-particle":"","family":"Wood-Martin","given":"Ruth","non-dropping-particle":"","parse-names":false,"suffix":""},{"dropping-particle":</w:instrText>
            </w:r>
            <w:r w:rsidRPr="00166B5C">
              <w:rPr>
                <w:rFonts w:eastAsia="Calibri"/>
                <w:lang w:val="es-ES" w:eastAsia="en-GB"/>
              </w:rPr>
              <w:instrText>"","family":"Kerins","given":"David M.","non-dropping-particle":"","parse-names":false,"suffix":""},{"dropping-particle":"","family":"Quigley","given":"Eamonn","non-dropping-particle":"","parse-names":false,"suffix":""},{"dropping-particle":"","family":"Ross","given":"R. Paul","non-dropping-particle":"","parse-names":false,"suffix":""},{"dropping-particle":"","family":"O'Toole","given":"Paul W.","non-dropping-particle":"","parse-names":false,"suffix":""},{"dropping-particle":"","family":"Molloy","given":"Michael G.","non-dropping-particle":"","parse-names":false,"suffix":""},{"dropping-particle":"","family":"Falvey","given":"Eanna","non-dropping-particle":"","parse-names":false,"suffix":""},{"dropping-particle":"","family":"Shanahan","given":"Fergus","non-dropping-particle":"","parse-names":false,"suffix":""},{"dropping-particle":"","family":"Cotter","given":"Paul D.","non-dropping-particle":"","parse-names":false,"suffix":""}],"container-title":"Gut","id":"ITEM-1","issue":"12","issued":{"date-parts":[["2014","12"]]},"page":"1913-1920","title":"Exercise and associated dietary extremes impact on gut microbial diversity","type":"article-journal","volume":"63"},"uris":["http://www.mendeley.com/documents/?uuid=5114ef9f-d62b-45b3-ac07-3b4f14b9bb1c"]}],"mendeley":{"formattedCitation":"(43)","plainTextFormattedCitation":"(43)","previouslyFormattedCitation":"(43)"},"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(45)</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44B7907"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E6ED203"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C7BC071"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292729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741CB09" w14:textId="77777777">
            <w:pPr>
              <w:rPr>
                <w:rFonts w:eastAsia="Calibri"/>
                <w:lang w:val="es-ES" w:eastAsia="en-GB"/>
              </w:rPr>
            </w:pPr>
            <w:r>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2171878"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B12ABA1"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64F18E2"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37A3DF7"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23A7F87C"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DF47905"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26D3BC10" w14:textId="77777777">
            <w:pPr>
              <w:jc w:val="center"/>
              <w:rPr>
                <w:rFonts w:eastAsia="Calibri"/>
                <w:lang w:val="es-ES" w:eastAsia="en-GB"/>
              </w:rPr>
            </w:pPr>
            <w:r>
              <w:rPr>
                <w:rFonts w:eastAsia="Calibri"/>
                <w:lang w:val="es-ES" w:eastAsia="en-GB"/>
              </w:rPr>
              <w:t>4</w:t>
            </w:r>
          </w:p>
        </w:tc>
      </w:tr>
      <w:tr w:rsidRPr="00F42656" w:rsidR="00C81275" w:rsidTr="00C81275" w14:paraId="04AA48D9"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444B2065" w14:textId="77777777">
            <w:pPr>
              <w:rPr>
                <w:rFonts w:eastAsia="Calibri"/>
                <w:lang w:val="es-ES" w:eastAsia="en-GB"/>
              </w:rPr>
            </w:pPr>
            <w:proofErr w:type="spellStart"/>
            <w:r w:rsidRPr="00166B5C">
              <w:rPr>
                <w:rFonts w:eastAsia="Calibri"/>
                <w:lang w:val="es-ES" w:eastAsia="en-GB"/>
              </w:rPr>
              <w:t>Bressa</w:t>
            </w:r>
            <w:proofErr w:type="spellEnd"/>
            <w:r w:rsidRPr="00166B5C">
              <w:rPr>
                <w:rFonts w:eastAsia="Calibri"/>
                <w:lang w:val="es-ES" w:eastAsia="en-GB"/>
              </w:rPr>
              <w:t xml:space="preserve"> et al., 2017 </w:t>
            </w:r>
            <w:r w:rsidRPr="00166B5C">
              <w:rPr>
                <w:rFonts w:eastAsia="Calibri"/>
                <w:lang w:eastAsia="en-GB"/>
              </w:rPr>
              <w:fldChar w:fldCharType="begin" w:fldLock="1"/>
            </w:r>
            <w:r w:rsidRPr="00166B5C">
              <w:rPr>
                <w:rFonts w:eastAsia="Calibri"/>
                <w:lang w:val="es-ES" w:eastAsia="en-GB"/>
              </w:rPr>
              <w:instrText>ADDIN CSL_CITATION {"citationItems":[{"id":"ITEM-1","itemData":{"DOI":"10.1371/journal.pone.0171352","ISBN":"1111111111","ISSN":"19326203","PMID":"28187199","abstract":"Physical exercise is a tool to prevent and treat some of the chronic diseases affecting the world's population. A mechanism through which exercise could exert beneficial effects in the body is by provoking alterations to the gut microbiota, an environmental factor that in recent years has been associated with numerous chronic diseases. Here we show that physical exercise performed by women to at least the degree recommended by the World Health Organization can modify the composition of gut microbiota. Using high-throughput sequencing of the 16s rRNA gene, eleven genera were found to be significantly different between active and sedentary women. Quantitative PCR analysis revealed higher abundance of health-promoting bacterial species in active women, including Faecalibacterium prausnitzii, Roseburia hominis and Akkermansia muciniphila. Moreover, body fat percentage, muscular mass and physical activity significantly correlated with several bacterial populations. In summary, we provide the first demonstration of interdependence between some bacterial genera and sedentary behavior parameters, and show that not only does the dose and type of exercise influence the composition of gut microbiota, but also the breaking of sedentary behavior.","author":[{"dropping-par</w:instrText>
            </w:r>
            <w:r w:rsidRPr="00166B5C">
              <w:rPr>
                <w:rFonts w:eastAsia="Calibri"/>
                <w:lang w:eastAsia="en-GB"/>
              </w:rPr>
              <w:instrText>ticle":"","family":"Bressa","given":"Carlo","non-dropping-particle":"","parse-names":false,"suffix":""},{"dropping-particle":"","family":"Bailén-Andrino","given":"María","non-dropping-particle":"","parse-names":false,"suffix":""},{"dropping-particle":"","family":"Pérez-Santiago","given":"Jennifer","</w:instrText>
            </w:r>
            <w:r w:rsidRPr="00166B5C">
              <w:rPr>
                <w:rFonts w:eastAsia="Calibri"/>
                <w:lang w:val="es-ES" w:eastAsia="en-GB"/>
              </w:rPr>
              <w:instrText>non-dropping-particle":"","parse-names":false,"suffix":""},{"dropping-particle":"","family":"González-Soltero","given":"Rocío","non-dropping-particle":"","parse-names":false,"suffix":""},{"dropping-particle":"","family":"Pérez","given":"Margarita","non-dropping-particle":"","parse-names":false,"suffix":""},{"dropping-particle":"","family":"Montalvo-Lominchar","given":"Maria Gregoria","non-dropping-particle":"","parse-names":false,"suffix":""},{"dropping-particle":"","family":"Maté-Muñoz","given":"Jose Luis","non-dropping-particle":"","parse-names":false,"suffix":""},{"dropping-particle":"","family":"Domínguez","given":"Raúl","non-dropping-particle":"","parse-names":false,"suffix":""},{"dropping-particle":"","family":"Moreno","given":"Diego","non-dropping-particle":"","parse-names":false,"suffix":""},{"dropping-particle":"","family":"Larrosa","given":"Mar","non-dropping-particle":"","parse-names":false,"suffix":""}],"container-title":"PLoS ONE","id":"ITEM-1","issue":"2","issued":{"date-parts":[["2017"]]},"page":"1-20","title":"Differences in gut microbiota profile between women with active lifestyle and sedentary women","type":"article-journal","volume":"12"},"uris":["http://www.mendeley.com/documents/?uuid=eddb6501-317d-4a69-b07d-e7345ec629d3"]}],"mendeley":{"formattedCitation":"(44)","plainTextFormattedCitation":"(44)","previouslyFormattedCitation":"(44)"},"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(46)</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12689A7"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E7B7FAC"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2DD9F36"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B319728"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880D0BE"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0D4E29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2048A79"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3412DD5"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688111B"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D0512A6"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6A93BF9"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056EBF37" w14:textId="77777777">
            <w:pPr>
              <w:jc w:val="center"/>
              <w:rPr>
                <w:rFonts w:eastAsia="Calibri"/>
                <w:lang w:val="es-ES" w:eastAsia="en-GB"/>
              </w:rPr>
            </w:pPr>
            <w:r>
              <w:rPr>
                <w:rFonts w:eastAsia="Calibri"/>
                <w:lang w:val="es-ES" w:eastAsia="en-GB"/>
              </w:rPr>
              <w:t>5</w:t>
            </w:r>
          </w:p>
        </w:tc>
      </w:tr>
      <w:tr w:rsidRPr="00F42656" w:rsidR="00C81275" w:rsidTr="00C81275" w14:paraId="4CC427B5"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13B95239" w14:textId="77777777">
            <w:pPr>
              <w:rPr>
                <w:rFonts w:eastAsia="Calibri"/>
                <w:lang w:val="es-ES" w:eastAsia="en-GB"/>
              </w:rPr>
            </w:pPr>
            <w:proofErr w:type="spellStart"/>
            <w:r w:rsidRPr="00166B5C">
              <w:rPr>
                <w:rFonts w:eastAsia="Calibri"/>
                <w:lang w:val="es-ES" w:eastAsia="en-GB"/>
              </w:rPr>
              <w:t>Petersen</w:t>
            </w:r>
            <w:proofErr w:type="spellEnd"/>
            <w:r w:rsidRPr="00166B5C">
              <w:rPr>
                <w:rFonts w:eastAsia="Calibri"/>
                <w:lang w:val="es-ES" w:eastAsia="en-GB"/>
              </w:rPr>
              <w:t xml:space="preserve"> et al., 2017 </w:t>
            </w:r>
            <w:r w:rsidRPr="00166B5C">
              <w:rPr>
                <w:rFonts w:eastAsia="Calibri"/>
                <w:lang w:eastAsia="en-GB"/>
              </w:rPr>
              <w:fldChar w:fldCharType="begin" w:fldLock="1"/>
            </w:r>
            <w:r w:rsidRPr="00166B5C">
              <w:rPr>
                <w:rFonts w:eastAsia="Calibri"/>
                <w:lang w:val="es-ES" w:eastAsia="en-GB"/>
              </w:rPr>
              <w:instrText>ADDIN CSL_CITATION {"citationItems":[{"id":"ITEM-1","itemData":{"DOI":"10.1186/s40168-017-0320-4","ISBN":"2049-2618 (Electronic) 2049-2618 (Linking)","ISSN":"20492618","PMID":"28797298","abstract":"Changes in diet and exercise can alter the gut microbiome of humans and mice; however, few studies to date have assessed the microbiomes of highly fit athletes. In this pilot study, we used metagenomic whole genome shotgun (mWGS) and metatranscriptomic (RNA-Seq) sequencing to show what organisms are both present and active in the gut microbiomes of both professional and amateur level competitive cyclists and to determine if any significant differences exist between these two groups. Using mWGS sequencing data, we showed that the gut microbiomes of 33 cyclists split into three taxonomic clusters, characterized by either high Prevotella, high Bacteroides or a mix of many genera including Bacteroides, Prevotella, Eubacterium, Ruminococcus, and Akkermansia. While no significant correlations could be found between taxonomic cluster and being either a professional or amateur level cyclist, high abundance of the genus Prevotella (≥2.5%) was significantly correlated with time reported exercising during an average week. Increased abundance of Prevotella was correlated with a number of amino acid and carbohydrate metabolism pathways, including branched chain amino acid metabolism. Further analysis of the metatranscriptome revealed signifi</w:instrText>
            </w:r>
            <w:r w:rsidRPr="00166B5C">
              <w:rPr>
                <w:rFonts w:eastAsia="Calibri"/>
                <w:lang w:eastAsia="en-GB"/>
              </w:rPr>
              <w:instrText>cant taxonomic differences when compared to the metagenome. There was increased abundance of Methanobrevibacter smithii transcripts in a number of professional cyclists in comparison to amateur cyclists and this archaeon had upregulation of genes involved in the production of methane. Furthermore, when methane metabolism was upregulated, there was similar upregulation of energy and carbohydrate metabolism pathways. These results provide a framework for common constituents of the gut community in individuals who follow an exercise-rich lifestyle. These data also suggest how certain organisms such as M. smithii may beneficially influence the metabolic efficiency of the gut community in professional cyclists due to synergistic metabolic cross-feeding events.","author":[{"dropping-particle":"","family":"Pet</w:instrText>
            </w:r>
            <w:r w:rsidRPr="00166B5C">
              <w:rPr>
                <w:rFonts w:eastAsia="Calibri"/>
                <w:lang w:val="es-ES" w:eastAsia="en-GB"/>
              </w:rPr>
              <w:instrText>ersen","given":"Lauren M.","non-dropping-particle":"","parse-names":false,"suffix":""},{"dropping-particle":"","family":"Bautista","given":"Eddy J.","non-dropping-particle":"","parse-names":false,"suffix":""},{"dropping-particle":"","family":"Nguyen","given":"Hoan","non-dropping-particle":"","parse-names":false,"suffix":""},{"dropping-particle":"","family":"Hanson","given":"Blake M.","non-dropping-particle":"","parse-names":false,"suffix":""},{"dropping-particle":"","family":"Chen","given":"Lei","non-dropping-particle":"","parse-names":false,"suffix":""},{"dropping-particle":"","family":"Lek","given":"Sai H.","non-dropping-particle":"","parse-names":false,"suffix":""},{"dropping-particle":"","family":"Sodergren","given":"Erica","non-dropping-particle":"","parse-names":false,"suffix":""},{"dropping-particle":"","family":"Weinstock","given":"George M.","non-dropping-particle":"","parse-names":false,"suffix":""}],"container-title":"Microbiome","id":"ITEM-1","issue":"1","issued":{"date-parts":[["2017"]]},"page":"1-13","publisher":"Microbiome","title":"Community characteristics of the gut microbiomes of competitive cyclists","type":"article-journal","volume":"5"},"uris":["http://www.mendeley.com/documents/?uuid=6b66e220-98a1-4a5d-9eaf-22d5fedf4d69"]}],"mendeley":{"formattedCitation":"(27)","plainTextFormattedCitation":"(27)","previouslyFormattedCitation":"(27)"},"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(27)</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479420AF"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8B6BA76"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51BEF06"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BAD8ED4" w14:textId="77777777">
            <w:pPr>
              <w:rPr>
                <w:rFonts w:eastAsia="Calibri"/>
                <w:lang w:val="es-ES" w:eastAsia="en-GB"/>
              </w:rPr>
            </w:pPr>
            <w:r>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C4CFFBC"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0FB82EC"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BDA7757"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7213C1D"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10C19E1"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48496B16"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439DF420"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1DAB395B" w14:textId="77777777">
            <w:pPr>
              <w:jc w:val="center"/>
              <w:rPr>
                <w:rFonts w:eastAsia="Calibri"/>
                <w:lang w:val="es-ES" w:eastAsia="en-GB"/>
              </w:rPr>
            </w:pPr>
            <w:r>
              <w:rPr>
                <w:rFonts w:eastAsia="Calibri"/>
                <w:lang w:val="es-ES" w:eastAsia="en-GB"/>
              </w:rPr>
              <w:t>4</w:t>
            </w:r>
          </w:p>
        </w:tc>
      </w:tr>
      <w:tr w:rsidRPr="00EB3392" w:rsidR="00C81275" w:rsidTr="00C81275" w14:paraId="1864B07E"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1C3427D1" w14:textId="77777777">
            <w:pPr>
              <w:rPr>
                <w:rFonts w:eastAsia="Calibri"/>
                <w:lang w:eastAsia="en-GB"/>
              </w:rPr>
            </w:pPr>
            <w:proofErr w:type="spellStart"/>
            <w:r w:rsidRPr="00166B5C">
              <w:rPr>
                <w:rFonts w:eastAsia="Calibri"/>
                <w:lang w:val="es-ES" w:eastAsia="en-GB"/>
              </w:rPr>
              <w:t>Barton</w:t>
            </w:r>
            <w:proofErr w:type="spellEnd"/>
            <w:r w:rsidRPr="00166B5C">
              <w:rPr>
                <w:rFonts w:eastAsia="Calibri"/>
                <w:lang w:val="es-ES" w:eastAsia="en-GB"/>
              </w:rPr>
              <w:t xml:space="preserve"> et al., 2018 </w:t>
            </w:r>
            <w:r w:rsidRPr="00166B5C">
              <w:rPr>
                <w:rFonts w:eastAsia="Calibri"/>
                <w:lang w:eastAsia="en-GB"/>
              </w:rPr>
              <w:fldChar w:fldCharType="begin" w:fldLock="1"/>
            </w:r>
            <w:r w:rsidRPr="00166B5C">
              <w:rPr>
                <w:rFonts w:eastAsia="Calibri"/>
                <w:lang w:val="es-ES" w:eastAsia="en-GB"/>
              </w:rPr>
              <w:instrText>ADDIN CSL_CITATION {"citationItems":[{"id":"ITEM-1","itemData":{"DOI":"10.1136/gutjnl-2016-313627","ISBN":"0017-5749","ISSN":"14683288","PMID":"28360096","abstract":"OBJECTIVE It is evident that the gut microbiota and factors that influence its composition and activity effect human metabolic, immunological and developmental processes. We previously reported that extreme physical activity with associated dietary adaptations, such as that pursued by professional athletes, is associated with changes in faecal microbial diversity and composition relative to that of individuals with a more sedentary lifestyle. Here we address the impact of these factors on the functionality/metabolic activity of the microbiota which reveals even greater separation between exercise and a more sedentary state. DESIGN Metabolic phenotyping and functional metagenomic analysis of the gut microbiome of professional international rugby union players (n=40) and controls (n=46) was carried out and results were correlated with lifestyle parameters and clinical measurements (eg, dietary habit and serum creatine kinase, respectively). RESULTS Athletes had relative increases in pathways (eg, amino acid and antibiotic biosynthesis and carbohydrate metabolism) and faecal metabolites (eg, microbial produced short-chain fatty acids (SCFAs) acetate, propionate and butyrate) associated with enhanced muscle turnover (fitness) and overall health when compared with co</w:instrText>
            </w:r>
            <w:r w:rsidRPr="00166B5C">
              <w:rPr>
                <w:rFonts w:eastAsia="Calibri"/>
                <w:lang w:eastAsia="en-GB"/>
              </w:rPr>
              <w:instrText>ntrol groups. CONCLUSIONS Differences in faecal microbiota between athletes and sedentary controls show even greater separation at the metagenomic and metabolomic than at compositional levels and provide added insight into the diet-exercise-gut microbiota paradigm.","author":[{"dropping-particle":"","family":"Barton","given":"Wiley","non-dropping-particle":"","parse-names":false,"suffix":""},{"dropping-particle":"","family":"Penney","given":"Nicholas C.","non-dropping-particle":"","parse-names":false,"suffix":""},{"dropping-particle":"","family":"Cronin","given":"Owen","non-dropping-particle":"","parse-names":false,"suffix":""},{"dropping-particle":"","family":"Garcia-Perez","given":"Isabel","non-dropping-particle":"","parse-names":false,"suffix":""},{"dropping-particle":"","family":"Molloy","given":"Michael G.","non-dropping-particle":"","parse-names":false,"suffix":""},{"dropping-particle":"","family":"Holmes","given":"Elaine","non-dropping-particle":"","parse-names":false,"suffix":""},{"dropping-particle":"","family":"Shanahan","given":"Fergus","non-dropping-particle":"","parse-names":false,"suffix":""},{"dropping-particle":"","family":"Cotter","given":"Paul D.","non-dropping-particle":"","parse-names":false,"suffix":""},{"dropping-particle":"","family":"O'Sullivan","given":"Orla","non-dropping-particle":"","parse-names":false,"suffix":""}],"container-title":"Gut","id":"ITEM-1","issue":"4","issued":{"date-parts":[["2018"]]},"page":"625-633","title":"The microbiome of professional athletes differs from that of more sedentary subjects in composition and particularly at the functional metabolic level","type":"article-journal","volume":"67"},"uris":["http://www.mendeley.com/documents/?uuid=db092a72-24b9-4c01-b5f0-92997b639b0a"]}],"mendeley":{"formattedCitation":"(28)","plainTextFormattedCitation":"(28)","previouslyFormattedCitation":"(28)"},"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(28)</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7E84755"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5054984"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6E22B49"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DA383A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4FEB2B3" w14:textId="77777777">
            <w:pPr>
              <w:rPr>
                <w:rFonts w:eastAsia="Calibri"/>
                <w:lang w:eastAsia="en-GB"/>
              </w:rPr>
            </w:pPr>
            <w:r>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A1A61BC"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1242192"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228A153"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BC1CB57"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4A293E8"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4C111A2D"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47260398" w14:textId="77777777">
            <w:pPr>
              <w:jc w:val="center"/>
              <w:rPr>
                <w:rFonts w:eastAsia="Calibri"/>
                <w:lang w:eastAsia="en-GB"/>
              </w:rPr>
            </w:pPr>
            <w:r>
              <w:rPr>
                <w:rFonts w:eastAsia="Calibri"/>
                <w:lang w:eastAsia="en-GB"/>
              </w:rPr>
              <w:t>4</w:t>
            </w:r>
          </w:p>
        </w:tc>
      </w:tr>
      <w:tr w:rsidRPr="00F42656" w:rsidR="00C81275" w:rsidTr="00C81275" w14:paraId="7E57B90B"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69D3962E" w14:textId="77777777">
            <w:pPr>
              <w:rPr>
                <w:rFonts w:eastAsia="Calibri"/>
                <w:lang w:val="es-ES" w:eastAsia="en-GB"/>
              </w:rPr>
            </w:pPr>
            <w:proofErr w:type="spellStart"/>
            <w:r w:rsidRPr="00166B5C">
              <w:rPr>
                <w:rFonts w:eastAsia="Calibri"/>
                <w:lang w:eastAsia="en-GB"/>
              </w:rPr>
              <w:t>Durk</w:t>
            </w:r>
            <w:proofErr w:type="spellEnd"/>
            <w:r w:rsidRPr="00166B5C">
              <w:rPr>
                <w:rFonts w:eastAsia="Calibri"/>
                <w:lang w:eastAsia="en-GB"/>
              </w:rPr>
              <w:t xml:space="preserve"> et al., 2018 </w:t>
            </w:r>
            <w:r w:rsidRPr="00166B5C">
              <w:rPr>
                <w:rFonts w:eastAsia="Calibri"/>
                <w:lang w:eastAsia="en-GB"/>
              </w:rPr>
              <w:fldChar w:fldCharType="begin" w:fldLock="1"/>
            </w:r>
            <w:r w:rsidRPr="00166B5C">
              <w:rPr>
                <w:rFonts w:eastAsia="Calibri"/>
                <w:lang w:eastAsia="en-GB"/>
              </w:rPr>
              <w:instrText>ADDIN CSL_CITATION {"citationItems":[{"id":"ITEM-1","itemData":{"DOI":"10.1123/ijsnem.2018-0024","ISBN":"8128562452","ISSN":"1526-484X","PMID":"24911322","abstract":"“Gut Microbiota Composition is Related to Cardiorespiratory Fitness in Healthy Young Adults” by Durk RP et al. International Journal of Sport Nutrition and Exercise Metabolism © 2018 Human Kinetics, Inc. ABSTRACT Bacteria residing in the human gastrointestinal (GI) tract has a symbiotic relationship with its host. Animal models have demonstrated a relationship between exercise and gut microbiota composition. This was the first study to explore the relationship between cardiorespiratory fitness (maximal oxygen consumption, VO2max) and relative gut microbiota composition [Firmicutes to Bacteroidetes ratio (F/B)] in healthy young adults in a free-living environment. Twenty males and 18 females (25.7±2.2 y), who did not take antibiotics in the last 6 months, volunteered for this study. VO2max was measured using a symptom-limited graded treadmill test. Relative microbiota composition was determined by analyzing DNA extracted from stool samples using Quantitative Polymerase Chain Reaction (qPCR) that specifically measured the quantity of a target gene (16s RNA) found in Firmicutes and Bacteroidetes. Relationships between F/B and potentially related dietary, anthropometric, and fitness variables were assessed using correlation analyses with appropriate Bonferroni adjustment (p&lt;0.004). Average F/B ratio in all participants was 0.94±0.03. F/B ratio was significantly correlated to VO2max (r=0.48, p&lt;0.003) but, no other fitness, nutritional intake, or anthropometric variables (p&gt;0.004). VO2max explained ~22% of the variance of an individual’s relative gut bacteria as determined by F/B ratio. These data support animal findings, demonstrating a relationship between relative human gut microbiota composition and cardiorespiratory fitness in healthy young adults. GI bacteria is integral in regulating a myriad of physiological processes, and greater insight regarding ramifications of exercise and nutrition on gut microbial composition may help guide therapies to promo</w:instrText>
            </w:r>
            <w:r w:rsidRPr="00166B5C">
              <w:rPr>
                <w:rFonts w:eastAsia="Calibri"/>
                <w:lang w:val="es-ES" w:eastAsia="en-GB"/>
              </w:rPr>
              <w:instrText>te human health.","author":[{"dropping-particle":"","family":"Durk","given":"Ryan P.","non-dropping-particle":"","parse-names":false,"suffix":""},{"dropping-particle":"","family":"Castillo","given":"Esperanza","non-dropping-particle":"","parse-names":false,"suffix":""},{"dropping-particle":"","family":"Márquez-Magaña","given":"Leticia","non-dropping-particle":"","parse-names":false,"suffix":""},{"dropping-particle":"","family":"Grosicki","given":"Gregory J.","non-dropping-particle":"","parse-names":false,"suffix":""},{"dropping-particle":"","family":"Bolter","given":"Nicole D.","non-dropping-particle":"","parse-names":false,"suffix":""},{"dropping-particle":"","family":"Lee","given":"C. Matthew","non-dropping-particle":"","parse-names":false,"suffix":""},{"dropping-particle":"","family":"Bagley","given":"James R.","non-dropping-particle":"","parse-names":false,"suffix":""}],"container-title":"International Journal of Sport Nutrition and Exercise Metabolism","id":"ITEM-1","issue":"July","issued":{"date-parts":[["2018"]]},"page":"1-15","title":"Gut Microbiota Composition is Related to Cardiorespiratory Fitness in Healthy Young Adults","type":"article-journal"},"uris":["http://www.mendeley.com/documents/?uuid=e1a49f45-506e-4043-9d9e-a4243cd86202"]}],"mendeley":{"formattedCitation":"(33)","plainTextFormattedCitation":"(33)","previouslyFormattedCitation":"(33)"},"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(33)</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5355CB1"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B31E76B"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487A3C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2A1D936" w14:textId="77777777">
            <w:pPr>
              <w:rPr>
                <w:rFonts w:eastAsia="Calibri"/>
                <w:lang w:val="es-ES" w:eastAsia="en-GB"/>
              </w:rPr>
            </w:pPr>
            <w:r>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616CC0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39CFE9B"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8E05BA5"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228B2E4"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E63A885"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044F266"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0014051B"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1B148C51" w14:textId="77777777">
            <w:pPr>
              <w:jc w:val="center"/>
              <w:rPr>
                <w:rFonts w:eastAsia="Calibri"/>
                <w:lang w:val="es-ES" w:eastAsia="en-GB"/>
              </w:rPr>
            </w:pPr>
            <w:r>
              <w:rPr>
                <w:rFonts w:eastAsia="Calibri"/>
                <w:lang w:val="es-ES" w:eastAsia="en-GB"/>
              </w:rPr>
              <w:t>4</w:t>
            </w:r>
          </w:p>
        </w:tc>
      </w:tr>
      <w:tr w:rsidRPr="00EB3392" w:rsidR="00C81275" w:rsidTr="00C81275" w14:paraId="38D992BA"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0662DCA0" w14:textId="77777777">
            <w:pPr>
              <w:rPr>
                <w:rFonts w:eastAsia="Calibri"/>
                <w:lang w:eastAsia="en-GB"/>
              </w:rPr>
            </w:pPr>
            <w:proofErr w:type="spellStart"/>
            <w:r w:rsidRPr="00166B5C">
              <w:rPr>
                <w:rFonts w:eastAsia="Calibri"/>
                <w:lang w:val="es-ES" w:eastAsia="en-GB"/>
              </w:rPr>
              <w:t>Mörkl</w:t>
            </w:r>
            <w:proofErr w:type="spellEnd"/>
            <w:r w:rsidRPr="00166B5C">
              <w:rPr>
                <w:rFonts w:eastAsia="Calibri"/>
                <w:lang w:val="es-ES" w:eastAsia="en-GB"/>
              </w:rPr>
              <w:t xml:space="preserve"> et al., 2018 </w:t>
            </w:r>
            <w:r w:rsidRPr="00166B5C">
              <w:fldChar w:fldCharType="begin" w:fldLock="1"/>
            </w:r>
            <w:r w:rsidRPr="00166B5C">
              <w:rPr>
                <w:lang w:val="es-ES"/>
              </w:rPr>
              <w:instrText>ADDIN CSL_CITATION {"citationItems":[{"id":"ITEM-1","itemData":{"DOI":"10.1002/eat.22801","ISBN":"1098-108X(Electronic),0276-3478(Print)","ISSN":"1098108X","PMID":"29131365","abstract":"OBJECTIVES Anorexia nervosa (AN) is a heterogeneous eating disorder associated with alterations of body structure and the gut microbiome. We aimed to investigate the gut microbiota composition of a large female cohort including different BMI groups and activity levels along with body composition parameters. METHOD 106 female participants were included in this cross-sectional study: AN patients (n = 18), athletes (n = 20), normal weight (n = 26), overweight (n = 22), and obese women (n = 20). DNA was extracted from stool samples and subjected to 16S rRNA gene analysis. The software Quantitative Insights Into Microbial Ecology (QIIME) was used to analyze data. Additionally, we performed anthropometric assessments, ultrasound measurements of subcutaneous adipose tissue thickness, bioimpedance analysis, administered depression inventories, and ascertained laboratory parameters and dietary intakes. RESULTS Alpha diversity was particularly lower in AN patients and obese participants compared to other groups, while athletes showed highest alpha diversity. Several categories significantly associated with community structure were identified: body fat parameters, serum lipids, CRP, depression scales and smoking. Comparative analysis revealed Coriobacter</w:instrText>
            </w:r>
            <w:r w:rsidRPr="00166B5C">
              <w:instrText>iaceae as the only enriched phylotype in AN compared to other entities (LDA score &gt;3.5). DISCUSSION This study provides further evidence of intestinal dysbiosis in AN and sheds light on characteristics of the gut microbiome in different BMI and physical activity groups. These insights point to new modulation possibilities of the gut microbiota which could improve the standard therapy of AN.","author":[{"dropping-particle":"","family":"Mörkl","given":"Sabrina","non-dropping-particle":"","parse-names":false,"suffix":""},{"dropping-particle":"","family":"Lackner","given":"Sonja","non-dropping-particle":"","parse-names":false,"suffix":""},{"dropping-particle":"","family":"Müller","given":"Wolfram","non-dropping-particle":"","parse-names":false,"suffix":""},{"dropping-particle":"","family":"Gorkiewicz","given":"Gregor","non-dropping-particle":"","parse-names":false,"suffix":""},{"dropping-particle":"","family":"Kashofer","given":"Karl","non-dropping-particle":"","parse-names":false,"suffix":""},{"dropping-particle":"","family":"Oberascher","given":"Andreas","non-dropping-particle":"","parse-names":false,"suffix":""},{"dropping-particle":"","family":"Painold","given":"Annamaria","non-dropping-particle":"","parse-names":false,"suffix":""},{"dropping-particle":"","family":"Holl","given":"Anna","non-dropping-particle":"","parse-names":false,"suffix":""},{"dropping-particle":"","family":"Holzer","given":"Peter","non-dropping-particle":"","parse-names":false,"suffix":""},{"dropping-particle":"","family":"Meinitzer","given":"Andreas","non-dropping-particle":"","parse-names":false,"suffix":""},{"dropping-particle":"","family":"Mangge","given":"Harald","non-dropping-particle":"","parse-names":false,"suffix":""},{"dropping-particle":"","family":"Holasek","given":"Sandra","non-dropping-particle":"","parse-names":false,"suffix":""}],"container-title":"International Journal of Eating Disorders","id":"ITEM-1","issue":"12","issued":{"date-parts":[["2017"]]},"page":"1421-1431","title":"Gut microbiota and body composition in anorexia nervosa inpatients in comparison to athletes, overweight, obese, and normal weight controls","type":"article-journal","volume":"50"},"uris":["http://www.mendeley.com/documents/?uuid=4355b02a-1357-4cd5-a90b-eb25cf3f389c"]}],"mendeley":{"formattedCitation":"(34)","plainTextFormattedCitation":"(34)","previouslyFormattedCitation":"(34)"},"properties":{"noteIndex":0},"schema":"https://github.com/citation-style-language/schema/raw/master/csl-citation.json"}</w:instrText>
            </w:r>
            <w:r w:rsidRPr="00166B5C">
              <w:fldChar w:fldCharType="separate"/>
            </w:r>
            <w:r w:rsidRPr="00166B5C">
              <w:rPr>
                <w:noProof/>
              </w:rPr>
              <w:t>(34)</w:t>
            </w:r>
            <w:r w:rsidRPr="00166B5C">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9B6A2BF"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E8E2AD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F0E4F72"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30AC458" w14:textId="77777777">
            <w:pPr>
              <w:rPr>
                <w:rFonts w:eastAsia="Calibri"/>
                <w:lang w:eastAsia="en-GB"/>
              </w:rPr>
            </w:pPr>
            <w:r>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F1B4E71"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59D2329"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85ABB21"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BC9B5A9"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44AD19C"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55836DF"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43DE3C0"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45571551" w14:textId="77777777">
            <w:pPr>
              <w:jc w:val="center"/>
              <w:rPr>
                <w:rFonts w:eastAsia="Calibri"/>
                <w:lang w:eastAsia="en-GB"/>
              </w:rPr>
            </w:pPr>
            <w:r>
              <w:rPr>
                <w:rFonts w:eastAsia="Calibri"/>
                <w:lang w:eastAsia="en-GB"/>
              </w:rPr>
              <w:t>4</w:t>
            </w:r>
          </w:p>
        </w:tc>
      </w:tr>
      <w:tr w:rsidRPr="00EB3392" w:rsidR="00C81275" w:rsidTr="00C81275" w14:paraId="34EA511A"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0DDEBC4B" w14:textId="77777777">
            <w:pPr>
              <w:rPr>
                <w:rFonts w:eastAsia="Calibri"/>
                <w:b/>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lang w:eastAsia="en-GB"/>
              </w:rPr>
              <w:t>Short-term exercise studies</w:t>
            </w:r>
          </w:p>
        </w:tc>
      </w:tr>
      <w:tr w:rsidRPr="00EB3392" w:rsidR="00C81275" w:rsidTr="00C81275" w14:paraId="666A5163"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1C3633B4" w14:textId="77777777">
            <w:pPr>
              <w:rPr>
                <w:rFonts w:eastAsia="Calibri"/>
                <w:b/>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i/>
                <w:iCs/>
                <w:lang w:eastAsia="en-GB"/>
              </w:rPr>
              <w:t>Cohort</w:t>
            </w:r>
          </w:p>
        </w:tc>
      </w:tr>
      <w:tr w:rsidRPr="00EB3392" w:rsidR="00C81275" w:rsidTr="00C81275" w14:paraId="3AFE9D6D"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17C12A5E" w14:textId="77777777">
            <w:pPr>
              <w:rPr>
                <w:rFonts w:eastAsia="Calibri"/>
                <w:lang w:eastAsia="en-GB"/>
              </w:rPr>
            </w:pPr>
            <w:r w:rsidRPr="00166B5C">
              <w:rPr>
                <w:rFonts w:eastAsia="Calibri"/>
                <w:lang w:eastAsia="en-GB"/>
              </w:rPr>
              <w:t>Lundgren-</w:t>
            </w:r>
            <w:proofErr w:type="spellStart"/>
            <w:r w:rsidRPr="00166B5C">
              <w:rPr>
                <w:rFonts w:eastAsia="Calibri"/>
                <w:lang w:eastAsia="en-GB"/>
              </w:rPr>
              <w:t>Kownacki</w:t>
            </w:r>
            <w:proofErr w:type="spellEnd"/>
            <w:r w:rsidRPr="00166B5C">
              <w:rPr>
                <w:rFonts w:eastAsia="Calibri"/>
                <w:lang w:eastAsia="en-GB"/>
              </w:rPr>
              <w:t xml:space="preserve"> et al., 2018 </w:t>
            </w:r>
            <w:r w:rsidRPr="00166B5C">
              <w:fldChar w:fldCharType="begin" w:fldLock="1"/>
            </w:r>
            <w:r w:rsidRPr="00166B5C">
              <w:instrText>ADDIN CSL_CITATION {"citationItems":[{"id":"ITEM-1","itemData":{"DOI":"10.2486/indhealth.2017-0030","ISBN":"0019-8366","ISSN":"0019-8366","PMID":"29057769","abstract":"It is common practice in India to consume the dairy drink buttermilk as a way of mitigat-ing occupational heat strain. This paper explores the thermoregulatory and hydration benefits of drinking buttermilk but also the impacts of work in a hot environment on the gut microbiota, renal and cognitive function. Twelve healthy participants were subjected to a 3-h period of medium load physical intermittent work in a climatic chamber (34°C, 60% RH). The subjects were given water, buttermilk (700 ml) or no rehydration at random. Mean body temperatures when no rehydration was given were significantly higher (p ≤ 0.001). When subjects drank water or buttermilk they had a lower sweat rate than with no rehydration (p ≤ 0.05) and the perception of feeling hot, uncomfort-able, thirsty and physically exerted was significantly reduced (p ≤ 0.05). A hormonal stress response at the end of the exposure was seen when not drinking (p ≤ 0.05). No differences in cognitive abili-ties and gut microbiota were found. The exposure lowered the renal blood flow suggesting an acute impact of short term heat exposure. It was also found that buttermilk has a protective effect on this impact. Our results demonstrated that keeping hydrated by water/buttermilk consumption miti-gates heat strain in well-nourished subjects.","author":[{"dropping-particle":"","family":"Lundgren-Kownacki","given":"Karin","non-dropping-particle":"","parse-names":false,"suffix":""},{"dropping-particle":"","family":"Dahl","given":"Mats","non-dropping-particle":"","parse-names":false,"suffix":""},{"dropping-particle":"","family":"Gao","given":"Chuansi","non-dropping-particle":"","parse-names":false,"suffix":""},{"dropping-particle":"","family":"Jakobsson","given":"Kristina","non-dropping-particle":"","parse-names":false,"suffix":""},{"dropping-particle":"","family":"Linninge","given":"Caroline","non-dropping-particle":"","parse-names":false,"suffix":""},{"dropping-particle":"","family":"Song","given":"Danping","non-dropping-particle":"","parse-names":false,"suffix":""},{"dropping-particle":"","family":"Kuklane","given":"Kalev","non-dropping-particle":"","parse-names":false,"suffix":""}],"container-title":"Industrial Health","id":"ITEM-1","issued":{"date-parts":[["2017"]]},"page":"106-121","title":"Exploring how a traditional diluted yoghurt drink may mitigate heat strain during medium-intensity intermittent work. – A multidisciplinary study of occupational heat strain","type":"article-journal"},"uris":["http://www.mendeley.com/documents/?uuid=5806e0ee-a225-4e47-94b4-fa0365b52903"]}],"mendeley":{"formattedCitation":"(38)","plainTextFormattedCitation":"(38)","previouslyFormattedCitation":"(38)"},"properties":{"noteIndex":0},"schema":"https://github.com/citation-style-language/schema/raw/master/csl-citation.json"}</w:instrText>
            </w:r>
            <w:r w:rsidRPr="00166B5C">
              <w:fldChar w:fldCharType="separate"/>
            </w:r>
            <w:r w:rsidRPr="00166B5C">
              <w:rPr>
                <w:noProof/>
              </w:rPr>
              <w:t>(38)</w:t>
            </w:r>
            <w:r w:rsidRPr="00166B5C">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8832519"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A331ED4"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6327053"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80BFAAB"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E9C35C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9C81453"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BC05F62"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E182B62"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0454751"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CCD9383"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5A1056B"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D59D9A0" w14:textId="77777777">
            <w:pPr>
              <w:jc w:val="center"/>
              <w:rPr>
                <w:rFonts w:eastAsia="Calibri"/>
                <w:lang w:eastAsia="en-GB"/>
              </w:rPr>
            </w:pPr>
            <w:r>
              <w:rPr>
                <w:rFonts w:eastAsia="Calibri"/>
                <w:lang w:eastAsia="en-GB"/>
              </w:rPr>
              <w:t>5</w:t>
            </w:r>
          </w:p>
        </w:tc>
      </w:tr>
      <w:tr w:rsidRPr="00F42656" w:rsidR="00C81275" w:rsidTr="00C81275" w14:paraId="6F220373"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54EA3151" w14:textId="77777777">
            <w:pPr>
              <w:rPr>
                <w:rFonts w:eastAsia="Calibri"/>
                <w:lang w:val="es-ES" w:eastAsia="en-GB"/>
              </w:rPr>
            </w:pPr>
            <w:r w:rsidRPr="00166B5C">
              <w:rPr>
                <w:rFonts w:eastAsia="Calibri"/>
                <w:lang w:eastAsia="en-GB"/>
              </w:rPr>
              <w:t xml:space="preserve">Zhao et al., 2018 </w:t>
            </w:r>
            <w:r w:rsidRPr="00166B5C">
              <w:fldChar w:fldCharType="begin" w:fldLock="1"/>
            </w:r>
            <w:r w:rsidRPr="00166B5C">
              <w:instrText>ADDIN CSL_CITATION {"citationItems":[{"id":"ITEM-1","itemData":{"DOI":"10.3389/fmicb.2018.00765","ISBN":"1664-302X (Print)\r1664-302X (Linking)","ISSN":"1664302X","PMID":"29731746","abstract":"A few animal studies have shown that wheel running could reverse an unhealthy status by shifting the gut microbial composition, but no investigations have studied the effect of endurance running, such as marathon running, on human gut microbial communities. Since many findings have shown that marathon running immediately causes metabolic changes in blood, urine, muscles and lymph that potentially impact the gut microbiota (GM) within several hours. Here, we investigated whether the GM immediately responds to the enteric changes in amateur half-marathon runners. Alterations in the metabolic profile and microbiota were investigated in fecal samples based on an untargeted metabolomics methodology and 16S rDNA sequencing analysis. A total of 40 fecal metabolites were found significantly changed after finishing a half-marathon race. The most significantly different metabolites were organic acids (the major increased metabolites) and nucleic acid components (the major decreased metabolites). The enteric changes induced by running did not affect the α-diversity of the GM, but the abundances of certain microbiota members were shown to be significantly different before and after running. The family Coriobacteriaceae was identified as a potential biomarker that links exercise with health improvement. Functional prediction showed a significantly activated \"Cell motility\" function of GM within participants after running. Correlation analysis indicated that the observed differential GM in our study might have been the shared outcome of running and diet. This study provided knowledge regarding the health impacts of marathon running from the perspective of GM for the first time. Our data indicated that long-distance endurance running can immediately cause striking metabolic changes i</w:instrText>
            </w:r>
            <w:r w:rsidRPr="00166B5C">
              <w:rPr>
                <w:lang w:val="es-ES"/>
              </w:rPr>
              <w:instrText>n the gut environment. Gut microbes can rapidly respond to the altered fecal metabolites by adjusting certain bacterial taxa. These findings highlighted the health-promoting benefits of exercise from the perspective of GM.","author":[{"dropping-particle":"","family":"Zhao","given":"Xia","non-dropping-particle":"","parse-names":false,"suffix":""},{"dropping-particle":"","family":"Zhang","given":"Zhujun","non-dropping-particle":"","parse-names":false,"suffix":""},{"dropping-particle":"","family":"Hu","given":"Bin","non-dropping-particle":"","parse-names":false,"suffix":""},{"dropping-particle":"","family":"Huang","given":"Wei","non-dropping-particle":"","parse-names":false,"suffix":""},{"dropping-particle":"","family":"Yuan","given":"Chao","non-dropping-particle":"","parse-names":false,"suffix":""},{"dropping-particle":"","family":"Zou","given":"Lingyun","non-dropping-particle":"","parse-names":false,"suffix":""}],"container-title":"Frontiers in Microbiology","id":"ITEM-1","issue":"APR","issued":{"date-parts":[["2018"]]},"page":"1-11","title":"Response of gut microbiota to metabolite changes induced by endurance exercise","type":"article-journal","volume":"9"},"uris":["http://www.mendeley.com/documents/?uuid=65f44baf-e7c6-44d2-ba91-c26207d2c5b5"]}],"mendeley":{"formattedCitation":"(39)","plainTextFormattedCitation":"(39)","previouslyFormattedCitation":"(39)"},"properties":{"noteIndex":0},"schema":"https://github.com/citation-style-language/schema/raw/master/csl-citation.json"}</w:instrText>
            </w:r>
            <w:r w:rsidRPr="00166B5C">
              <w:fldChar w:fldCharType="separate"/>
            </w:r>
            <w:r w:rsidRPr="00166B5C">
              <w:rPr>
                <w:noProof/>
                <w:lang w:val="es-ES"/>
              </w:rPr>
              <w:t>(39)</w:t>
            </w:r>
            <w:r w:rsidRPr="00166B5C">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772DEA5"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CD44133"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5D61287"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0918616"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9D1A094"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A0A3C83"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5C03E5C"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B254849"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052CB7A"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0354A838"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1C615DB"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07414C8A" w14:textId="77777777">
            <w:pPr>
              <w:jc w:val="center"/>
              <w:rPr>
                <w:rFonts w:eastAsia="Calibri"/>
                <w:lang w:val="es-ES" w:eastAsia="en-GB"/>
              </w:rPr>
            </w:pPr>
            <w:r>
              <w:rPr>
                <w:rFonts w:eastAsia="Calibri"/>
                <w:lang w:val="es-ES" w:eastAsia="en-GB"/>
              </w:rPr>
              <w:t>5</w:t>
            </w:r>
          </w:p>
        </w:tc>
      </w:tr>
      <w:tr w:rsidRPr="00F42656" w:rsidR="00C81275" w:rsidTr="00C81275" w14:paraId="0C991BD5"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06EB5143" w14:textId="77777777">
            <w:pPr>
              <w:rPr>
                <w:rFonts w:eastAsia="Calibri"/>
                <w:b/>
                <w:i/>
                <w:iCs/>
                <w:lang w:val="es-ES"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i/>
                <w:iCs/>
                <w:lang w:val="es-ES" w:eastAsia="en-GB"/>
              </w:rPr>
              <w:t>Case and control</w:t>
            </w:r>
          </w:p>
        </w:tc>
      </w:tr>
      <w:tr w:rsidRPr="00F42656" w:rsidR="00C81275" w:rsidTr="00C81275" w14:paraId="193351C5"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68CD7F76" w14:textId="77777777">
            <w:pPr>
              <w:rPr>
                <w:rFonts w:eastAsia="Calibri"/>
                <w:lang w:val="es-ES" w:eastAsia="en-GB"/>
              </w:rPr>
            </w:pPr>
            <w:proofErr w:type="spellStart"/>
            <w:r w:rsidRPr="00166B5C">
              <w:rPr>
                <w:rFonts w:eastAsia="Calibri"/>
                <w:lang w:val="es-ES" w:eastAsia="en-GB"/>
              </w:rPr>
              <w:t>Shukla</w:t>
            </w:r>
            <w:proofErr w:type="spellEnd"/>
            <w:r w:rsidRPr="00166B5C">
              <w:rPr>
                <w:rFonts w:eastAsia="Calibri"/>
                <w:lang w:val="es-ES" w:eastAsia="en-GB"/>
              </w:rPr>
              <w:t xml:space="preserve"> et al., 2015 </w:t>
            </w:r>
            <w:r w:rsidRPr="00166B5C">
              <w:rPr>
                <w:rFonts w:eastAsia="Calibri"/>
                <w:lang w:eastAsia="en-GB"/>
              </w:rPr>
              <w:fldChar w:fldCharType="begin" w:fldLock="1"/>
            </w:r>
            <w:r w:rsidRPr="00166B5C">
              <w:rPr>
                <w:rFonts w:eastAsia="Calibri"/>
                <w:lang w:val="es-ES" w:eastAsia="en-GB"/>
              </w:rPr>
              <w:instrText>ADDIN CSL_CITATION {"citationItems":[{"id":"ITEM-1","itemData":{"DOI":"10.1371/journal.pone.0145453","ISBN":"1932-6203","ISSN":"19326203","PMID":"26683192","abstract":"Myalgic encephalomyelitis/chronic fatigue syndrome (ME/CFS) is a disease characterized by intense and debilitating fatigue not due to physical activity that has persisted for at least 6 months, post-exertional malaise, unrefreshing sleep, and accompanied by a number of secondary symptoms, including sore throat, memory and concentration impairment, headache, and muscle/joint pain. In patients with post-exertional malaise, significant worsening of symptoms occurs following physical exertion and exercise challenge serves as a useful method for identifying biomarkers for exertion intolerance. Evidence suggests that intestinal dysbiosis and systemic responses to gut microorganisms may play a role in the symptomology of ME/CFS. As such, we hypothesized that post-exertion worsening of ME/CFS symptoms could be due to increased bacterial translocation from the intestine into the systemic circulation. To test this hypothesis, we collected symptom reports and blood and stool samples from ten clinically characterized ME/CFS patients and ten matched healthy controls before and 15 minutes, 48 hours, and 72 hours after a maximal exercise challenge. Microbiomes of blood and stool samples were examined. Stool sample microbiomes differed between ME/CFS patient</w:instrText>
            </w:r>
            <w:r w:rsidRPr="00166B5C">
              <w:rPr>
                <w:rFonts w:eastAsia="Calibri"/>
                <w:lang w:eastAsia="en-GB"/>
              </w:rPr>
              <w:instrText>s and healthy controls in the abundance of several major bacterial phyla. Following maximal exercise challenge, there was an increase in relative abundance of 6 of the 9 major bacterial phyla/genera in ME/CFS patients from baseline to 72 hours post-exercise compared to only 2 of the 9 phyla/genera in controls (p = 0.005). There was also a significant difference in clearance of specific bacterial phyla from blood following exercise with high levels of bacterial sequences maintained at 72 hours post-exercise in ME/CFS patients versus clearance in the controls. These results provide evidence for a systemic effect of an altered gut microbiome in ME/CFS patients compared to controls. Upon exercise challenge, there were significant changes in the abundance of major bacterial phyla in the gut in ME/CFS patients not observed in healthy controls. In addition, compared to controls clearance of bacteria from the blood was delayed in ME/CFS patients following exercise. These findings suggest a role for an altered gut microbiome and increased bacterial translocation following exercise in ME/CFS patients that may account for the profound post-exertional malaise experienced by ME/CFS patients.","author":[{"dropping-particle":"","family":"Shukla","given":"Sanjay K.","non-dropping-particle":"","parse-names":false,"suffix":""},{"dropping-particle":"","family":"Cook","given":"Dane","non-dropping-particle":"","parse-names":false,"suffix":""},{"dropping-particle":"","family":"Meyer","given":"Jacob","non-dropping</w:instrText>
            </w:r>
            <w:r w:rsidRPr="00166B5C">
              <w:rPr>
                <w:rFonts w:eastAsia="Calibri"/>
                <w:lang w:val="es-ES" w:eastAsia="en-GB"/>
              </w:rPr>
              <w:instrText>-particle":"","parse-names":false,"suffix":""},{"dropping-particle":"","family":"Vernon","given":"Suzanne D.","non-dropping-particle":"","parse-names":false,"suffix":""},{"dropping-particle":"","family":"Le","given":"Thao","non-dropping-particle":"","parse-names":false,"suffix":""},{"dropping-particle":"","family":"Clevidence","given":"Derek","non-dropping-particle":"","parse-names":false,"suffix":""},{"dropping-particle":"","family":"Robertson","given":"Charles E.","non-dropping-particle":"","parse-names":false,"suffix":""},{"dropping-particle":"","family":"Schrodi","given":"Steven J.","non-dropping-particle":"","parse-names":false,"suffix":""},{"dropping-particle":"","family":"Yale","given":"Steven","non-dropping-particle":"","parse-names":false,"suffix":""},{"dropping-particle":"","family":"Frank","given":"Daniel N.","non-dropping-particle":"","parse-names":false,"suffix":""}],"container-title":"PLoS ONE","id":"ITEM-1","issue":"12","issued":{"date-parts":[["2015"]]},"page":"1-15","title":"Changes in gut and plasma Microbiome following exercise challenge in Myalgic encephalomyelitis/chronic fatigue syndrome (ME/CFS)","type":"article-journal","volume":"10"},"uris":["http://www.mendeley.com/documents/?uuid=6a323ab0-a2d3-4d5f-9898-9c191fc198c5"]}],"mendeley":{"formattedCitation":"(37)","plainTextFormattedCitation":"(37)","previouslyFormattedCitation":"(37)"},"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(37)</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2E9FBDD7"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142B121"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6921887"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DC3CF35"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BF0E7C3"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3F816EE"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F94824D"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F5795A5"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E14B455"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B56EF1B"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11FAA8F"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66DF224A" w14:textId="77777777">
            <w:pPr>
              <w:jc w:val="center"/>
              <w:rPr>
                <w:rFonts w:eastAsia="Calibri"/>
                <w:lang w:val="es-ES" w:eastAsia="en-GB"/>
              </w:rPr>
            </w:pPr>
            <w:r>
              <w:rPr>
                <w:rFonts w:eastAsia="Calibri"/>
                <w:lang w:val="es-ES" w:eastAsia="en-GB"/>
              </w:rPr>
              <w:t>5</w:t>
            </w:r>
          </w:p>
        </w:tc>
      </w:tr>
      <w:tr w:rsidRPr="00EB3392" w:rsidR="00C81275" w:rsidTr="00C81275" w14:paraId="148E3A28"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60D4A0B8" w14:textId="77777777">
            <w:pPr>
              <w:rPr>
                <w:rFonts w:eastAsia="Calibri"/>
                <w:lang w:eastAsia="en-GB"/>
              </w:rPr>
            </w:pPr>
            <w:proofErr w:type="spellStart"/>
            <w:r w:rsidRPr="00166B5C">
              <w:rPr>
                <w:rFonts w:eastAsia="Calibri"/>
                <w:lang w:val="es-ES" w:eastAsia="en-GB"/>
              </w:rPr>
              <w:t>Scheiman</w:t>
            </w:r>
            <w:proofErr w:type="spellEnd"/>
            <w:r w:rsidRPr="00166B5C">
              <w:rPr>
                <w:rFonts w:eastAsia="Calibri"/>
                <w:lang w:val="es-ES" w:eastAsia="en-GB"/>
              </w:rPr>
              <w:t xml:space="preserve"> et al., 2019 </w:t>
            </w:r>
            <w:r w:rsidRPr="00166B5C">
              <w:rPr>
                <w:rFonts w:eastAsia="Calibri"/>
                <w:lang w:eastAsia="en-GB"/>
              </w:rPr>
              <w:fldChar w:fldCharType="begin" w:fldLock="1"/>
            </w:r>
            <w:r w:rsidRPr="00166B5C">
              <w:rPr>
                <w:rFonts w:eastAsia="Calibri"/>
                <w:lang w:val="es-ES" w:eastAsia="en-GB"/>
              </w:rPr>
              <w:instrText>ADDIN CSL_CITATION {"citationItems":[{"id":"ITEM-1","itemData":{"DOI":"10.1038/s41591-019-0485-4","ISSN":"1078-8956","abstract":"The human gut microbiome is linked to many states of human health and disease 1. The metabolic repertoire of the gut micro-biome is vast, but the health implications of these bacterial pathways are poorly understood. In this study, we identify a link between members of the genus Veillonella and exercise performance. We observed an increase in Veillonella relative abundance in marathon runners postmarathon and isolated a strain of Veillonella atypica from stool samples. Inoculation of this strain into mice significantly increased exhaustive tread-mill run time. Veillonella utilize lactate as their sole carbon source, which prompted us to perform a shotgun metage-nomic analysis in a cohort of elite athletes, finding that every gene in a major pathway metabolizing lactate to propionate is at higher relative abundance postexercise. Using 13 C 3-labeled lactate in mice, we demonstrate that serum lactate crosses the epithelial barrier into the lumen of the gut. We also show that intrarectal instillation of propionate is sufficient to reproduce the increased treadmill run time performance observed with V. atypica gavage. Taken together, these studies reveal that V. atypica improves run time via its metabolic conversion of exercise-induced lactate into propionate, thereby identifying a natural, microbiom</w:instrText>
            </w:r>
            <w:r w:rsidRPr="00166B5C">
              <w:rPr>
                <w:rFonts w:eastAsia="Calibri"/>
                <w:lang w:eastAsia="en-GB"/>
              </w:rPr>
              <w:instrText>e-encoded enzymatic process that enhances athletic performance. Human microbiome studies have generally examined individuals who are 'healthy' or diseased and identified features of the microbiome associated with these states 2-4. Athlete microbi-omes have been found to contain distinct microbial compositions defined by elevated abundances of Veillonellaceae, Bacteroides, Prevotella, Methanobrevibacter or Akkermansia 5,6. These studies show that exercise is associated with changes in microbiome composition , although the effects of these microbial genera on phenotype remain unknown. To identify gut bacteria associated with athletic performance and recovery states, we recruited athletes (n = 15) who ran in the 2015 Boston Marathon, along with a set of sedentary controls (n = 10), and conducted 16S ribosomal DNA (rDNA) sequencing on approximately daily samples collected up to one week before and one week after marathon day (n = 209 samples; Supplementary Tables 1 and 2). Phylum-level relative abundance partitioned by individual, time (−5 to +5 d in relation to running the marathon), and whether the participant was an athlete (Fig. 1a) showed that, at this high-lev…","author":[{"dropping-particle":"","family":"Scheiman","given":"Jonathan","non-dropping-particle":"","parse-names":false,"suffix":""},{"dropping-particle":"","family":"Luber","given":"Jacob M","non-dropping-particle":"","parse-names":false,"suffix":""},{"dropping-particle":"","family":"Chavkin","given":"Theodore A","non-dropping-particle":"","parse-names":false,"suffix":""},{"dropping-particle":"","family":"MacDonald","given":"Tara","non-dropping-particle":"","parse-names":false,"suffix":""},{"dropping-particle":"","family":"Tung","given":"Angela","non-dropping-particle":"","parse-names":false,"suffix":""},{"dropping-particle":"","family":"Pham","given":"Loc-Duyen","non-dropping-particle":"","parse-names":false,"suffix":""},{"dropping-particle":"","family":"Wibowo","given":"Marsha C","non-dropping-particle":"","parse-names":false,"suffix":""},{"dropping-particle":"","family":"Wurth","given":"Renee C","non-dropping-particle":"","parse-names":false,"suffix":""},{"dropping-particle":"","family":"Punthambaker","given":"Sukanya","non-dropping-particle":"","parse-names":false,"suffix":""},{"dropping-particle":"","family":"Tierney","given":"Braden T","non-dropping-particle":"","parse-names":false,"suffix":""},{"dropping-particle":"","family":"Yang","given":"Zhen","non-dropping-particle":"","parse-names":false,"suffix":""},{"dropping-particle":"","family":"Hattab","given":"Mohammad W","non-dropping-particle":"","parse-names":false,"suffix":""},{"dropping-particle":"","family":"Avila-Pacheco","given":"Julian","non-dropping-particle":"","parse-names":false,"suffix":""},{"dropping-particle":"","family":"Clish","given":"Clary B","non-dropping-particle":"","parse-names":false,"suffix":""},{"dropping-particle":"","family":"Lessard","given":"Sarah","non-dropping-particle":"","parse-names":false,"suffix":""},{"dropping-particle":"","family":"Church","given":"George M","non-dropping-particle":"","parse-names":false,"suffix":""},{"dropping-particle":"","family":"Kostic","given":"Aleksandar D","non-dropping-particle":"","parse-names":false,"suffix":""}],"container-title":"Nature Medicine","id":"ITEM-1","issued":{"date-parts":[["2019","6","24"]]},"title":"Meta-omics analysis of elite athletes identifies a performance-enhancing microbe that functions via lactate metabolism","type":"article-journal"},"uris":["http://www.mendeley.com/documents/?uuid=89198671-df3b-4b42-b9e4-371f20b67c9b"]}],"mendeley":{"formattedCitation":"(32)","plainTextFormattedCitation":"(32)","previouslyFormattedCitation":"(32)"},"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(32)</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826AED9"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F0EAC46"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0F3D36B"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5028F7B"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E4732D5"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C75E45A"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1C63BC4"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CEFBDB3"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44D3A4A"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01C226EB"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105BA66B"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270C0E52" w14:textId="77777777">
            <w:pPr>
              <w:jc w:val="center"/>
              <w:rPr>
                <w:rFonts w:eastAsia="Calibri"/>
                <w:lang w:eastAsia="en-GB"/>
              </w:rPr>
            </w:pPr>
            <w:r>
              <w:rPr>
                <w:rFonts w:eastAsia="Calibri"/>
                <w:lang w:eastAsia="en-GB"/>
              </w:rPr>
              <w:t>5</w:t>
            </w:r>
          </w:p>
        </w:tc>
      </w:tr>
      <w:tr w:rsidRPr="00EB3392" w:rsidR="00C81275" w:rsidTr="00C81275" w14:paraId="22178E85"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2F59C642" w14:textId="77777777">
            <w:pPr>
              <w:rPr>
                <w:rFonts w:eastAsia="Calibri"/>
                <w:b/>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lang w:eastAsia="en-GB"/>
              </w:rPr>
              <w:t>Medium/long-term exercise studies</w:t>
            </w:r>
          </w:p>
        </w:tc>
      </w:tr>
      <w:tr w:rsidRPr="00EB3392" w:rsidR="00C81275" w:rsidTr="00C81275" w14:paraId="6CA705B8"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7CC35529" w14:textId="77777777">
            <w:pPr>
              <w:rPr>
                <w:rFonts w:eastAsia="Calibri"/>
                <w:b/>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i/>
                <w:iCs/>
                <w:lang w:eastAsia="en-GB"/>
              </w:rPr>
              <w:t>Cohort</w:t>
            </w:r>
          </w:p>
        </w:tc>
      </w:tr>
      <w:tr w:rsidRPr="00F42656" w:rsidR="00C81275" w:rsidTr="00C81275" w14:paraId="57BED9F2"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5E935F66" w14:textId="77777777">
            <w:pPr>
              <w:rPr>
                <w:rFonts w:eastAsia="Calibri"/>
                <w:lang w:val="es-ES" w:eastAsia="en-GB"/>
              </w:rPr>
            </w:pPr>
            <w:r w:rsidRPr="00166B5C">
              <w:rPr>
                <w:rFonts w:eastAsia="Calibri"/>
                <w:lang w:eastAsia="en-GB"/>
              </w:rPr>
              <w:t xml:space="preserve">Cronin et al., 2018 </w:t>
            </w:r>
            <w:r w:rsidRPr="00166B5C">
              <w:fldChar w:fldCharType="begin" w:fldLock="1"/>
            </w:r>
            <w:r w:rsidRPr="00166B5C">
              <w:instrText>ADDIN CSL_CITATION {"citationItems":[{"id":"ITEM-1","itemData":{"DOI":"10.1128/mSystems.00044-18","ISBN":"2379-5077","ISSN":"2379-5077","PMID":"29719871","abstract":"&lt;p&gt;Many components of modern living exert influence on the resident intestinal microbiota of humans with resultant impact on host health. For example, exercise-associated changes in the diversity, composition, and functional profiles of microbial populations in the gut have been described in cross-sectional studies of habitual athletes. However, this relationship is also affected by changes in diet, such as changes in dietary and supplementary protein consumption, that coincide with exercise. To determine whether increasing physical activity and/or increased protein intake modulates gut microbial composition and function, we prospectively challenged healthy but sedentary adults with a short-term exercise regime, with and without concurrent daily whey protein consumption. Metagenomics- and metabolomics-based assessments demonstrated modest changes in gut microbial composition and function following increases in physical activity. Significant changes in the diversity of the gut virome were evident in participants receiving daily whey protein supplementation. Results indicate that improved body composition with exercise is not dependent on major changes in the diversity of microbial populations in the gut. The diverse microbial characteristics previously observed in long-term habitual athletes may be a later response to exercise and fitness improvement.&lt;/p&gt;","author":[{"dropping-particle":"","family":"Cronin","given":"Owen","non-dropping-particle":"","parse-names":false,"suffix":""},{"dropping-particle":"","family":"Barton","given":"Wiley","non-dropping-particle":"","parse-names":false,"suffix":""},{"dropping-particle":"","family":"Skuse","given":"Peter","non-dropping-particle":"","parse-names":false,"suffix":""},{"dropping-particle":"","family":"Penney","given":"Nicholas C.","non-dropping-particle":"","parse-names":false,"suffix":""},{"dropping-particle":"","family":"Garcia-Perez","given":"Isabel","non-dropping-particle":"","parse-names":false,"suffix":""},{"dropping-particle":"","family":"Murphy","given":"Eileen F.","non-dropping-particle":"","parse-names":false,"suffix":""},{"dropping-particle":"","family":"Woods","given":"Trevor","non-dropping-particle":"","parse-names":false,"suffix":""},{"dropping-particle":"","family":"Nugent","given":"Helena","non-dropping-particle":"","parse-names":false,"suffix":""},{"dropping-particle":"","family":"Fanning","given":"Aine","non-dropping-particle":"","parse-names":</w:instrText>
            </w:r>
            <w:r w:rsidRPr="00166B5C">
              <w:rPr>
                <w:lang w:val="es-ES"/>
              </w:rPr>
              <w:instrText>false,"suffix":""},{"dropping-particle":"","family":"Melgar","given":"Silvia","non-dropping-particle":"","parse-names":false,"suffix":""},{"dropping-particle":"","family":"Falvey","given":"Eanna C.","non-dropping-particle":"","parse-names":false,"suffix":""},{"dropping-particle":"","family":"Holmes","given":"Elaine","non-dropping-particle":"","parse-names":false,"suffix":""},{"dropping-particle":"","family":"Cotter","given":"Paul D.","non-dropping-particle":"","parse-names":false,"suffix":""},{"dropping-particle":"","family":"O’Sullivan","given":"Orla","non-dropping-particle":"","parse-names":false,"suffix":""},{"dropping-particle":"","family":"Molloy","given":"Michael G.","non-dropping-particle":"","parse-names":false,"suffix":""},{"dropping-particle":"","family":"Shanahan","given":"Fergus","non-dropping-particle":"","parse-names":false,"suffix":""}],"container-title":"mSystems","id":"ITEM-1","issue":"3","issued":{"date-parts":[["2018"]]},"page":"e00044-18","title":"A Prospective Metagenomic and Metabolomic Analysis of the Impact of Exercise and/or Whey Protein Supplementation on the Gut Microbiome of Sedentary Adults","type":"article-journal","volume":"3"},"uris":["http://www.mendeley.com/documents/?uuid=62d7589d-953d-4dde-81e3-f11b61910c1b"]}],"mendeley":{"formattedCitation":"(40)","plainTextFormattedCitation":"(40)","previouslyFormattedCitation":"(40)"},"properties":{"noteIndex":0},"schema":"https://github.com/citation-style-language/schema/raw/master/csl-citation.json"}</w:instrText>
            </w:r>
            <w:r w:rsidRPr="00166B5C">
              <w:fldChar w:fldCharType="separate"/>
            </w:r>
            <w:r w:rsidRPr="00166B5C">
              <w:rPr>
                <w:noProof/>
                <w:lang w:val="es-ES"/>
              </w:rPr>
              <w:t>(40)</w:t>
            </w:r>
            <w:r w:rsidRPr="00166B5C">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6BFBA20"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45430F3"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CE68D26"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3C1F7D2"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34D0749"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D1D46C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72FF550"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5E2D56D" w14:textId="77777777">
            <w:pPr>
              <w:rPr>
                <w:rFonts w:eastAsia="Calibri"/>
                <w:lang w:val="es-ES" w:eastAsia="en-GB"/>
              </w:rPr>
            </w:pPr>
            <w:r>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A22AEDB"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2F9AF5DB"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66D6946B"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5108C01C" w14:textId="77777777">
            <w:pPr>
              <w:jc w:val="center"/>
              <w:rPr>
                <w:rFonts w:eastAsia="Calibri"/>
                <w:lang w:val="es-ES" w:eastAsia="en-GB"/>
              </w:rPr>
            </w:pPr>
            <w:r>
              <w:rPr>
                <w:rFonts w:eastAsia="Calibri"/>
                <w:lang w:val="es-ES" w:eastAsia="en-GB"/>
              </w:rPr>
              <w:t>6</w:t>
            </w:r>
          </w:p>
        </w:tc>
      </w:tr>
      <w:tr w:rsidRPr="00EB3392" w:rsidR="00C81275" w:rsidTr="00C81275" w14:paraId="1C4C5F6B"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4FBC08B5" w14:textId="77777777">
            <w:pPr>
              <w:rPr>
                <w:rFonts w:eastAsia="Calibri"/>
                <w:lang w:eastAsia="en-GB"/>
              </w:rPr>
            </w:pPr>
            <w:proofErr w:type="spellStart"/>
            <w:r w:rsidRPr="00166B5C">
              <w:rPr>
                <w:rFonts w:eastAsia="Calibri"/>
                <w:lang w:val="es-ES" w:eastAsia="en-GB"/>
              </w:rPr>
              <w:t>Munukka</w:t>
            </w:r>
            <w:proofErr w:type="spellEnd"/>
            <w:r w:rsidRPr="00166B5C">
              <w:rPr>
                <w:rFonts w:eastAsia="Calibri"/>
                <w:lang w:val="es-ES" w:eastAsia="en-GB"/>
              </w:rPr>
              <w:t xml:space="preserve"> et al., 2018 </w:t>
            </w:r>
            <w:r w:rsidRPr="00166B5C">
              <w:fldChar w:fldCharType="begin" w:fldLock="1"/>
            </w:r>
            <w:r w:rsidRPr="00166B5C">
              <w:rPr>
                <w:lang w:val="es-ES"/>
              </w:rPr>
              <w:instrText>ADDIN CSL_CITATION {"citationItems":[{"id":"ITEM-1","itemData":{"DOI":"10.3389/fmicb.2018.02323","ISSN":"1664-302X","PMID":"30337914","author":[{"dropping-particle":"","family":"Munukka","given":"Eveliina","non-dropping-particle":"","parse-names":false,"suffix":""},{"dropping-particle":"","family":"Ahtiainen","given":"Juha P.","non-dropping-particle":"","parse-names":false,"suffix":""},{"dropping-particle":"","family":"Puigbó","given":"Pere","non-dropping-particle":"","parse-names":false,"suffix":""},{"dropping-particle":"","family":"Jalkanen","given":"Sirpa","non-dropping-particle":"","parse-names":false,"suffix":""},{"dropping-particle":"","family":"Pahkala","given":"Katja","non-dropping-particle":"","parse-names":false,"suffix":""},{"dropping-particle":"","family":"Keskitalo","given":"Anniina","non-dropping-particle":"","parse-names":false,"suffix":""},{"dropping-particle":"","family":"Kujala","given":"Urho M.","non-dropping-particle":"","parse-names":false,"suffix":""},{"dropping-particle":"","family":"Pietilä","given":"Sami","non-dropping-particle":"","parse-names":false,"suffix":""},{"dropping-particle":"","family":"Hollmén","given":"Maija","non-dropping-particle":"","parse-names":false,"suffix":""},{"dropping-particle":"","family":"Elo","given":"Laura","non-dropping-particle":"","parse-names":false,"suffix":""},{"dropping-particle":"","family":"Huovinen","given":"Pentti","non-dropping-particle":"","parse-names":false</w:instrText>
            </w:r>
            <w:r w:rsidRPr="00166B5C">
              <w:instrText>,"suffix":""},{"dropping-particle":"","family":"D'Auria","given":"Giuseppe","non-dropping-particle":"","parse-names":false,"suffix":""},{"dropping-particle":"","family":"Pekkala","given":"Satu","non-dropping-particle":"","parse-names":false,"suffix":""}],"container-title":"Frontiers in Microbiology","id":"ITEM-1","issue":"October","issued":{"date-parts":[["2018"]]},"title":"Six-Week Endurance Exercise Alters Gut Metagenome That Is not Reflected in Systemic Metabolism in Over-weight Women","type":"article-journal","volume":"9"},"uris":["http://www.mendeley.com/documents/?uuid=ac9254ba-14a4-4f26-8125-a8cf2c68d422"]}],"mendeley":{"formattedCitation":"(29)","plainTextFormattedCitation":"(29)","previouslyFormattedCitation":"(29)"},"properties":{"noteIndex":0},"schema":"https://github.com/citation-style-language/schema/raw/master/csl-citation.json"}</w:instrText>
            </w:r>
            <w:r w:rsidRPr="00166B5C">
              <w:fldChar w:fldCharType="separate"/>
            </w:r>
            <w:r w:rsidRPr="00166B5C">
              <w:rPr>
                <w:noProof/>
              </w:rPr>
              <w:t>(29)</w:t>
            </w:r>
            <w:r w:rsidRPr="00166B5C">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BA6E1E4"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C34D55F"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1EA8CC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E27A461"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1DA0145"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36F7A59"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6B590B6"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E7D4AA4"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7A55C15"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DCA57AF"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692CE69"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90552F5" w14:textId="77777777">
            <w:pPr>
              <w:jc w:val="center"/>
              <w:rPr>
                <w:rFonts w:eastAsia="Calibri"/>
                <w:lang w:eastAsia="en-GB"/>
              </w:rPr>
            </w:pPr>
            <w:r w:rsidRPr="00166B5C">
              <w:rPr>
                <w:rFonts w:eastAsia="Calibri"/>
                <w:lang w:eastAsia="en-GB"/>
              </w:rPr>
              <w:t>5</w:t>
            </w:r>
          </w:p>
        </w:tc>
      </w:tr>
      <w:tr w:rsidRPr="00EB3392" w:rsidR="00C81275" w:rsidTr="00C81275" w14:paraId="55CE4B7F"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38F53A41" w14:textId="77777777">
            <w:pPr>
              <w:rPr>
                <w:rFonts w:eastAsia="Calibri"/>
                <w:lang w:eastAsia="en-GB"/>
              </w:rPr>
            </w:pPr>
            <w:r w:rsidRPr="00166B5C">
              <w:rPr>
                <w:rFonts w:eastAsia="Calibri"/>
                <w:lang w:eastAsia="en-GB"/>
              </w:rPr>
              <w:t xml:space="preserve">Morita et al., 2019 </w:t>
            </w:r>
            <w:r w:rsidRPr="00166B5C">
              <w:rPr>
                <w:rFonts w:eastAsia="Calibri"/>
                <w:lang w:eastAsia="en-GB"/>
              </w:rPr>
              <w:fldChar w:fldCharType="begin" w:fldLock="1"/>
            </w:r>
            <w:r w:rsidRPr="00166B5C">
              <w:rPr>
                <w:rFonts w:eastAsia="Calibri"/>
                <w:lang w:eastAsia="en-GB"/>
              </w:rPr>
              <w:instrText>ADDIN CSL_CITATION {"citationItems":[{"id":"ITEM-1","itemData":{"DOI":"10.3390/nu11040868","ISSN":"2072-6643","abstract":"&lt;p&gt;This study examined the effect of an exercise intervention on the composition of the intestinal microbiota in healthy elderly women. Thirty-two sedentary women that were aged 65 years and older participated in a 12-week, non-randomized comparative trial. The subjects were allocated to two groups receiving different exercise interventions, trunk muscle training (TM), or aerobic exercise training (AE). AE included brisk walking, i.e., at an intensity of ≥ 3 metabolic equivalents (METs). The composition of the intestinal microbiota in fecal samples was determined before and after the training period. We also assessed the daily physical activity using an accelerometer, trunk muscle strength by the modified Kraus–Weber (K-W) test, and cardiorespiratory fitness by a 6-min. walk test (6MWT). K-W test scores and distance achieved during the 6MWT (6MWD) improved in both groups. The relative abundance of intestinal Bacteroides only significantly increased in the AE group, particularly in subjects showing increases in the time spent in brisk walking. Overall, the increases in intestinal Bacteroides following the exercise intervention were associated with increases in 6MWD. In conclusion, aerobic exercise training that targets an increase of the time spent in brisk walking may increase intestinal Bacteroides in association with improved cardiorespiratory fitness in healthy elderly women.&lt;/p&gt;","author":[{"dropping-particle":"","family":"Morita","given":"","non-dropping-particle":"","parse-names":false,"suffix":""},{"dropping-particle":"","family":"Yokoyama","given":"","non-dropping-particle":"","parse-names":false,"suffix":""},{"dropping-particle":"","family":"Imai","given":"","non-dropping-particle":"","parse-names":false,"suffix":""},{"dropping-particle":"","family":"Takeda","given":"","non-dropping-particle":"","parse-names":false,"suffix":""},{"dropping-particle":"","family":"Ota","given":"","non-dropping-particle":"","parse-names":false,"suffix":""},{"dropping-particle":"","family":"Kawai","given":"","non-dropping-particle":"","parse-names":false,"suffix":""},{"dropping-particle":"","family":"Hisada","given":"","non-dropping-particle":"","parse-names":false,"suffix":""},{"dropping-particle":"","family":"Emoto","given":"","non-dropping-particle":"","parse-names":false,"suffix":""},{"dropping-particle":"","family":"Suzuki","given":"","non-dropping-particle":"","parse-names":false,"suffix":""},{"dropping-particle":"","family":"Okazaki","given":"","non-dropping-particle":"","parse-names":false,"suffix":""}],"container-title":"Nutrients","id":"ITEM-1","issue":"4","issued":{"date-parts":[["2019"]]},"page":"868","title":"Aerobic Exercise Training with Brisk Walking Increases Intestinal Bacteroides in Healthy Elderly Women","type":"article-journal","volume":"11"},"uris":["http://www.mendeley.com/documents/?uuid=d61d24d4-6d45-400b-a32f-115d41514011"]}],"mendeley":{"formattedCitation":"(30)","plainTextFormattedCitation":"(30)","previouslyFormattedCitation":"(30)"},"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(30)</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32C893CD"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3DADE30"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E8AB28E"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9F0A043"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F4130C3"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2F87D70"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1F0E7F0"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1FEA926"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1ABCACF"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6901CED"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1B283A4"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687118B8" w14:textId="77777777">
            <w:pPr>
              <w:jc w:val="center"/>
              <w:rPr>
                <w:rFonts w:eastAsia="Calibri"/>
                <w:lang w:eastAsia="en-GB"/>
              </w:rPr>
            </w:pPr>
            <w:r w:rsidRPr="00166B5C">
              <w:rPr>
                <w:rFonts w:eastAsia="Calibri"/>
                <w:lang w:eastAsia="en-GB"/>
              </w:rPr>
              <w:t>5</w:t>
            </w:r>
          </w:p>
        </w:tc>
      </w:tr>
      <w:tr w:rsidRPr="00166B5C" w:rsidR="00C81275" w:rsidTr="00C81275" w14:paraId="78BFA006"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66331C41" w14:textId="77777777">
            <w:pPr>
              <w:rPr>
                <w:rFonts w:eastAsia="Calibri"/>
                <w:lang w:val="es-ES" w:eastAsia="en-GB"/>
              </w:rPr>
            </w:pPr>
            <w:proofErr w:type="spellStart"/>
            <w:r w:rsidRPr="00166B5C">
              <w:rPr>
                <w:rFonts w:eastAsia="Calibri"/>
                <w:lang w:eastAsia="en-GB"/>
              </w:rPr>
              <w:t>Keohane</w:t>
            </w:r>
            <w:proofErr w:type="spellEnd"/>
            <w:r w:rsidRPr="00166B5C">
              <w:rPr>
                <w:rFonts w:eastAsia="Calibri"/>
                <w:lang w:eastAsia="en-GB"/>
              </w:rPr>
              <w:t xml:space="preserve"> et al., 2019 </w:t>
            </w:r>
            <w:r w:rsidRPr="00166B5C">
              <w:rPr>
                <w:rFonts w:eastAsia="Calibri"/>
                <w:lang w:eastAsia="en-GB"/>
              </w:rPr>
              <w:fldChar w:fldCharType="begin" w:fldLock="1"/>
            </w:r>
            <w:r w:rsidRPr="00166B5C">
              <w:rPr>
                <w:rFonts w:eastAsia="Calibri"/>
                <w:lang w:eastAsia="en-GB"/>
              </w:rPr>
              <w:instrText>ADDIN CSL_CITATION {"citationItems":[{"id":"ITEM-1","itemData":{"DOI":"10.1016/j.jsams.2019.04.004","ISSN":"14402440","abstract":"Abstract Objectives Compositional and functional adaptions occur in the gut microbiome in response to habitual physical activity. The response of the gut microbiome to sustained, intense exercise in previously active individuals, however, is unknown. This study aimed to prospectively explore the gut microbiome response of four well-trained male athletes to prolonged, high intensity trans-oceanic rowing, describing changes in microbial diversity, abundance and metabolic capacity. Design A prospective, repeated-measures, within-subject report. Methods Serial stool samples were obtained from four male athletes for metagenomic whole-genome shotgun sequencing to record microbial community structure and relevant functional gene profiles before, during and after a continuous, unsupported 33-day, 5000 km transoceanic rowing race. Calorific intake and macronutrient composition were recorded by validated food frequency questionnaire and anthropometry was determined by body composition analysis and cardiorespiratory testing. Results Microbial diversity increased throughout the ultra-endurance event. Variations in taxonomic composition included increased abundance of butyrate producing species and species associated with improved metabolic health, including improved insulin sensitivity. The functional potential of bacterial species involved in specific amino and fatty acid biosynthesis also increased. Many of the adaptions in microbial community structure and metaproteomics persisted up to three months of follow-up. Conclusions These findings demonstrate that prolonged, intense exercise positively influences gut microbial diversity, increases the relative abundance of some bacterial species and up-regulates the metabolic potential of specific pathways expressing microbial gene products. These adaptions may play a compensatory role in controlling the physiological stress associated with sustained exertion as well as negating the deleterious consequences accompanying endurance exercise.","author":[{"dropping-particle":"","family":"Keohane","given":"David M.","non-dropping-particle":"","parse-names":false,"suffix":""},{"dropping-particle":"","family":"Woods","given":"Trevor","non-dropping-particle":"","parse-names":false,"suffix":""},{"dropping-particle":"","family":"O’Connor</w:instrText>
            </w:r>
            <w:r w:rsidRPr="00166B5C">
              <w:rPr>
                <w:rFonts w:eastAsia="Calibri"/>
                <w:lang w:val="es-ES" w:eastAsia="en-GB"/>
              </w:rPr>
              <w:instrText>","given":"Pat","non-dropping-particle":"","parse-names":false,"suffix":""},{"dropping-particle":"","family":"Underwood","given":"Sean","non-dropping-particle":"","parse-names":false,"suffix":""},{"dropping-particle":"","family":"Cronin","given":"Owen","non-dropping-particle":"","parse-names":false,"suffix":""},{"dropping-particle":"","family":"Whiston","given":"Ronan","non-dropping-particle":"","parse-names":false,"suffix":""},{"dropping-particle":"","family":"O'Sullivan","given":"Orla","non-dropping-particle":"","parse-names":false,"suffix":""},{"dropping-particle":"","family":"Cotter","given":"Paul","non-dropping-particle":"","parse-names":false,"suffix":""},{"dropping-particle":"","family":"Shanahan","given":"Fergus","non-dropping-particle":"","parse-names":false,"suffix":""},{"dropping-particle":"","family":"Molloy","given":"Michael G.M","non-dropping-particle":"","parse-names":false,"suffix":""}],"container-title":"Journal of Science and Medicine in Sport","id":"ITEM-1","issued":{"date-parts":[["2019","4"]]},"publisher":"Sports Medicine Australia","title":"Four men in a boat: Ultra-endurance exercise alters the gut microbiome","type":"article-journal"},"uris":["http://www.mendeley.com/documents/?uuid=b25d6e8e-aa03-4ad2-978e-b11f3cc710f3"]}],"mendeley":{"formattedCitation":"(31)","plainTextFormattedCitation":"(31)","previouslyFormattedCitation":"(31)"},"properties":{"noteIndex":0},"schema":"https://github.com/citation-style-language/schema/raw/master/csl-citation.json"}</w:instrText>
            </w:r>
            <w:r w:rsidRPr="00166B5C">
              <w:rPr>
                <w:rFonts w:eastAsia="Calibri"/>
                <w:lang w:eastAsia="en-GB"/>
              </w:rPr>
              <w:fldChar w:fldCharType="separate"/>
            </w:r>
            <w:r w:rsidRPr="00166B5C">
              <w:rPr>
                <w:rFonts w:eastAsia="Calibri"/>
                <w:noProof/>
                <w:lang w:val="es-ES" w:eastAsia="en-GB"/>
              </w:rPr>
              <w:t>(31)</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1CFD0A4"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C83F40D"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D3673B5"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D01D08E" w14:textId="77777777">
            <w:pPr>
              <w:rPr>
                <w:rFonts w:eastAsia="Calibri"/>
                <w:lang w:val="es-ES" w:eastAsia="en-GB"/>
              </w:rPr>
            </w:pPr>
            <w:r w:rsidRPr="00166B5C">
              <w:rPr>
                <w:rFonts w:eastAsia="Calibri"/>
                <w:lang w:val="es-ES"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9AA9D59"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16316EE"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17379C3" w14:textId="77777777">
            <w:pPr>
              <w:rPr>
                <w:rFonts w:eastAsia="Calibri"/>
                <w:lang w:val="es-ES" w:eastAsia="en-GB"/>
              </w:rPr>
            </w:pPr>
            <w:r w:rsidRPr="00166B5C">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1612E464" w14:textId="77777777">
            <w:pPr>
              <w:rPr>
                <w:rFonts w:eastAsia="Calibri"/>
                <w:lang w:val="es-ES" w:eastAsia="en-GB"/>
              </w:rPr>
            </w:pPr>
            <w:r>
              <w:rPr>
                <w:rFonts w:eastAsia="Calibri"/>
                <w:lang w:val="es-ES"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6DD08CCB"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74B637FC" w14:textId="77777777">
            <w:pPr>
              <w:rPr>
                <w:rFonts w:eastAsia="Calibri"/>
                <w:lang w:val="es-ES" w:eastAsia="en-GB"/>
              </w:rPr>
            </w:pPr>
            <w:r w:rsidRPr="00166B5C">
              <w:rPr>
                <w:rFonts w:eastAsia="Calibri"/>
                <w:lang w:val="es-ES"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0D8EC280" w14:textId="77777777">
            <w:pPr>
              <w:rPr>
                <w:rFonts w:eastAsia="Calibri"/>
                <w:lang w:val="es-ES" w:eastAsia="en-GB"/>
              </w:rPr>
            </w:pPr>
            <w:r w:rsidRPr="00166B5C">
              <w:rPr>
                <w:rFonts w:eastAsia="Calibri"/>
                <w:lang w:val="es-ES"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38C85708" w14:textId="77777777">
            <w:pPr>
              <w:jc w:val="center"/>
              <w:rPr>
                <w:rFonts w:eastAsia="Calibri"/>
                <w:lang w:val="es-ES" w:eastAsia="en-GB"/>
              </w:rPr>
            </w:pPr>
            <w:r>
              <w:rPr>
                <w:rFonts w:eastAsia="Calibri"/>
                <w:lang w:val="es-ES" w:eastAsia="en-GB"/>
              </w:rPr>
              <w:t>4</w:t>
            </w:r>
          </w:p>
        </w:tc>
      </w:tr>
      <w:tr w:rsidRPr="00166B5C" w:rsidR="00C81275" w:rsidTr="00C81275" w14:paraId="2753AA2D" w14:textId="77777777">
        <w:trPr>
          <w:trHeight w:val="454"/>
        </w:trPr>
        <w:tc>
          <w:tcPr>
            <w:tcW w:w="9717" w:type="dxa"/>
            <w:gridSpan w:val="13"/>
            <w:tcBorders>
              <w:top w:val="single" w:color="auto" w:sz="4" w:space="0"/>
              <w:left w:val="nil"/>
              <w:bottom w:val="single" w:color="auto" w:sz="4" w:space="0"/>
              <w:right w:val="nil"/>
            </w:tcBorders>
            <w:vAlign w:val="center"/>
          </w:tcPr>
          <w:p w:rsidRPr="00166B5C" w:rsidR="00C81275" w:rsidP="00C81275" w:rsidRDefault="00C81275" w14:paraId="6A6B0960" w14:textId="77777777">
            <w:pPr>
              <w:rPr>
                <w:rFonts w:eastAsia="Calibri"/>
                <w:b/>
                <w:i/>
                <w:iCs/>
                <w:lang w:val="es-ES"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166B5C">
              <w:rPr>
                <w:rFonts w:eastAsia="Calibri"/>
                <w:i/>
                <w:iCs/>
                <w:lang w:val="es-ES" w:eastAsia="en-GB"/>
              </w:rPr>
              <w:t>Case and control</w:t>
            </w:r>
          </w:p>
        </w:tc>
      </w:tr>
      <w:tr w:rsidRPr="00EB3392" w:rsidR="00C81275" w:rsidTr="00C81275" w14:paraId="2DB64CDB" w14:textId="77777777">
        <w:trPr>
          <w:trHeight w:val="454"/>
        </w:trPr>
        <w:tc>
          <w:tcPr>
            <w:tcW w:w="3864" w:type="dxa"/>
            <w:tcBorders>
              <w:top w:val="single" w:color="auto" w:sz="4" w:space="0"/>
              <w:left w:val="nil"/>
              <w:bottom w:val="single" w:color="auto" w:sz="4" w:space="0"/>
              <w:right w:val="nil"/>
            </w:tcBorders>
            <w:vAlign w:val="center"/>
          </w:tcPr>
          <w:p w:rsidRPr="00166B5C" w:rsidR="00C81275" w:rsidP="00C81275" w:rsidRDefault="00C81275" w14:paraId="4FB45551" w14:textId="77777777">
            <w:pPr>
              <w:rPr>
                <w:rFonts w:eastAsia="Calibri"/>
                <w:lang w:eastAsia="en-GB"/>
              </w:rPr>
            </w:pPr>
            <w:r w:rsidRPr="00166B5C">
              <w:rPr>
                <w:rFonts w:eastAsia="Calibri"/>
                <w:lang w:val="es-ES" w:eastAsia="en-GB"/>
              </w:rPr>
              <w:t xml:space="preserve">Allen et al., 2017 </w:t>
            </w:r>
            <w:r w:rsidRPr="00166B5C">
              <w:rPr>
                <w:rFonts w:eastAsia="Calibri"/>
                <w:lang w:eastAsia="en-GB"/>
              </w:rPr>
              <w:fldChar w:fldCharType="begin" w:fldLock="1"/>
            </w:r>
            <w:r w:rsidRPr="00166B5C">
              <w:rPr>
                <w:rFonts w:eastAsia="Calibri"/>
                <w:lang w:val="es-ES" w:eastAsia="en-GB"/>
              </w:rPr>
              <w:instrText>ADDIN CSL_CITATION {"citationItems":[{"id":"ITEM-1","itemData":{"DOI":"10.1249/MSS.0000000000001495","ISBN":"0000000000","ISSN":"0195-9131","PMID":"29166320","author":[{"dropping-particle":"","family":"Allen","given":"Jacob M.","non-dropping-particle":"","parse-names":false,"suffix":""},{"dropping-particle":"","family":"Mailing","given":"Lucy J.","non-dropping-particle":"","parse-names":false,"suffix":""},{"dropping-particle":"","family":"Niemiro","given":"Grace M.","non-dropping-particle":"","parse-names":false,"suffix":""},{"dropping-particle":"","family":"Moore","given":"Rachel","non-dropping-particle":"","parse-names":false,"suffix":""},{"dropping-particle":"","family":"Cook","given":"Mark D.","non-dropping-particle":"","parse-names":false,"suffix":""},{"dropping-particle":"","family":"White","given":"Bryan A.","non-dropping-particle":"","parse-names":false,"suffix":""},{"dropping-particle":"","family":"Holscher","given":"Hannah D.","non-dropping-particle":"","parse-names":false,"suffix":""},{"dropping-particle":"","family":"Woods","given":"Jeffrey A.","non-dropping-particle":"","parse-names":false,"suffix":""}],"container-title":"Medicine &amp; Science in Sports &amp; Exercise","id":"ITEM-1","issue":"November","issued":{"date-parts":[["2017"]]},"number-of-pages":"1","title":"Exercise Alters Gut Microbiota Composition and Function in Lean and Obese Humans","type":"book"},"uris":["http://www.mendeley.com/document</w:instrText>
            </w:r>
            <w:r w:rsidRPr="00166B5C">
              <w:rPr>
                <w:rFonts w:eastAsia="Calibri"/>
                <w:lang w:eastAsia="en-GB"/>
              </w:rPr>
              <w:instrText>s/?uuid=2ea3e6ab-0f07-4814-b7fe-87ebcd060506"]}],"mendeley":{"formattedCitation":"(45)","plainTextFormattedCitation":"(45)","previouslyFormattedCitation":"(45)"},"properties":{"noteIndex":0},"schema":"https://github.com/citation-style-language/schema/raw/master/csl-citation.json"}</w:instrText>
            </w:r>
            <w:r w:rsidRPr="00166B5C">
              <w:rPr>
                <w:rFonts w:eastAsia="Calibri"/>
                <w:lang w:eastAsia="en-GB"/>
              </w:rPr>
              <w:fldChar w:fldCharType="separate"/>
            </w:r>
            <w:r w:rsidRPr="00166B5C">
              <w:rPr>
                <w:rFonts w:eastAsia="Calibri"/>
                <w:noProof/>
                <w:lang w:eastAsia="en-GB"/>
              </w:rPr>
              <w:t>(47)</w:t>
            </w:r>
            <w:r w:rsidRPr="00166B5C">
              <w:rPr>
                <w:rFonts w:eastAsia="Calibri"/>
                <w:lang w:eastAsia="en-GB"/>
              </w:rPr>
              <w:fldChar w:fldCharType="end"/>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5439DD84"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AF3E9AB"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0A58215D"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720490E6"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3437B686" w14:textId="77777777">
            <w:pPr>
              <w:rPr>
                <w:rFonts w:eastAsia="Calibri"/>
                <w:lang w:eastAsia="en-GB"/>
              </w:rPr>
            </w:pPr>
            <w:r>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58620CF8"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4985B36" w14:textId="77777777">
            <w:pPr>
              <w:rPr>
                <w:rFonts w:eastAsia="Calibri"/>
                <w:lang w:eastAsia="en-GB"/>
              </w:rPr>
            </w:pPr>
            <w:r w:rsidRPr="00166B5C">
              <w:rPr>
                <w:rFonts w:eastAsia="Calibri"/>
                <w:lang w:eastAsia="en-GB"/>
              </w:rPr>
              <w:t>N</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23F00DA5" w14:textId="77777777">
            <w:pPr>
              <w:rPr>
                <w:rFonts w:eastAsia="Calibri"/>
                <w:lang w:eastAsia="en-GB"/>
              </w:rPr>
            </w:pPr>
            <w:r w:rsidRPr="00166B5C">
              <w:rPr>
                <w:rFonts w:eastAsia="Calibri"/>
                <w:lang w:eastAsia="en-GB"/>
              </w:rPr>
              <w:t>Y</w:t>
            </w:r>
          </w:p>
        </w:tc>
        <w:tc>
          <w:tcPr>
            <w:tcW w:w="454" w:type="dxa"/>
            <w:tcBorders>
              <w:top w:val="single" w:color="auto" w:sz="4" w:space="0"/>
              <w:left w:val="nil"/>
              <w:bottom w:val="single" w:color="auto" w:sz="4" w:space="0"/>
              <w:right w:val="nil"/>
            </w:tcBorders>
            <w:vAlign w:val="center"/>
          </w:tcPr>
          <w:p w:rsidRPr="00166B5C" w:rsidR="00C81275" w:rsidP="00C81275" w:rsidRDefault="00C81275" w14:paraId="4B48436A"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2E4F167F" w14:textId="77777777">
            <w:pPr>
              <w:rPr>
                <w:rFonts w:eastAsia="Calibri"/>
                <w:lang w:eastAsia="en-GB"/>
              </w:rPr>
            </w:pPr>
            <w:r w:rsidRPr="00166B5C">
              <w:rPr>
                <w:rFonts w:eastAsia="Calibri"/>
                <w:lang w:eastAsia="en-GB"/>
              </w:rPr>
              <w:t>Y</w:t>
            </w:r>
          </w:p>
        </w:tc>
        <w:tc>
          <w:tcPr>
            <w:tcW w:w="456" w:type="dxa"/>
            <w:tcBorders>
              <w:top w:val="single" w:color="auto" w:sz="4" w:space="0"/>
              <w:left w:val="nil"/>
              <w:bottom w:val="single" w:color="auto" w:sz="4" w:space="0"/>
              <w:right w:val="nil"/>
            </w:tcBorders>
            <w:vAlign w:val="center"/>
          </w:tcPr>
          <w:p w:rsidRPr="00166B5C" w:rsidR="00C81275" w:rsidP="00C81275" w:rsidRDefault="00C81275" w14:paraId="2B1EC993" w14:textId="77777777">
            <w:pPr>
              <w:rPr>
                <w:rFonts w:eastAsia="Calibri"/>
                <w:lang w:eastAsia="en-GB"/>
              </w:rPr>
            </w:pPr>
            <w:r w:rsidRPr="00166B5C">
              <w:rPr>
                <w:rFonts w:eastAsia="Calibri"/>
                <w:lang w:eastAsia="en-GB"/>
              </w:rPr>
              <w:t>Y</w:t>
            </w:r>
          </w:p>
        </w:tc>
        <w:tc>
          <w:tcPr>
            <w:tcW w:w="853" w:type="dxa"/>
            <w:tcBorders>
              <w:top w:val="single" w:color="auto" w:sz="4" w:space="0"/>
              <w:left w:val="nil"/>
              <w:bottom w:val="single" w:color="auto" w:sz="4" w:space="0"/>
              <w:right w:val="nil"/>
            </w:tcBorders>
            <w:vAlign w:val="center"/>
          </w:tcPr>
          <w:p w:rsidRPr="00166B5C" w:rsidR="00C81275" w:rsidP="00C81275" w:rsidRDefault="00C81275" w14:paraId="5727D229" w14:textId="77777777">
            <w:pPr>
              <w:jc w:val="center"/>
              <w:rPr>
                <w:rFonts w:eastAsia="Calibri"/>
                <w:lang w:eastAsia="en-GB"/>
              </w:rPr>
            </w:pPr>
            <w:r>
              <w:rPr>
                <w:rFonts w:eastAsia="Calibri"/>
                <w:lang w:eastAsia="en-GB"/>
              </w:rPr>
              <w:t>5</w:t>
            </w:r>
          </w:p>
        </w:tc>
      </w:tr>
      <w:tr w:rsidRPr="00EB3392" w:rsidR="00C81275" w:rsidTr="00C81275" w14:paraId="372094FE" w14:textId="77777777">
        <w:trPr>
          <w:trHeight w:val="454"/>
        </w:trPr>
        <w:tc>
          <w:tcPr>
            <w:tcW w:w="9717" w:type="dxa"/>
            <w:gridSpan w:val="13"/>
            <w:tcBorders>
              <w:top w:val="single" w:color="auto" w:sz="4" w:space="0"/>
              <w:left w:val="nil"/>
              <w:bottom w:val="single" w:color="auto" w:sz="4" w:space="0"/>
              <w:right w:val="nil"/>
            </w:tcBorders>
            <w:vAlign w:val="center"/>
          </w:tcPr>
          <w:p w:rsidRPr="00EB3392" w:rsidR="00C81275" w:rsidP="00C81275" w:rsidRDefault="00C81275" w14:paraId="45AF3EDB" w14:textId="77777777">
            <w:pPr>
              <w:autoSpaceDE w:val="0"/>
              <w:autoSpaceDN w:val="0"/>
              <w:adjustRightInd w:val="0"/>
              <w:rPr>
                <w:color w:val="231F20"/>
              </w:rPr>
            </w:pPr>
            <w:r w:rsidRPr="00EB3392">
              <w:rPr>
                <w:color w:val="231F20"/>
              </w:rPr>
              <w:t xml:space="preserve">1: Eligibility criteria specified; 2: Individuals randomly allocated; 3: Allocation concealed; 4: </w:t>
            </w:r>
            <w:r w:rsidRPr="00EB3392">
              <w:rPr>
                <w:color w:val="231F20"/>
              </w:rPr>
              <w:lastRenderedPageBreak/>
              <w:t>Groups similar at baseline regarding most important prognostic indicators; 5:</w:t>
            </w:r>
          </w:p>
          <w:p w:rsidRPr="00EB3392" w:rsidR="00C81275" w:rsidP="00C81275" w:rsidRDefault="00C81275" w14:paraId="6F0B3478" w14:textId="77777777">
            <w:pPr>
              <w:autoSpaceDE w:val="0"/>
              <w:autoSpaceDN w:val="0"/>
              <w:adjustRightInd w:val="0"/>
              <w:rPr>
                <w:color w:val="231F20"/>
              </w:rPr>
            </w:pPr>
            <w:r w:rsidRPr="00EB3392">
              <w:rPr>
                <w:color w:val="231F20"/>
              </w:rPr>
              <w:t>“Blinded” participants; 6: “Blinded” therapist; 7: “Blinded” assessors; 8: Measures of at least one key outcome obtained from more than 85% of participants; 9: Data analyzed</w:t>
            </w:r>
          </w:p>
          <w:p w:rsidRPr="00EB3392" w:rsidR="00C81275" w:rsidP="00C81275" w:rsidRDefault="00C81275" w14:paraId="1BE8C26D" w14:textId="77777777">
            <w:pPr>
              <w:autoSpaceDE w:val="0"/>
              <w:autoSpaceDN w:val="0"/>
              <w:adjustRightInd w:val="0"/>
            </w:pPr>
            <w:proofErr w:type="gramStart"/>
            <w:r w:rsidRPr="00EB3392">
              <w:rPr>
                <w:color w:val="231F20"/>
              </w:rPr>
              <w:t>by</w:t>
            </w:r>
            <w:proofErr w:type="gramEnd"/>
            <w:r w:rsidRPr="00EB3392">
              <w:rPr>
                <w:color w:val="231F20"/>
              </w:rPr>
              <w:t xml:space="preserve"> “intention to treat”; 10: Statistical comparisons between groups; 11: Point measures and measures of variation.</w:t>
            </w:r>
          </w:p>
          <w:p w:rsidRPr="00EB3392" w:rsidR="00C81275" w:rsidP="00C81275" w:rsidRDefault="00C81275" w14:paraId="4B77998D" w14:textId="77777777">
            <w:pPr>
              <w:autoSpaceDE w:val="0"/>
              <w:autoSpaceDN w:val="0"/>
              <w:adjustRightInd w:val="0"/>
            </w:pPr>
            <w:r>
              <w:rPr>
                <w:color w:val="231F20"/>
              </w:rPr>
              <w:t>*</w:t>
            </w:r>
            <w:r w:rsidRPr="00EB3392">
              <w:rPr>
                <w:color w:val="231F20"/>
              </w:rPr>
              <w:t xml:space="preserve"> Item number 1 not used to calculate </w:t>
            </w:r>
            <w:proofErr w:type="spellStart"/>
            <w:r w:rsidRPr="00EB3392">
              <w:rPr>
                <w:color w:val="231F20"/>
              </w:rPr>
              <w:t>PEDro</w:t>
            </w:r>
            <w:proofErr w:type="spellEnd"/>
            <w:r w:rsidRPr="00EB3392">
              <w:rPr>
                <w:color w:val="231F20"/>
              </w:rPr>
              <w:t xml:space="preserve"> score because it influenced external validity but not internal or statistical validity of trial.</w:t>
            </w:r>
          </w:p>
          <w:p w:rsidRPr="00A37D2A" w:rsidR="00C81275" w:rsidP="00C81275" w:rsidRDefault="00C81275" w14:paraId="464A9AC7" w14:textId="77777777">
            <w:pPr>
              <w:rPr>
                <w:rFonts w:eastAsia="Calibri"/>
                <w:b/>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A37D2A">
              <w:rPr>
                <w:color w:val="231F20"/>
              </w:rPr>
              <w:t>Y, criteria satisfied; N, criteria not satisfied</w:t>
            </w:r>
            <w:r>
              <w:rPr>
                <w:color w:val="231F20"/>
              </w:rPr>
              <w:t xml:space="preserve">. </w:t>
            </w:r>
          </w:p>
        </w:tc>
      </w:tr>
      <w:bookmarkEnd w:id="0"/>
    </w:tbl>
    <w:p w:rsidR="009549E0" w:rsidP="0034188A" w:rsidRDefault="009549E0" w14:paraId="6D247552" w14:textId="2B2D708D">
      <w:pPr>
        <w:widowControl w:val="0"/>
        <w:autoSpaceDE w:val="0"/>
        <w:autoSpaceDN w:val="0"/>
        <w:adjustRightInd w:val="0"/>
        <w:spacing w:before="120" w:after="120" w:line="480" w:lineRule="auto"/>
        <w:rPr>
          <w:color w:val="A6A6A6" w:themeColor="background1" w:themeShade="A6"/>
        </w:rPr>
      </w:pPr>
    </w:p>
    <w:p w:rsidR="0034188A" w:rsidP="0034188A" w:rsidRDefault="0034188A" w14:paraId="5766C65F"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1CD50494"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331D61FB"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0944A737"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29CF91F8" w14:textId="77777777">
      <w:pPr>
        <w:widowControl w:val="0"/>
        <w:autoSpaceDE w:val="0"/>
        <w:autoSpaceDN w:val="0"/>
        <w:adjustRightInd w:val="0"/>
        <w:spacing w:before="120" w:after="120" w:line="480" w:lineRule="auto"/>
        <w:rPr>
          <w:color w:val="A6A6A6" w:themeColor="background1" w:themeShade="A6"/>
        </w:rPr>
      </w:pPr>
    </w:p>
    <w:p w:rsidR="0034188A" w:rsidP="0034188A" w:rsidRDefault="0034188A" w14:paraId="1B1F9849" w14:textId="77777777">
      <w:pPr>
        <w:widowControl w:val="0"/>
        <w:autoSpaceDE w:val="0"/>
        <w:autoSpaceDN w:val="0"/>
        <w:adjustRightInd w:val="0"/>
        <w:spacing w:before="120" w:after="120" w:line="480" w:lineRule="auto"/>
        <w:rPr>
          <w:color w:val="A6A6A6" w:themeColor="background1" w:themeShade="A6"/>
        </w:rPr>
      </w:pPr>
    </w:p>
    <w:p w:rsidR="00273C42" w:rsidRDefault="00273C42" w14:paraId="2621DD0C" w14:textId="77777777"/>
    <w:sectPr w:rsidR="00273C42" w:rsidSect="009549E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B95B" w14:textId="77777777" w:rsidR="00552990" w:rsidRDefault="00552990" w:rsidP="009C5644">
      <w:r>
        <w:separator/>
      </w:r>
    </w:p>
  </w:endnote>
  <w:endnote w:type="continuationSeparator" w:id="0">
    <w:p w14:paraId="16C0B027" w14:textId="77777777" w:rsidR="00552990" w:rsidRDefault="00552990" w:rsidP="009C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BE00" w14:textId="77777777" w:rsidR="002E53E3" w:rsidRDefault="002E53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D2EB" w14:textId="77777777" w:rsidR="002E53E3" w:rsidRDefault="002E53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0081" w14:textId="77777777" w:rsidR="002E53E3" w:rsidRDefault="002E53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12F2" w14:textId="77777777" w:rsidR="00552990" w:rsidRDefault="00552990" w:rsidP="009C5644">
      <w:r>
        <w:separator/>
      </w:r>
    </w:p>
  </w:footnote>
  <w:footnote w:type="continuationSeparator" w:id="0">
    <w:p w14:paraId="523B096E" w14:textId="77777777" w:rsidR="00552990" w:rsidRDefault="00552990" w:rsidP="009C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3145" w14:textId="77777777" w:rsidR="002E53E3" w:rsidRPr="00740373" w:rsidRDefault="002E53E3" w:rsidP="00351BBB">
    <w:pPr>
      <w:pStyle w:val="Encabezado"/>
      <w:jc w:val="right"/>
    </w:pPr>
    <w:r>
      <w:rPr>
        <w:lang w:val="es-ES"/>
      </w:rPr>
      <w:t>Ortiz-</w:t>
    </w:r>
    <w:proofErr w:type="spellStart"/>
    <w:r>
      <w:rPr>
        <w:lang w:val="es-ES"/>
      </w:rPr>
      <w:t>Alvarez</w:t>
    </w:r>
    <w:proofErr w:type="spellEnd"/>
    <w:r>
      <w:rPr>
        <w:lang w:val="es-ES"/>
      </w:rPr>
      <w:t xml:space="preserve"> and </w:t>
    </w:r>
    <w:proofErr w:type="spellStart"/>
    <w:r>
      <w:rPr>
        <w:lang w:val="es-ES"/>
      </w:rPr>
      <w:t>Xu</w:t>
    </w:r>
    <w:proofErr w:type="spellEnd"/>
    <w:r>
      <w:rPr>
        <w:lang w:val="es-ES"/>
      </w:rPr>
      <w:t xml:space="preserve">, et al. </w:t>
    </w:r>
    <w:sdt>
      <w:sdtPr>
        <w:id w:val="572707656"/>
        <w:docPartObj>
          <w:docPartGallery w:val="Page Numbers (Top of Page)"/>
          <w:docPartUnique/>
        </w:docPartObj>
      </w:sdtPr>
      <w:sdtEndPr/>
      <w:sdtContent>
        <w:r w:rsidRPr="002E53E3">
          <w:rPr>
            <w:lang w:val="es-ES"/>
          </w:rPr>
          <w:tab/>
        </w:r>
        <w:r w:rsidRPr="002E53E3">
          <w:rPr>
            <w:lang w:val="es-ES"/>
          </w:rPr>
          <w:tab/>
        </w:r>
        <w:r w:rsidRPr="00740373">
          <w:t xml:space="preserve">Page </w:t>
        </w:r>
        <w:r w:rsidRPr="00740373">
          <w:rPr>
            <w:b/>
            <w:bCs/>
          </w:rPr>
          <w:fldChar w:fldCharType="begin"/>
        </w:r>
        <w:r w:rsidRPr="00740373">
          <w:rPr>
            <w:b/>
            <w:bCs/>
          </w:rPr>
          <w:instrText xml:space="preserve"> PAGE </w:instrText>
        </w:r>
        <w:r w:rsidRPr="00740373">
          <w:rPr>
            <w:b/>
            <w:bCs/>
          </w:rPr>
          <w:fldChar w:fldCharType="separate"/>
        </w:r>
        <w:r w:rsidR="00C81275">
          <w:rPr>
            <w:b/>
            <w:bCs/>
            <w:noProof/>
          </w:rPr>
          <w:t>6</w:t>
        </w:r>
        <w:r w:rsidRPr="00740373">
          <w:rPr>
            <w:b/>
            <w:bCs/>
          </w:rPr>
          <w:fldChar w:fldCharType="end"/>
        </w:r>
        <w:r w:rsidRPr="00740373">
          <w:t xml:space="preserve"> of </w:t>
        </w:r>
        <w:r w:rsidRPr="00740373">
          <w:rPr>
            <w:b/>
            <w:bCs/>
          </w:rPr>
          <w:fldChar w:fldCharType="begin"/>
        </w:r>
        <w:r w:rsidRPr="00740373">
          <w:rPr>
            <w:b/>
            <w:bCs/>
          </w:rPr>
          <w:instrText xml:space="preserve"> NUMPAGES  </w:instrText>
        </w:r>
        <w:r w:rsidRPr="00740373">
          <w:rPr>
            <w:b/>
            <w:bCs/>
          </w:rPr>
          <w:fldChar w:fldCharType="separate"/>
        </w:r>
        <w:r w:rsidR="00C81275">
          <w:rPr>
            <w:b/>
            <w:bCs/>
            <w:noProof/>
          </w:rPr>
          <w:t>10</w:t>
        </w:r>
        <w:r w:rsidRPr="00740373">
          <w:rPr>
            <w:b/>
            <w:bCs/>
          </w:rPr>
          <w:fldChar w:fldCharType="end"/>
        </w:r>
      </w:sdtContent>
    </w:sdt>
  </w:p>
  <w:p w14:paraId="401B2192" w14:textId="77777777" w:rsidR="002E53E3" w:rsidRPr="009C5644" w:rsidRDefault="002E53E3" w:rsidP="00351BBB">
    <w:pPr>
      <w:pStyle w:val="Encabezado"/>
      <w:rPr>
        <w:lang w:val="es-ES"/>
      </w:rPr>
    </w:pPr>
  </w:p>
  <w:p w14:paraId="6BE3C164" w14:textId="77777777" w:rsidR="002E53E3" w:rsidRDefault="002E53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91B8" w14:textId="77777777" w:rsidR="002E53E3" w:rsidRDefault="002E53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3625" w14:textId="77777777" w:rsidR="002E53E3" w:rsidRPr="00740373" w:rsidRDefault="002E53E3" w:rsidP="0034188A">
    <w:pPr>
      <w:pStyle w:val="Encabezado"/>
      <w:jc w:val="right"/>
    </w:pPr>
    <w:r>
      <w:rPr>
        <w:lang w:val="es-ES"/>
      </w:rPr>
      <w:t>Ortiz-</w:t>
    </w:r>
    <w:proofErr w:type="spellStart"/>
    <w:r>
      <w:rPr>
        <w:lang w:val="es-ES"/>
      </w:rPr>
      <w:t>Alvarez</w:t>
    </w:r>
    <w:proofErr w:type="spellEnd"/>
    <w:r>
      <w:rPr>
        <w:lang w:val="es-ES"/>
      </w:rPr>
      <w:t xml:space="preserve"> and </w:t>
    </w:r>
    <w:proofErr w:type="spellStart"/>
    <w:r>
      <w:rPr>
        <w:lang w:val="es-ES"/>
      </w:rPr>
      <w:t>Xu</w:t>
    </w:r>
    <w:proofErr w:type="spellEnd"/>
    <w:r>
      <w:rPr>
        <w:lang w:val="es-ES"/>
      </w:rPr>
      <w:t xml:space="preserve">, et al. </w:t>
    </w:r>
    <w:sdt>
      <w:sdtPr>
        <w:id w:val="995841550"/>
        <w:docPartObj>
          <w:docPartGallery w:val="Page Numbers (Top of Page)"/>
          <w:docPartUnique/>
        </w:docPartObj>
      </w:sdtPr>
      <w:sdtEndPr/>
      <w:sdtContent>
        <w:r w:rsidRPr="002E53E3">
          <w:rPr>
            <w:lang w:val="es-ES"/>
          </w:rPr>
          <w:tab/>
        </w:r>
        <w:r w:rsidRPr="002E53E3">
          <w:rPr>
            <w:lang w:val="es-ES"/>
          </w:rPr>
          <w:tab/>
        </w:r>
        <w:r w:rsidRPr="00740373">
          <w:t xml:space="preserve">Page </w:t>
        </w:r>
        <w:r w:rsidRPr="00740373">
          <w:rPr>
            <w:b/>
            <w:bCs/>
          </w:rPr>
          <w:fldChar w:fldCharType="begin"/>
        </w:r>
        <w:r w:rsidRPr="00740373">
          <w:rPr>
            <w:b/>
            <w:bCs/>
          </w:rPr>
          <w:instrText xml:space="preserve"> PAGE </w:instrText>
        </w:r>
        <w:r w:rsidRPr="00740373">
          <w:rPr>
            <w:b/>
            <w:bCs/>
          </w:rPr>
          <w:fldChar w:fldCharType="separate"/>
        </w:r>
        <w:r w:rsidR="00C81275">
          <w:rPr>
            <w:b/>
            <w:bCs/>
            <w:noProof/>
          </w:rPr>
          <w:t>24</w:t>
        </w:r>
        <w:r w:rsidRPr="00740373">
          <w:rPr>
            <w:b/>
            <w:bCs/>
          </w:rPr>
          <w:fldChar w:fldCharType="end"/>
        </w:r>
        <w:r w:rsidRPr="00740373">
          <w:t xml:space="preserve"> of </w:t>
        </w:r>
        <w:r w:rsidRPr="00740373">
          <w:rPr>
            <w:b/>
            <w:bCs/>
          </w:rPr>
          <w:fldChar w:fldCharType="begin"/>
        </w:r>
        <w:r w:rsidRPr="00740373">
          <w:rPr>
            <w:b/>
            <w:bCs/>
          </w:rPr>
          <w:instrText xml:space="preserve"> NUMPAGES  </w:instrText>
        </w:r>
        <w:r w:rsidRPr="00740373">
          <w:rPr>
            <w:b/>
            <w:bCs/>
          </w:rPr>
          <w:fldChar w:fldCharType="separate"/>
        </w:r>
        <w:r w:rsidR="00C81275">
          <w:rPr>
            <w:b/>
            <w:bCs/>
            <w:noProof/>
          </w:rPr>
          <w:t>27</w:t>
        </w:r>
        <w:r w:rsidRPr="00740373">
          <w:rPr>
            <w:b/>
            <w:bCs/>
          </w:rPr>
          <w:fldChar w:fldCharType="end"/>
        </w:r>
      </w:sdtContent>
    </w:sdt>
  </w:p>
  <w:p w14:paraId="042BEDA1" w14:textId="77777777" w:rsidR="002E53E3" w:rsidRPr="009C5644" w:rsidRDefault="002E53E3">
    <w:pPr>
      <w:pStyle w:val="Encabezado"/>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5787" w14:textId="77777777" w:rsidR="002E53E3" w:rsidRDefault="002E53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4EF"/>
    <w:multiLevelType w:val="hybridMultilevel"/>
    <w:tmpl w:val="2F08C0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AA7552"/>
    <w:multiLevelType w:val="hybridMultilevel"/>
    <w:tmpl w:val="C6D69B2C"/>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156A1"/>
    <w:multiLevelType w:val="hybridMultilevel"/>
    <w:tmpl w:val="C1F09D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31B75"/>
    <w:multiLevelType w:val="hybridMultilevel"/>
    <w:tmpl w:val="89842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152020"/>
    <w:multiLevelType w:val="hybridMultilevel"/>
    <w:tmpl w:val="6478A8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757AF0"/>
    <w:multiLevelType w:val="hybridMultilevel"/>
    <w:tmpl w:val="E1762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4B689B"/>
    <w:multiLevelType w:val="hybridMultilevel"/>
    <w:tmpl w:val="98DCCE56"/>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007AE3"/>
    <w:multiLevelType w:val="hybridMultilevel"/>
    <w:tmpl w:val="510C9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C357BD"/>
    <w:multiLevelType w:val="hybridMultilevel"/>
    <w:tmpl w:val="7026C8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E156F8"/>
    <w:multiLevelType w:val="hybridMultilevel"/>
    <w:tmpl w:val="D44C0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242090"/>
    <w:multiLevelType w:val="hybridMultilevel"/>
    <w:tmpl w:val="5790C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B8143F"/>
    <w:multiLevelType w:val="hybridMultilevel"/>
    <w:tmpl w:val="CCD459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E27688"/>
    <w:multiLevelType w:val="hybridMultilevel"/>
    <w:tmpl w:val="3A0EA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0C7381"/>
    <w:multiLevelType w:val="hybridMultilevel"/>
    <w:tmpl w:val="4EF206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AE03B15"/>
    <w:multiLevelType w:val="hybridMultilevel"/>
    <w:tmpl w:val="6ED8F7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940790"/>
    <w:multiLevelType w:val="hybridMultilevel"/>
    <w:tmpl w:val="3258C0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273D7E8E"/>
    <w:multiLevelType w:val="hybridMultilevel"/>
    <w:tmpl w:val="E8BC24EA"/>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4F5E09"/>
    <w:multiLevelType w:val="hybridMultilevel"/>
    <w:tmpl w:val="B62E95A0"/>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5E6D7F"/>
    <w:multiLevelType w:val="hybridMultilevel"/>
    <w:tmpl w:val="BBBC94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362B9C"/>
    <w:multiLevelType w:val="hybridMultilevel"/>
    <w:tmpl w:val="5E5C8C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6D73AF"/>
    <w:multiLevelType w:val="hybridMultilevel"/>
    <w:tmpl w:val="AB5425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E730E0"/>
    <w:multiLevelType w:val="hybridMultilevel"/>
    <w:tmpl w:val="86E20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655700"/>
    <w:multiLevelType w:val="hybridMultilevel"/>
    <w:tmpl w:val="69BA6232"/>
    <w:lvl w:ilvl="0" w:tplc="0C0A0001">
      <w:start w:val="1"/>
      <w:numFmt w:val="bullet"/>
      <w:lvlText w:val=""/>
      <w:lvlJc w:val="left"/>
      <w:pPr>
        <w:ind w:left="774" w:hanging="360"/>
      </w:pPr>
      <w:rPr>
        <w:rFonts w:ascii="Symbol" w:hAnsi="Symbol" w:hint="default"/>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3">
    <w:nsid w:val="403A3F6A"/>
    <w:multiLevelType w:val="hybridMultilevel"/>
    <w:tmpl w:val="ED44F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82729A"/>
    <w:multiLevelType w:val="hybridMultilevel"/>
    <w:tmpl w:val="0E484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352"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E33140"/>
    <w:multiLevelType w:val="hybridMultilevel"/>
    <w:tmpl w:val="1C240D9E"/>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6A6769"/>
    <w:multiLevelType w:val="hybridMultilevel"/>
    <w:tmpl w:val="CFAC72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004504"/>
    <w:multiLevelType w:val="hybridMultilevel"/>
    <w:tmpl w:val="A7701F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197493"/>
    <w:multiLevelType w:val="hybridMultilevel"/>
    <w:tmpl w:val="E1AE8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FE67FC"/>
    <w:multiLevelType w:val="hybridMultilevel"/>
    <w:tmpl w:val="06705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DD3375"/>
    <w:multiLevelType w:val="hybridMultilevel"/>
    <w:tmpl w:val="96408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E66CCB"/>
    <w:multiLevelType w:val="hybridMultilevel"/>
    <w:tmpl w:val="E8662050"/>
    <w:lvl w:ilvl="0" w:tplc="5838D6D2">
      <w:start w:val="1"/>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5FCA16F4"/>
    <w:multiLevelType w:val="hybridMultilevel"/>
    <w:tmpl w:val="8A405704"/>
    <w:lvl w:ilvl="0" w:tplc="A0B25AF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333E11"/>
    <w:multiLevelType w:val="multilevel"/>
    <w:tmpl w:val="B16AD66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1B6778"/>
    <w:multiLevelType w:val="hybridMultilevel"/>
    <w:tmpl w:val="45DEE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F061F8"/>
    <w:multiLevelType w:val="hybridMultilevel"/>
    <w:tmpl w:val="DA407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1D6E36"/>
    <w:multiLevelType w:val="hybridMultilevel"/>
    <w:tmpl w:val="AB763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7733ED"/>
    <w:multiLevelType w:val="hybridMultilevel"/>
    <w:tmpl w:val="9E4E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432912"/>
    <w:multiLevelType w:val="hybridMultilevel"/>
    <w:tmpl w:val="B0E83C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12"/>
  </w:num>
  <w:num w:numId="4">
    <w:abstractNumId w:val="10"/>
  </w:num>
  <w:num w:numId="5">
    <w:abstractNumId w:val="5"/>
  </w:num>
  <w:num w:numId="6">
    <w:abstractNumId w:val="28"/>
  </w:num>
  <w:num w:numId="7">
    <w:abstractNumId w:val="36"/>
  </w:num>
  <w:num w:numId="8">
    <w:abstractNumId w:val="1"/>
  </w:num>
  <w:num w:numId="9">
    <w:abstractNumId w:val="17"/>
  </w:num>
  <w:num w:numId="10">
    <w:abstractNumId w:val="6"/>
  </w:num>
  <w:num w:numId="11">
    <w:abstractNumId w:val="9"/>
  </w:num>
  <w:num w:numId="12">
    <w:abstractNumId w:val="37"/>
  </w:num>
  <w:num w:numId="13">
    <w:abstractNumId w:val="16"/>
  </w:num>
  <w:num w:numId="14">
    <w:abstractNumId w:val="20"/>
  </w:num>
  <w:num w:numId="15">
    <w:abstractNumId w:val="2"/>
  </w:num>
  <w:num w:numId="16">
    <w:abstractNumId w:val="19"/>
  </w:num>
  <w:num w:numId="17">
    <w:abstractNumId w:val="23"/>
  </w:num>
  <w:num w:numId="18">
    <w:abstractNumId w:val="4"/>
  </w:num>
  <w:num w:numId="19">
    <w:abstractNumId w:val="13"/>
  </w:num>
  <w:num w:numId="20">
    <w:abstractNumId w:val="11"/>
  </w:num>
  <w:num w:numId="21">
    <w:abstractNumId w:val="35"/>
  </w:num>
  <w:num w:numId="22">
    <w:abstractNumId w:val="3"/>
  </w:num>
  <w:num w:numId="23">
    <w:abstractNumId w:val="34"/>
  </w:num>
  <w:num w:numId="24">
    <w:abstractNumId w:val="25"/>
  </w:num>
  <w:num w:numId="25">
    <w:abstractNumId w:val="8"/>
  </w:num>
  <w:num w:numId="26">
    <w:abstractNumId w:val="18"/>
  </w:num>
  <w:num w:numId="27">
    <w:abstractNumId w:val="21"/>
  </w:num>
  <w:num w:numId="28">
    <w:abstractNumId w:val="0"/>
  </w:num>
  <w:num w:numId="29">
    <w:abstractNumId w:val="26"/>
  </w:num>
  <w:num w:numId="30">
    <w:abstractNumId w:val="27"/>
  </w:num>
  <w:num w:numId="31">
    <w:abstractNumId w:val="33"/>
  </w:num>
  <w:num w:numId="32">
    <w:abstractNumId w:val="30"/>
  </w:num>
  <w:num w:numId="33">
    <w:abstractNumId w:val="15"/>
  </w:num>
  <w:num w:numId="34">
    <w:abstractNumId w:val="14"/>
  </w:num>
  <w:num w:numId="35">
    <w:abstractNumId w:val="22"/>
  </w:num>
  <w:num w:numId="36">
    <w:abstractNumId w:val="32"/>
  </w:num>
  <w:num w:numId="37">
    <w:abstractNumId w:val="38"/>
  </w:num>
  <w:num w:numId="38">
    <w:abstractNumId w:val="29"/>
  </w:num>
  <w:num w:numId="39">
    <w:abstractNumId w:val="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93f2c632-f083-495e-bc1d-a7e84ec119e5"/>
  </w:docVars>
  <w:rsids>
    <w:rsidRoot w:val="009C5644"/>
    <w:rsid w:val="00217F94"/>
    <w:rsid w:val="00273C42"/>
    <w:rsid w:val="002878C0"/>
    <w:rsid w:val="0029556B"/>
    <w:rsid w:val="002E53E3"/>
    <w:rsid w:val="0034188A"/>
    <w:rsid w:val="00351BBB"/>
    <w:rsid w:val="003D594B"/>
    <w:rsid w:val="003F26D7"/>
    <w:rsid w:val="00506836"/>
    <w:rsid w:val="00552990"/>
    <w:rsid w:val="00582F4D"/>
    <w:rsid w:val="005963C4"/>
    <w:rsid w:val="00653EED"/>
    <w:rsid w:val="00681493"/>
    <w:rsid w:val="00861DCD"/>
    <w:rsid w:val="008A1DAE"/>
    <w:rsid w:val="008C522D"/>
    <w:rsid w:val="008F4250"/>
    <w:rsid w:val="009549E0"/>
    <w:rsid w:val="00984D49"/>
    <w:rsid w:val="009C5644"/>
    <w:rsid w:val="00AA548B"/>
    <w:rsid w:val="00AA60CC"/>
    <w:rsid w:val="00BB40CC"/>
    <w:rsid w:val="00BB70DF"/>
    <w:rsid w:val="00BC709A"/>
    <w:rsid w:val="00C81275"/>
    <w:rsid w:val="00D63558"/>
    <w:rsid w:val="00FD6B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44"/>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link w:val="Ttulo1Car"/>
    <w:uiPriority w:val="9"/>
    <w:qFormat/>
    <w:rsid w:val="0034188A"/>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uiPriority w:val="9"/>
    <w:semiHidden/>
    <w:unhideWhenUsed/>
    <w:qFormat/>
    <w:rsid w:val="003418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4188A"/>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88A"/>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9C5644"/>
    <w:pPr>
      <w:tabs>
        <w:tab w:val="center" w:pos="4252"/>
        <w:tab w:val="right" w:pos="8504"/>
      </w:tabs>
    </w:pPr>
  </w:style>
  <w:style w:type="character" w:customStyle="1" w:styleId="EncabezadoCar">
    <w:name w:val="Encabezado Car"/>
    <w:basedOn w:val="Fuentedeprrafopredeter"/>
    <w:link w:val="Encabezado"/>
    <w:uiPriority w:val="99"/>
    <w:rsid w:val="009C5644"/>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9C5644"/>
    <w:pPr>
      <w:tabs>
        <w:tab w:val="center" w:pos="4252"/>
        <w:tab w:val="right" w:pos="8504"/>
      </w:tabs>
    </w:pPr>
  </w:style>
  <w:style w:type="character" w:customStyle="1" w:styleId="PiedepginaCar">
    <w:name w:val="Pie de página Car"/>
    <w:basedOn w:val="Fuentedeprrafopredeter"/>
    <w:link w:val="Piedepgina"/>
    <w:uiPriority w:val="99"/>
    <w:rsid w:val="009C5644"/>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34188A"/>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semiHidden/>
    <w:rsid w:val="0034188A"/>
    <w:rPr>
      <w:rFonts w:asciiTheme="majorHAnsi" w:eastAsiaTheme="majorEastAsia" w:hAnsiTheme="majorHAnsi" w:cstheme="majorBidi"/>
      <w:color w:val="243F60" w:themeColor="accent1" w:themeShade="7F"/>
      <w:sz w:val="24"/>
      <w:szCs w:val="24"/>
      <w:lang w:val="en-US"/>
    </w:rPr>
  </w:style>
  <w:style w:type="character" w:customStyle="1" w:styleId="HTMLconformatoprevioCar">
    <w:name w:val="HTML con formato previo Car"/>
    <w:basedOn w:val="Fuentedeprrafopredeter"/>
    <w:link w:val="HTMLconformatoprevio"/>
    <w:uiPriority w:val="99"/>
    <w:semiHidden/>
    <w:rsid w:val="0034188A"/>
    <w:rPr>
      <w:rFonts w:ascii="Courier New" w:eastAsia="Times New Roman" w:hAnsi="Courier New" w:cs="Courier New"/>
      <w:sz w:val="20"/>
      <w:szCs w:val="20"/>
      <w:lang w:val="en-US" w:eastAsia="es-ES"/>
    </w:rPr>
  </w:style>
  <w:style w:type="paragraph" w:styleId="HTMLconformatoprevio">
    <w:name w:val="HTML Preformatted"/>
    <w:basedOn w:val="Normal"/>
    <w:link w:val="HTMLconformatoprevioCar"/>
    <w:uiPriority w:val="99"/>
    <w:semiHidden/>
    <w:unhideWhenUsed/>
    <w:rsid w:val="003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TextocomentarioCar">
    <w:name w:val="Texto comentario Car"/>
    <w:basedOn w:val="Fuentedeprrafopredeter"/>
    <w:link w:val="Textocomentario"/>
    <w:uiPriority w:val="99"/>
    <w:semiHidden/>
    <w:rsid w:val="0034188A"/>
    <w:rPr>
      <w:rFonts w:ascii="Calibri" w:eastAsia="Calibri" w:hAnsi="Calibri" w:cs="Calibri"/>
      <w:sz w:val="20"/>
      <w:szCs w:val="20"/>
      <w:lang w:val="en-US" w:eastAsia="es-ES"/>
    </w:rPr>
  </w:style>
  <w:style w:type="paragraph" w:styleId="Textocomentario">
    <w:name w:val="annotation text"/>
    <w:basedOn w:val="Normal"/>
    <w:link w:val="TextocomentarioCar"/>
    <w:uiPriority w:val="99"/>
    <w:semiHidden/>
    <w:unhideWhenUsed/>
    <w:rsid w:val="0034188A"/>
    <w:pPr>
      <w:spacing w:after="200"/>
    </w:pPr>
    <w:rPr>
      <w:rFonts w:ascii="Calibri" w:eastAsia="Calibri" w:hAnsi="Calibri" w:cs="Calibri"/>
      <w:sz w:val="20"/>
      <w:szCs w:val="20"/>
      <w:lang w:eastAsia="es-ES"/>
    </w:rPr>
  </w:style>
  <w:style w:type="character" w:customStyle="1" w:styleId="AsuntodelcomentarioCar">
    <w:name w:val="Asunto del comentario Car"/>
    <w:basedOn w:val="TextocomentarioCar"/>
    <w:link w:val="Asuntodelcomentario"/>
    <w:uiPriority w:val="99"/>
    <w:semiHidden/>
    <w:rsid w:val="0034188A"/>
    <w:rPr>
      <w:rFonts w:ascii="Calibri" w:eastAsia="Calibri" w:hAnsi="Calibri" w:cs="Calibri"/>
      <w:b/>
      <w:bCs/>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34188A"/>
    <w:rPr>
      <w:rFonts w:asciiTheme="minorHAnsi" w:eastAsiaTheme="minorHAnsi" w:hAnsiTheme="minorHAnsi" w:cstheme="minorBidi"/>
      <w:b/>
      <w:bCs/>
      <w:lang w:val="es-ES" w:eastAsia="en-US"/>
    </w:rPr>
  </w:style>
  <w:style w:type="character" w:customStyle="1" w:styleId="TextodegloboCar">
    <w:name w:val="Texto de globo Car"/>
    <w:basedOn w:val="Fuentedeprrafopredeter"/>
    <w:link w:val="Textodeglobo"/>
    <w:uiPriority w:val="99"/>
    <w:semiHidden/>
    <w:rsid w:val="0034188A"/>
    <w:rPr>
      <w:rFonts w:ascii="Tahoma" w:hAnsi="Tahoma" w:cs="Tahoma"/>
      <w:sz w:val="16"/>
      <w:szCs w:val="16"/>
      <w:lang w:val="en-US"/>
    </w:rPr>
  </w:style>
  <w:style w:type="paragraph" w:styleId="Textodeglobo">
    <w:name w:val="Balloon Text"/>
    <w:basedOn w:val="Normal"/>
    <w:link w:val="TextodegloboCar"/>
    <w:uiPriority w:val="99"/>
    <w:semiHidden/>
    <w:unhideWhenUsed/>
    <w:rsid w:val="0034188A"/>
    <w:rPr>
      <w:rFonts w:ascii="Tahoma" w:eastAsiaTheme="minorHAnsi" w:hAnsi="Tahoma" w:cs="Tahoma"/>
      <w:sz w:val="16"/>
      <w:szCs w:val="16"/>
    </w:rPr>
  </w:style>
  <w:style w:type="paragraph" w:styleId="Prrafodelista">
    <w:name w:val="List Paragraph"/>
    <w:basedOn w:val="Normal"/>
    <w:uiPriority w:val="34"/>
    <w:qFormat/>
    <w:rsid w:val="0034188A"/>
    <w:pPr>
      <w:spacing w:after="160" w:line="256" w:lineRule="auto"/>
      <w:ind w:left="720"/>
      <w:contextualSpacing/>
    </w:pPr>
    <w:rPr>
      <w:rFonts w:asciiTheme="minorHAnsi" w:eastAsiaTheme="minorHAnsi" w:hAnsiTheme="minorHAnsi" w:cstheme="minorBidi"/>
      <w:sz w:val="22"/>
      <w:szCs w:val="22"/>
    </w:rPr>
  </w:style>
  <w:style w:type="paragraph" w:customStyle="1" w:styleId="meshyearintroduced">
    <w:name w:val="mesh_year_introduced"/>
    <w:basedOn w:val="Normal"/>
    <w:uiPriority w:val="99"/>
    <w:semiHidden/>
    <w:rsid w:val="0034188A"/>
    <w:pPr>
      <w:spacing w:before="100" w:beforeAutospacing="1" w:after="100" w:afterAutospacing="1"/>
    </w:pPr>
    <w:rPr>
      <w:lang w:eastAsia="es-ES"/>
    </w:rPr>
  </w:style>
  <w:style w:type="character" w:customStyle="1" w:styleId="A13">
    <w:name w:val="A13"/>
    <w:uiPriority w:val="99"/>
    <w:rsid w:val="0034188A"/>
    <w:rPr>
      <w:color w:val="000000"/>
      <w:sz w:val="14"/>
      <w:szCs w:val="14"/>
    </w:rPr>
  </w:style>
  <w:style w:type="character" w:customStyle="1" w:styleId="element-citation">
    <w:name w:val="element-citation"/>
    <w:basedOn w:val="Fuentedeprrafopredeter"/>
    <w:rsid w:val="0034188A"/>
  </w:style>
  <w:style w:type="character" w:customStyle="1" w:styleId="ref-journal">
    <w:name w:val="ref-journal"/>
    <w:basedOn w:val="Fuentedeprrafopredeter"/>
    <w:rsid w:val="0034188A"/>
  </w:style>
  <w:style w:type="character" w:customStyle="1" w:styleId="ref-vol">
    <w:name w:val="ref-vol"/>
    <w:basedOn w:val="Fuentedeprrafopredeter"/>
    <w:rsid w:val="0034188A"/>
  </w:style>
  <w:style w:type="character" w:customStyle="1" w:styleId="invert">
    <w:name w:val="invert"/>
    <w:basedOn w:val="Fuentedeprrafopredeter"/>
    <w:rsid w:val="0034188A"/>
  </w:style>
  <w:style w:type="table" w:styleId="Tablaconcuadrcula">
    <w:name w:val="Table Grid"/>
    <w:basedOn w:val="Tablanormal"/>
    <w:uiPriority w:val="59"/>
    <w:rsid w:val="0034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44"/>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link w:val="Ttulo1Car"/>
    <w:uiPriority w:val="9"/>
    <w:qFormat/>
    <w:rsid w:val="0034188A"/>
    <w:pPr>
      <w:spacing w:before="100" w:beforeAutospacing="1" w:after="100" w:afterAutospacing="1"/>
      <w:outlineLvl w:val="0"/>
    </w:pPr>
    <w:rPr>
      <w:b/>
      <w:bCs/>
      <w:kern w:val="36"/>
      <w:sz w:val="48"/>
      <w:szCs w:val="48"/>
      <w:lang w:val="es-ES" w:eastAsia="es-ES"/>
    </w:rPr>
  </w:style>
  <w:style w:type="paragraph" w:styleId="Ttulo2">
    <w:name w:val="heading 2"/>
    <w:basedOn w:val="Normal"/>
    <w:next w:val="Normal"/>
    <w:link w:val="Ttulo2Car"/>
    <w:uiPriority w:val="9"/>
    <w:semiHidden/>
    <w:unhideWhenUsed/>
    <w:qFormat/>
    <w:rsid w:val="0034188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4188A"/>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88A"/>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9C5644"/>
    <w:pPr>
      <w:tabs>
        <w:tab w:val="center" w:pos="4252"/>
        <w:tab w:val="right" w:pos="8504"/>
      </w:tabs>
    </w:pPr>
  </w:style>
  <w:style w:type="character" w:customStyle="1" w:styleId="EncabezadoCar">
    <w:name w:val="Encabezado Car"/>
    <w:basedOn w:val="Fuentedeprrafopredeter"/>
    <w:link w:val="Encabezado"/>
    <w:uiPriority w:val="99"/>
    <w:rsid w:val="009C5644"/>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9C5644"/>
    <w:pPr>
      <w:tabs>
        <w:tab w:val="center" w:pos="4252"/>
        <w:tab w:val="right" w:pos="8504"/>
      </w:tabs>
    </w:pPr>
  </w:style>
  <w:style w:type="character" w:customStyle="1" w:styleId="PiedepginaCar">
    <w:name w:val="Pie de página Car"/>
    <w:basedOn w:val="Fuentedeprrafopredeter"/>
    <w:link w:val="Piedepgina"/>
    <w:uiPriority w:val="99"/>
    <w:rsid w:val="009C5644"/>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34188A"/>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semiHidden/>
    <w:rsid w:val="0034188A"/>
    <w:rPr>
      <w:rFonts w:asciiTheme="majorHAnsi" w:eastAsiaTheme="majorEastAsia" w:hAnsiTheme="majorHAnsi" w:cstheme="majorBidi"/>
      <w:color w:val="243F60" w:themeColor="accent1" w:themeShade="7F"/>
      <w:sz w:val="24"/>
      <w:szCs w:val="24"/>
      <w:lang w:val="en-US"/>
    </w:rPr>
  </w:style>
  <w:style w:type="character" w:customStyle="1" w:styleId="HTMLconformatoprevioCar">
    <w:name w:val="HTML con formato previo Car"/>
    <w:basedOn w:val="Fuentedeprrafopredeter"/>
    <w:link w:val="HTMLconformatoprevio"/>
    <w:uiPriority w:val="99"/>
    <w:semiHidden/>
    <w:rsid w:val="0034188A"/>
    <w:rPr>
      <w:rFonts w:ascii="Courier New" w:eastAsia="Times New Roman" w:hAnsi="Courier New" w:cs="Courier New"/>
      <w:sz w:val="20"/>
      <w:szCs w:val="20"/>
      <w:lang w:val="en-US" w:eastAsia="es-ES"/>
    </w:rPr>
  </w:style>
  <w:style w:type="paragraph" w:styleId="HTMLconformatoprevio">
    <w:name w:val="HTML Preformatted"/>
    <w:basedOn w:val="Normal"/>
    <w:link w:val="HTMLconformatoprevioCar"/>
    <w:uiPriority w:val="99"/>
    <w:semiHidden/>
    <w:unhideWhenUsed/>
    <w:rsid w:val="003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TextocomentarioCar">
    <w:name w:val="Texto comentario Car"/>
    <w:basedOn w:val="Fuentedeprrafopredeter"/>
    <w:link w:val="Textocomentario"/>
    <w:uiPriority w:val="99"/>
    <w:semiHidden/>
    <w:rsid w:val="0034188A"/>
    <w:rPr>
      <w:rFonts w:ascii="Calibri" w:eastAsia="Calibri" w:hAnsi="Calibri" w:cs="Calibri"/>
      <w:sz w:val="20"/>
      <w:szCs w:val="20"/>
      <w:lang w:val="en-US" w:eastAsia="es-ES"/>
    </w:rPr>
  </w:style>
  <w:style w:type="paragraph" w:styleId="Textocomentario">
    <w:name w:val="annotation text"/>
    <w:basedOn w:val="Normal"/>
    <w:link w:val="TextocomentarioCar"/>
    <w:uiPriority w:val="99"/>
    <w:semiHidden/>
    <w:unhideWhenUsed/>
    <w:rsid w:val="0034188A"/>
    <w:pPr>
      <w:spacing w:after="200"/>
    </w:pPr>
    <w:rPr>
      <w:rFonts w:ascii="Calibri" w:eastAsia="Calibri" w:hAnsi="Calibri" w:cs="Calibri"/>
      <w:sz w:val="20"/>
      <w:szCs w:val="20"/>
      <w:lang w:eastAsia="es-ES"/>
    </w:rPr>
  </w:style>
  <w:style w:type="character" w:customStyle="1" w:styleId="AsuntodelcomentarioCar">
    <w:name w:val="Asunto del comentario Car"/>
    <w:basedOn w:val="TextocomentarioCar"/>
    <w:link w:val="Asuntodelcomentario"/>
    <w:uiPriority w:val="99"/>
    <w:semiHidden/>
    <w:rsid w:val="0034188A"/>
    <w:rPr>
      <w:rFonts w:ascii="Calibri" w:eastAsia="Calibri" w:hAnsi="Calibri" w:cs="Calibri"/>
      <w:b/>
      <w:bCs/>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34188A"/>
    <w:rPr>
      <w:rFonts w:asciiTheme="minorHAnsi" w:eastAsiaTheme="minorHAnsi" w:hAnsiTheme="minorHAnsi" w:cstheme="minorBidi"/>
      <w:b/>
      <w:bCs/>
      <w:lang w:val="es-ES" w:eastAsia="en-US"/>
    </w:rPr>
  </w:style>
  <w:style w:type="character" w:customStyle="1" w:styleId="TextodegloboCar">
    <w:name w:val="Texto de globo Car"/>
    <w:basedOn w:val="Fuentedeprrafopredeter"/>
    <w:link w:val="Textodeglobo"/>
    <w:uiPriority w:val="99"/>
    <w:semiHidden/>
    <w:rsid w:val="0034188A"/>
    <w:rPr>
      <w:rFonts w:ascii="Tahoma" w:hAnsi="Tahoma" w:cs="Tahoma"/>
      <w:sz w:val="16"/>
      <w:szCs w:val="16"/>
      <w:lang w:val="en-US"/>
    </w:rPr>
  </w:style>
  <w:style w:type="paragraph" w:styleId="Textodeglobo">
    <w:name w:val="Balloon Text"/>
    <w:basedOn w:val="Normal"/>
    <w:link w:val="TextodegloboCar"/>
    <w:uiPriority w:val="99"/>
    <w:semiHidden/>
    <w:unhideWhenUsed/>
    <w:rsid w:val="0034188A"/>
    <w:rPr>
      <w:rFonts w:ascii="Tahoma" w:eastAsiaTheme="minorHAnsi" w:hAnsi="Tahoma" w:cs="Tahoma"/>
      <w:sz w:val="16"/>
      <w:szCs w:val="16"/>
    </w:rPr>
  </w:style>
  <w:style w:type="paragraph" w:styleId="Prrafodelista">
    <w:name w:val="List Paragraph"/>
    <w:basedOn w:val="Normal"/>
    <w:uiPriority w:val="34"/>
    <w:qFormat/>
    <w:rsid w:val="0034188A"/>
    <w:pPr>
      <w:spacing w:after="160" w:line="256" w:lineRule="auto"/>
      <w:ind w:left="720"/>
      <w:contextualSpacing/>
    </w:pPr>
    <w:rPr>
      <w:rFonts w:asciiTheme="minorHAnsi" w:eastAsiaTheme="minorHAnsi" w:hAnsiTheme="minorHAnsi" w:cstheme="minorBidi"/>
      <w:sz w:val="22"/>
      <w:szCs w:val="22"/>
    </w:rPr>
  </w:style>
  <w:style w:type="paragraph" w:customStyle="1" w:styleId="meshyearintroduced">
    <w:name w:val="mesh_year_introduced"/>
    <w:basedOn w:val="Normal"/>
    <w:uiPriority w:val="99"/>
    <w:semiHidden/>
    <w:rsid w:val="0034188A"/>
    <w:pPr>
      <w:spacing w:before="100" w:beforeAutospacing="1" w:after="100" w:afterAutospacing="1"/>
    </w:pPr>
    <w:rPr>
      <w:lang w:eastAsia="es-ES"/>
    </w:rPr>
  </w:style>
  <w:style w:type="character" w:customStyle="1" w:styleId="A13">
    <w:name w:val="A13"/>
    <w:uiPriority w:val="99"/>
    <w:rsid w:val="0034188A"/>
    <w:rPr>
      <w:color w:val="000000"/>
      <w:sz w:val="14"/>
      <w:szCs w:val="14"/>
    </w:rPr>
  </w:style>
  <w:style w:type="character" w:customStyle="1" w:styleId="element-citation">
    <w:name w:val="element-citation"/>
    <w:basedOn w:val="Fuentedeprrafopredeter"/>
    <w:rsid w:val="0034188A"/>
  </w:style>
  <w:style w:type="character" w:customStyle="1" w:styleId="ref-journal">
    <w:name w:val="ref-journal"/>
    <w:basedOn w:val="Fuentedeprrafopredeter"/>
    <w:rsid w:val="0034188A"/>
  </w:style>
  <w:style w:type="character" w:customStyle="1" w:styleId="ref-vol">
    <w:name w:val="ref-vol"/>
    <w:basedOn w:val="Fuentedeprrafopredeter"/>
    <w:rsid w:val="0034188A"/>
  </w:style>
  <w:style w:type="character" w:customStyle="1" w:styleId="invert">
    <w:name w:val="invert"/>
    <w:basedOn w:val="Fuentedeprrafopredeter"/>
    <w:rsid w:val="0034188A"/>
  </w:style>
  <w:style w:type="table" w:styleId="Tablaconcuadrcula">
    <w:name w:val="Table Grid"/>
    <w:basedOn w:val="Tablanormal"/>
    <w:uiPriority w:val="59"/>
    <w:rsid w:val="0034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27</Pages>
  <Words>23546</Words>
  <Characters>134213</Characters>
  <Application>Microsoft Office Word</Application>
  <DocSecurity>0</DocSecurity>
  <Lines>1118</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huiwen</dc:creator>
  <cp:lastModifiedBy>huiwen</cp:lastModifiedBy>
  <cp:revision>14</cp:revision>
  <cp:lastPrinted>2019-07-06T20:21:00Z</cp:lastPrinted>
  <dcterms:created xsi:type="dcterms:W3CDTF">2019-07-06T16:25:00Z</dcterms:created>
  <dcterms:modified xsi:type="dcterms:W3CDTF">2019-11-12T13:40:00Z</dcterms:modified>
</cp:coreProperties>
</file>