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DD" w:rsidRPr="004363A2" w:rsidRDefault="000033DD" w:rsidP="000033DD">
      <w:pPr>
        <w:rPr>
          <w:b/>
        </w:rPr>
      </w:pPr>
      <w:proofErr w:type="gramStart"/>
      <w:r w:rsidRPr="004363A2">
        <w:rPr>
          <w:b/>
        </w:rPr>
        <w:t>Table, Supplemental Digital Content 3.</w:t>
      </w:r>
      <w:proofErr w:type="gramEnd"/>
      <w:r w:rsidRPr="004363A2">
        <w:rPr>
          <w:b/>
        </w:rPr>
        <w:t xml:space="preserve"> Patient characteristics at the time of CD or UC diagnosis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2610"/>
        <w:gridCol w:w="2610"/>
      </w:tblGrid>
      <w:tr w:rsidR="000033DD" w:rsidRPr="00B85CC3" w:rsidTr="003840C0">
        <w:tc>
          <w:tcPr>
            <w:tcW w:w="40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0033DD" w:rsidRPr="0002075C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rPr>
                <w:b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0033DD" w:rsidRPr="0002075C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b/>
              </w:rPr>
            </w:pPr>
            <w:r w:rsidRPr="0002075C">
              <w:rPr>
                <w:b/>
              </w:rPr>
              <w:t>UC cohort</w:t>
            </w:r>
          </w:p>
          <w:p w:rsidR="000033DD" w:rsidRPr="0002075C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b/>
              </w:rPr>
            </w:pPr>
            <w:r w:rsidRPr="0002075C">
              <w:rPr>
                <w:b/>
              </w:rPr>
              <w:t>N = 28,119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0033DD" w:rsidRPr="0002075C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b/>
              </w:rPr>
            </w:pPr>
            <w:r w:rsidRPr="0002075C">
              <w:rPr>
                <w:b/>
              </w:rPr>
              <w:t>CD cohort</w:t>
            </w:r>
          </w:p>
          <w:p w:rsidR="000033DD" w:rsidRPr="0002075C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b/>
              </w:rPr>
            </w:pPr>
            <w:r w:rsidRPr="0002075C">
              <w:rPr>
                <w:b/>
              </w:rPr>
              <w:t>N = 16,260</w:t>
            </w:r>
          </w:p>
        </w:tc>
      </w:tr>
      <w:tr w:rsidR="000033DD" w:rsidRPr="00B85CC3" w:rsidTr="003840C0">
        <w:tc>
          <w:tcPr>
            <w:tcW w:w="4068" w:type="dxa"/>
            <w:tcBorders>
              <w:top w:val="single" w:sz="12" w:space="0" w:color="auto"/>
            </w:tcBorders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</w:pPr>
            <w:r w:rsidRPr="00B85CC3">
              <w:t>Age, mean, years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51.4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48.9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</w:pPr>
            <w:r w:rsidRPr="00B85CC3">
              <w:t>Female, %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54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57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</w:pPr>
            <w:r w:rsidRPr="00B85CC3">
              <w:t>Region, %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North Central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25.8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28.3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Northeast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21.1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20.7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South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33.0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34.7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West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19.3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15.6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Other</w:t>
            </w:r>
            <w:r>
              <w:t>/unknown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0.7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0.8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</w:pPr>
            <w:r w:rsidRPr="00B85CC3">
              <w:t>3 most common comorbidities, %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highlight w:val="cyan"/>
              </w:rPr>
            </w:pP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  <w:rPr>
                <w:highlight w:val="cyan"/>
              </w:rPr>
            </w:pP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Other gastrointestinal disorder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52.7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60.3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Abdominal pain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rPr>
                <w:rFonts w:cs="Arial"/>
              </w:rPr>
              <w:t>‒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52.8</w:t>
            </w:r>
          </w:p>
        </w:tc>
      </w:tr>
      <w:tr w:rsidR="000033DD" w:rsidRPr="00B85CC3" w:rsidTr="003840C0">
        <w:tc>
          <w:tcPr>
            <w:tcW w:w="4068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Other connective tissue disease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47.9</w:t>
            </w:r>
          </w:p>
        </w:tc>
        <w:tc>
          <w:tcPr>
            <w:tcW w:w="2610" w:type="dxa"/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49.3</w:t>
            </w:r>
          </w:p>
        </w:tc>
      </w:tr>
      <w:tr w:rsidR="000033DD" w:rsidRPr="00B85CC3" w:rsidTr="003840C0">
        <w:tc>
          <w:tcPr>
            <w:tcW w:w="4068" w:type="dxa"/>
            <w:tcBorders>
              <w:bottom w:val="single" w:sz="8" w:space="0" w:color="auto"/>
            </w:tcBorders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360"/>
              <w:contextualSpacing w:val="0"/>
            </w:pPr>
            <w:r w:rsidRPr="00B85CC3">
              <w:t>Lipid metabolism disorder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 w:rsidRPr="00B85CC3">
              <w:t>45.9</w:t>
            </w:r>
          </w:p>
        </w:tc>
        <w:tc>
          <w:tcPr>
            <w:tcW w:w="2610" w:type="dxa"/>
            <w:tcBorders>
              <w:bottom w:val="single" w:sz="8" w:space="0" w:color="auto"/>
            </w:tcBorders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  <w:jc w:val="center"/>
            </w:pPr>
            <w:r>
              <w:rPr>
                <w:rFonts w:cs="Arial"/>
              </w:rPr>
              <w:t>‒</w:t>
            </w:r>
          </w:p>
        </w:tc>
      </w:tr>
      <w:tr w:rsidR="000033DD" w:rsidRPr="00B85CC3" w:rsidTr="003840C0">
        <w:tc>
          <w:tcPr>
            <w:tcW w:w="9288" w:type="dxa"/>
            <w:gridSpan w:val="3"/>
            <w:tcBorders>
              <w:top w:val="single" w:sz="8" w:space="0" w:color="auto"/>
            </w:tcBorders>
          </w:tcPr>
          <w:p w:rsidR="000033DD" w:rsidRPr="00B85CC3" w:rsidRDefault="000033DD" w:rsidP="003840C0">
            <w:pPr>
              <w:pStyle w:val="ListParagraph"/>
              <w:keepNext/>
              <w:spacing w:line="360" w:lineRule="auto"/>
              <w:ind w:left="0"/>
              <w:contextualSpacing w:val="0"/>
            </w:pPr>
            <w:r w:rsidRPr="00B85CC3">
              <w:rPr>
                <w:sz w:val="20"/>
                <w:szCs w:val="20"/>
              </w:rPr>
              <w:t>CD, Crohn’s disease; UC, ulcerative colitis.</w:t>
            </w:r>
          </w:p>
        </w:tc>
      </w:tr>
    </w:tbl>
    <w:p w:rsidR="00BB6F07" w:rsidRDefault="000033DD">
      <w:bookmarkStart w:id="0" w:name="_GoBack"/>
      <w:bookmarkEnd w:id="0"/>
    </w:p>
    <w:sectPr w:rsidR="00BB6F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DD"/>
    <w:rsid w:val="000033DD"/>
    <w:rsid w:val="000F2C96"/>
    <w:rsid w:val="004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DD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DD"/>
    <w:pPr>
      <w:tabs>
        <w:tab w:val="clear" w:pos="0"/>
      </w:tabs>
      <w:ind w:left="720"/>
      <w:contextualSpacing/>
      <w:outlineLvl w:val="9"/>
    </w:pPr>
  </w:style>
  <w:style w:type="table" w:styleId="TableGrid">
    <w:name w:val="Table Grid"/>
    <w:basedOn w:val="TableNormal"/>
    <w:uiPriority w:val="59"/>
    <w:rsid w:val="000033D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DD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DD"/>
    <w:pPr>
      <w:tabs>
        <w:tab w:val="clear" w:pos="0"/>
      </w:tabs>
      <w:ind w:left="720"/>
      <w:contextualSpacing/>
      <w:outlineLvl w:val="9"/>
    </w:pPr>
  </w:style>
  <w:style w:type="table" w:styleId="TableGrid">
    <w:name w:val="Table Grid"/>
    <w:basedOn w:val="TableNormal"/>
    <w:uiPriority w:val="59"/>
    <w:rsid w:val="000033D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Sweeney</dc:creator>
  <cp:lastModifiedBy>Lorraine Sweeney</cp:lastModifiedBy>
  <cp:revision>1</cp:revision>
  <dcterms:created xsi:type="dcterms:W3CDTF">2019-11-18T17:27:00Z</dcterms:created>
  <dcterms:modified xsi:type="dcterms:W3CDTF">2019-11-18T17:28:00Z</dcterms:modified>
</cp:coreProperties>
</file>