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083B" w14:textId="77777777" w:rsidR="009515A3" w:rsidRDefault="002843CA">
      <w:r>
        <w:t>Supplementary Table S1. Study inclusion criteria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71DEF" w:rsidRPr="00171DEF" w14:paraId="2917A4B3" w14:textId="77777777" w:rsidTr="00171DEF">
        <w:tc>
          <w:tcPr>
            <w:tcW w:w="9350" w:type="dxa"/>
          </w:tcPr>
          <w:p w14:paraId="24569826" w14:textId="77777777" w:rsidR="00171DEF" w:rsidRPr="00171DEF" w:rsidRDefault="00171DEF" w:rsidP="00171DEF">
            <w:pPr>
              <w:pStyle w:val="ListParagraph"/>
              <w:numPr>
                <w:ilvl w:val="0"/>
                <w:numId w:val="3"/>
              </w:numPr>
            </w:pPr>
            <w:r w:rsidRPr="00171DEF">
              <w:t>Have been clinically diagnosed with chronic abdominal pain (from inguinal crease to T12 ribs), including diagnoses such as abdominal wall pain, chronic pancreatitis, gastroparesis, gastric dysmotility, herniorrhaphy, irritable bowel syndrome (IBS), post-surgical or post-traumatic abdominal pain.</w:t>
            </w:r>
          </w:p>
        </w:tc>
      </w:tr>
      <w:tr w:rsidR="00171DEF" w:rsidRPr="00171DEF" w14:paraId="6E702594" w14:textId="77777777" w:rsidTr="00171DEF">
        <w:tc>
          <w:tcPr>
            <w:tcW w:w="9350" w:type="dxa"/>
          </w:tcPr>
          <w:p w14:paraId="0B163807" w14:textId="77777777" w:rsidR="00171DEF" w:rsidRPr="00171DEF" w:rsidRDefault="00171DEF" w:rsidP="00171DEF">
            <w:pPr>
              <w:pStyle w:val="ListParagraph"/>
              <w:numPr>
                <w:ilvl w:val="0"/>
                <w:numId w:val="3"/>
              </w:numPr>
            </w:pPr>
            <w:r w:rsidRPr="00171DEF">
              <w:t xml:space="preserve">Have been refractory to conservative therapy for a minimum of 3 months, including assessment of at least 2 different classes of medications and/or an anesthetic block as clinically appropriate.  </w:t>
            </w:r>
          </w:p>
        </w:tc>
      </w:tr>
      <w:tr w:rsidR="00171DEF" w:rsidRPr="00171DEF" w14:paraId="4A16F816" w14:textId="77777777" w:rsidTr="00171DEF">
        <w:tc>
          <w:tcPr>
            <w:tcW w:w="9350" w:type="dxa"/>
          </w:tcPr>
          <w:p w14:paraId="5F5E9214" w14:textId="77777777" w:rsidR="00171DEF" w:rsidRPr="00171DEF" w:rsidRDefault="00171DEF" w:rsidP="00171DEF">
            <w:pPr>
              <w:pStyle w:val="ListParagraph"/>
              <w:numPr>
                <w:ilvl w:val="0"/>
                <w:numId w:val="3"/>
              </w:numPr>
            </w:pPr>
            <w:r w:rsidRPr="00171DEF">
              <w:t>Average pain intensity (over the last 7 days) of ≥5 out of 10 cm on the Visual Analog Scale (VAS) in the primary area of pain at enrollment.</w:t>
            </w:r>
          </w:p>
        </w:tc>
      </w:tr>
      <w:tr w:rsidR="00171DEF" w:rsidRPr="00171DEF" w14:paraId="7CA09D75" w14:textId="77777777" w:rsidTr="00171DEF">
        <w:tc>
          <w:tcPr>
            <w:tcW w:w="9350" w:type="dxa"/>
          </w:tcPr>
          <w:p w14:paraId="6E383044" w14:textId="77777777" w:rsidR="00171DEF" w:rsidRPr="00171DEF" w:rsidRDefault="00171DEF" w:rsidP="00171DEF">
            <w:pPr>
              <w:pStyle w:val="ListParagraph"/>
              <w:numPr>
                <w:ilvl w:val="0"/>
                <w:numId w:val="3"/>
              </w:numPr>
            </w:pPr>
            <w:r w:rsidRPr="00171DEF">
              <w:t>Have stable neurological status measured by motor, sensory and reflex function as determined by the investigator.</w:t>
            </w:r>
          </w:p>
        </w:tc>
      </w:tr>
      <w:tr w:rsidR="00171DEF" w:rsidRPr="00171DEF" w14:paraId="0B320402" w14:textId="77777777" w:rsidTr="00171DEF">
        <w:tc>
          <w:tcPr>
            <w:tcW w:w="9350" w:type="dxa"/>
          </w:tcPr>
          <w:p w14:paraId="38C57BFA" w14:textId="77777777" w:rsidR="00171DEF" w:rsidRPr="00171DEF" w:rsidRDefault="00171DEF" w:rsidP="00171DEF">
            <w:pPr>
              <w:pStyle w:val="ListParagraph"/>
              <w:numPr>
                <w:ilvl w:val="0"/>
                <w:numId w:val="3"/>
              </w:numPr>
            </w:pPr>
            <w:r w:rsidRPr="00171DEF">
              <w:t xml:space="preserve">Be on stable pain medications, as determined by the Investigator, for at least 28 days prior to assessing pain intensity as described in inclusion criterion </w:t>
            </w:r>
            <w:proofErr w:type="gramStart"/>
            <w:r w:rsidRPr="00171DEF">
              <w:t>#2, and</w:t>
            </w:r>
            <w:proofErr w:type="gramEnd"/>
            <w:r w:rsidRPr="00171DEF">
              <w:t xml:space="preserve"> be willing to stay on those medications with no dose adjustments until activation of the permanently implanted SCS device.</w:t>
            </w:r>
          </w:p>
        </w:tc>
      </w:tr>
      <w:tr w:rsidR="00171DEF" w:rsidRPr="00171DEF" w14:paraId="11E10B3A" w14:textId="77777777" w:rsidTr="00171DEF">
        <w:tc>
          <w:tcPr>
            <w:tcW w:w="9350" w:type="dxa"/>
          </w:tcPr>
          <w:p w14:paraId="18D08091" w14:textId="77777777" w:rsidR="00171DEF" w:rsidRPr="00171DEF" w:rsidRDefault="00171DEF" w:rsidP="00171DEF">
            <w:pPr>
              <w:pStyle w:val="ListParagraph"/>
              <w:numPr>
                <w:ilvl w:val="0"/>
                <w:numId w:val="3"/>
              </w:numPr>
            </w:pPr>
            <w:r w:rsidRPr="00171DEF">
              <w:t>Be 22 years of age or older at the time of enrollment.</w:t>
            </w:r>
          </w:p>
        </w:tc>
      </w:tr>
      <w:tr w:rsidR="00171DEF" w:rsidRPr="00171DEF" w14:paraId="0413D214" w14:textId="77777777" w:rsidTr="00171DEF">
        <w:tc>
          <w:tcPr>
            <w:tcW w:w="9350" w:type="dxa"/>
          </w:tcPr>
          <w:p w14:paraId="01786DAA" w14:textId="77777777" w:rsidR="00171DEF" w:rsidRPr="00171DEF" w:rsidRDefault="00171DEF" w:rsidP="00171DEF">
            <w:pPr>
              <w:pStyle w:val="ListParagraph"/>
              <w:numPr>
                <w:ilvl w:val="0"/>
                <w:numId w:val="3"/>
              </w:numPr>
            </w:pPr>
            <w:r w:rsidRPr="00171DEF">
              <w:t>Be an appropriate candidate for the surgical procedures required in this study based on the clinical judgment of the implanting physician.</w:t>
            </w:r>
          </w:p>
        </w:tc>
      </w:tr>
      <w:tr w:rsidR="00171DEF" w:rsidRPr="00171DEF" w14:paraId="44EEE434" w14:textId="77777777" w:rsidTr="00171DEF">
        <w:tc>
          <w:tcPr>
            <w:tcW w:w="9350" w:type="dxa"/>
          </w:tcPr>
          <w:p w14:paraId="076EE90A" w14:textId="77777777" w:rsidR="00171DEF" w:rsidRPr="00171DEF" w:rsidRDefault="00171DEF" w:rsidP="00171DEF">
            <w:pPr>
              <w:pStyle w:val="ListParagraph"/>
              <w:numPr>
                <w:ilvl w:val="0"/>
                <w:numId w:val="3"/>
              </w:numPr>
            </w:pPr>
            <w:r w:rsidRPr="00171DEF">
              <w:t xml:space="preserve">Be capable of subjective evaluation, able to read and understand English-written questionnaires, and </w:t>
            </w:r>
            <w:proofErr w:type="gramStart"/>
            <w:r w:rsidRPr="00171DEF">
              <w:t>are able to</w:t>
            </w:r>
            <w:proofErr w:type="gramEnd"/>
            <w:r w:rsidRPr="00171DEF">
              <w:t xml:space="preserve"> read, understand and sign the written inform consent in English.</w:t>
            </w:r>
          </w:p>
        </w:tc>
      </w:tr>
      <w:tr w:rsidR="00171DEF" w:rsidRPr="00171DEF" w14:paraId="1E547B98" w14:textId="77777777" w:rsidTr="00171DEF">
        <w:tc>
          <w:tcPr>
            <w:tcW w:w="9350" w:type="dxa"/>
          </w:tcPr>
          <w:p w14:paraId="1BB588F9" w14:textId="77777777" w:rsidR="00171DEF" w:rsidRPr="00171DEF" w:rsidRDefault="00171DEF" w:rsidP="00171DEF">
            <w:pPr>
              <w:pStyle w:val="ListParagraph"/>
              <w:numPr>
                <w:ilvl w:val="0"/>
                <w:numId w:val="3"/>
              </w:numPr>
            </w:pPr>
            <w:r w:rsidRPr="00171DEF">
              <w:t>Be willing and capable of giving informed consent.</w:t>
            </w:r>
          </w:p>
        </w:tc>
      </w:tr>
      <w:tr w:rsidR="00171DEF" w:rsidRPr="00171DEF" w14:paraId="339A31AD" w14:textId="77777777" w:rsidTr="00171DEF">
        <w:tc>
          <w:tcPr>
            <w:tcW w:w="9350" w:type="dxa"/>
          </w:tcPr>
          <w:p w14:paraId="2A164678" w14:textId="77777777" w:rsidR="00171DEF" w:rsidRPr="00171DEF" w:rsidRDefault="00171DEF" w:rsidP="00171DEF">
            <w:pPr>
              <w:pStyle w:val="ListParagraph"/>
              <w:numPr>
                <w:ilvl w:val="0"/>
                <w:numId w:val="3"/>
              </w:numPr>
            </w:pPr>
            <w:r w:rsidRPr="00171DEF">
              <w:t>Be willing and able to comply with study-related requirements, procedures, and visits.</w:t>
            </w:r>
          </w:p>
        </w:tc>
      </w:tr>
      <w:tr w:rsidR="00171DEF" w:rsidRPr="00171DEF" w14:paraId="215D69F1" w14:textId="77777777" w:rsidTr="00171DEF">
        <w:tc>
          <w:tcPr>
            <w:tcW w:w="9350" w:type="dxa"/>
          </w:tcPr>
          <w:p w14:paraId="3D7089A6" w14:textId="77777777" w:rsidR="00171DEF" w:rsidRPr="00171DEF" w:rsidRDefault="00171DEF" w:rsidP="00171DEF">
            <w:pPr>
              <w:pStyle w:val="ListParagraph"/>
              <w:numPr>
                <w:ilvl w:val="0"/>
                <w:numId w:val="3"/>
              </w:numPr>
            </w:pPr>
            <w:r w:rsidRPr="00171DEF">
              <w:t>Have adequate cognitive ability to use a patient programmer and recharger as determined by the Investigator.</w:t>
            </w:r>
          </w:p>
        </w:tc>
      </w:tr>
    </w:tbl>
    <w:p w14:paraId="7FB651E1" w14:textId="77777777" w:rsidR="0003393C" w:rsidRDefault="0003393C">
      <w:r>
        <w:br w:type="page"/>
      </w:r>
    </w:p>
    <w:p w14:paraId="1070258B" w14:textId="77777777" w:rsidR="0003393C" w:rsidRDefault="0003393C">
      <w:r>
        <w:lastRenderedPageBreak/>
        <w:t>Supplementary Table S2. Study exclusion criteria</w:t>
      </w:r>
    </w:p>
    <w:tbl>
      <w:tblPr>
        <w:tblW w:w="924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49"/>
      </w:tblGrid>
      <w:tr w:rsidR="0003393C" w:rsidRPr="0003393C" w14:paraId="1C99FA38" w14:textId="77777777" w:rsidTr="00545A69">
        <w:trPr>
          <w:trHeight w:val="3755"/>
        </w:trPr>
        <w:tc>
          <w:tcPr>
            <w:tcW w:w="9249" w:type="dxa"/>
            <w:shd w:val="clear" w:color="auto" w:fill="auto"/>
            <w:tcMar>
              <w:top w:w="15" w:type="dxa"/>
              <w:left w:w="40" w:type="dxa"/>
              <w:bottom w:w="0" w:type="dxa"/>
              <w:right w:w="40" w:type="dxa"/>
            </w:tcMar>
            <w:hideMark/>
          </w:tcPr>
          <w:p w14:paraId="395D0244" w14:textId="77777777" w:rsidR="0003393C" w:rsidRPr="0003393C" w:rsidRDefault="0003393C" w:rsidP="0003393C">
            <w:pPr>
              <w:numPr>
                <w:ilvl w:val="0"/>
                <w:numId w:val="1"/>
              </w:numPr>
              <w:ind w:left="504" w:right="144"/>
            </w:pPr>
            <w:bookmarkStart w:id="0" w:name="_GoBack"/>
            <w:r w:rsidRPr="0003393C">
              <w:rPr>
                <w:bCs/>
              </w:rPr>
              <w:t>Have a medical condition or pain in other area(s), not intended to be treated with SCS, that could interfere with study procedures, accurate pain reporting, and/or confound evaluation of study endpoints, as determined by the Investigator (such as primary headache diagnosis or fibromyalgia).</w:t>
            </w:r>
          </w:p>
          <w:p w14:paraId="402CAA18" w14:textId="77777777" w:rsidR="0003393C" w:rsidRPr="0003393C" w:rsidRDefault="0003393C" w:rsidP="0003393C">
            <w:pPr>
              <w:numPr>
                <w:ilvl w:val="0"/>
                <w:numId w:val="1"/>
              </w:numPr>
              <w:ind w:left="504" w:right="144"/>
            </w:pPr>
            <w:r w:rsidRPr="0003393C">
              <w:rPr>
                <w:bCs/>
              </w:rPr>
              <w:t xml:space="preserve">Have a current diagnosis of a progressive neurological disease such a multiple sclerosis, chronic inflammatory demyelinating polyneuropathy, rapidly progressive arachnoiditis, brain or spinal cord tumor, central deafferentation syndrome, Complex regional Pain Syndrome, acute herniating disc, severe spinal stenosis and brachial plexus injury as determined by the Investigator. </w:t>
            </w:r>
          </w:p>
          <w:p w14:paraId="0C8627D3" w14:textId="77777777" w:rsidR="0003393C" w:rsidRPr="0003393C" w:rsidRDefault="0003393C" w:rsidP="0003393C">
            <w:pPr>
              <w:numPr>
                <w:ilvl w:val="0"/>
                <w:numId w:val="1"/>
              </w:numPr>
              <w:ind w:left="504" w:right="144"/>
            </w:pPr>
            <w:r w:rsidRPr="0003393C">
              <w:rPr>
                <w:bCs/>
              </w:rPr>
              <w:t>Have a current diagnosis or condition such as a coagulation disorder, bleeding diathesis, platelet dysfunction, progressive peripheral vascular disease or uncontrolled diabetes mellitus that presents excess risk for performing the procedure as determined clinically by the investigator.</w:t>
            </w:r>
          </w:p>
          <w:p w14:paraId="11B2799C" w14:textId="77777777" w:rsidR="0003393C" w:rsidRPr="0003393C" w:rsidRDefault="0003393C" w:rsidP="0003393C">
            <w:pPr>
              <w:numPr>
                <w:ilvl w:val="0"/>
                <w:numId w:val="1"/>
              </w:numPr>
              <w:ind w:left="504" w:right="144"/>
            </w:pPr>
            <w:r w:rsidRPr="0003393C">
              <w:rPr>
                <w:bCs/>
              </w:rPr>
              <w:t>Have abdominal pain of spinal origin.</w:t>
            </w:r>
          </w:p>
          <w:p w14:paraId="06F012BE" w14:textId="77777777" w:rsidR="0003393C" w:rsidRPr="0003393C" w:rsidRDefault="0003393C" w:rsidP="0003393C">
            <w:pPr>
              <w:numPr>
                <w:ilvl w:val="0"/>
                <w:numId w:val="1"/>
              </w:numPr>
              <w:ind w:left="504" w:right="144"/>
            </w:pPr>
            <w:r w:rsidRPr="0003393C">
              <w:rPr>
                <w:bCs/>
              </w:rPr>
              <w:t>Diagnosed with Crohn’s or ulcerous colitis, or any other inflammatory disease with co-existing abdominal pain (ongoing).</w:t>
            </w:r>
          </w:p>
          <w:p w14:paraId="430BB7EC" w14:textId="77777777" w:rsidR="0003393C" w:rsidRPr="0003393C" w:rsidRDefault="0003393C" w:rsidP="0003393C">
            <w:pPr>
              <w:numPr>
                <w:ilvl w:val="0"/>
                <w:numId w:val="1"/>
              </w:numPr>
              <w:ind w:left="504" w:right="144"/>
            </w:pPr>
            <w:r w:rsidRPr="0003393C">
              <w:rPr>
                <w:bCs/>
              </w:rPr>
              <w:t>Significant stenosis, objective evidence of epidural scarring and/or any signs or symptoms of myelopathy as determined by MRI conducted within the past 12 months.</w:t>
            </w:r>
          </w:p>
          <w:p w14:paraId="339BBBB7" w14:textId="77777777" w:rsidR="0003393C" w:rsidRPr="0003393C" w:rsidRDefault="0003393C" w:rsidP="0003393C">
            <w:pPr>
              <w:numPr>
                <w:ilvl w:val="0"/>
                <w:numId w:val="1"/>
              </w:numPr>
              <w:ind w:left="504" w:right="144"/>
            </w:pPr>
            <w:r w:rsidRPr="0003393C">
              <w:rPr>
                <w:bCs/>
              </w:rPr>
              <w:t>Subjects with chronic alcohol abuse or currently in rehabilitation.</w:t>
            </w:r>
          </w:p>
          <w:p w14:paraId="787D334B" w14:textId="77777777" w:rsidR="0003393C" w:rsidRPr="0003393C" w:rsidRDefault="0003393C" w:rsidP="0003393C">
            <w:pPr>
              <w:numPr>
                <w:ilvl w:val="0"/>
                <w:numId w:val="1"/>
              </w:numPr>
              <w:ind w:left="504" w:right="144"/>
            </w:pPr>
            <w:r w:rsidRPr="0003393C">
              <w:rPr>
                <w:bCs/>
              </w:rPr>
              <w:t xml:space="preserve">Have a clinical diagnosis of severe depression (Beck Depression Inventory [BDI]-II score of 20 or more) including suicidal ideation. </w:t>
            </w:r>
          </w:p>
          <w:p w14:paraId="7625BFF3" w14:textId="77777777" w:rsidR="0003393C" w:rsidRPr="0003393C" w:rsidRDefault="0003393C" w:rsidP="0003393C">
            <w:pPr>
              <w:numPr>
                <w:ilvl w:val="0"/>
                <w:numId w:val="1"/>
              </w:numPr>
              <w:ind w:left="504" w:right="144"/>
            </w:pPr>
            <w:r w:rsidRPr="0003393C">
              <w:rPr>
                <w:bCs/>
              </w:rPr>
              <w:t>Be benefitting within from an interventional procedure and/or surgery to treat chronic abdominal pain (Subjects should be enrolled at least 30 days from last benefit).</w:t>
            </w:r>
          </w:p>
          <w:p w14:paraId="2141C949" w14:textId="77777777" w:rsidR="0003393C" w:rsidRPr="0003393C" w:rsidRDefault="0003393C" w:rsidP="0003393C">
            <w:pPr>
              <w:numPr>
                <w:ilvl w:val="0"/>
                <w:numId w:val="1"/>
              </w:numPr>
              <w:ind w:left="504" w:right="144"/>
            </w:pPr>
            <w:r w:rsidRPr="0003393C">
              <w:rPr>
                <w:bCs/>
              </w:rPr>
              <w:t>Have an existing drug pump and/or another active implantable device such as a pacemaker.</w:t>
            </w:r>
          </w:p>
          <w:p w14:paraId="73D3C0AB" w14:textId="77777777" w:rsidR="0003393C" w:rsidRPr="0003393C" w:rsidRDefault="0003393C" w:rsidP="0003393C">
            <w:pPr>
              <w:numPr>
                <w:ilvl w:val="0"/>
                <w:numId w:val="1"/>
              </w:numPr>
              <w:ind w:left="504" w:right="144"/>
            </w:pPr>
            <w:r w:rsidRPr="0003393C">
              <w:rPr>
                <w:bCs/>
              </w:rPr>
              <w:t>Have a condition currently requiring or likely to require the use of MRI or diathermy.</w:t>
            </w:r>
          </w:p>
          <w:p w14:paraId="1D936772" w14:textId="77777777" w:rsidR="0003393C" w:rsidRPr="0003393C" w:rsidRDefault="0003393C" w:rsidP="0003393C">
            <w:pPr>
              <w:numPr>
                <w:ilvl w:val="0"/>
                <w:numId w:val="1"/>
              </w:numPr>
              <w:ind w:left="504" w:right="144"/>
            </w:pPr>
            <w:r w:rsidRPr="0003393C">
              <w:rPr>
                <w:bCs/>
              </w:rPr>
              <w:t xml:space="preserve">Have metastatic malignant disease or active local malignant disease. </w:t>
            </w:r>
          </w:p>
          <w:p w14:paraId="3AF435B0" w14:textId="77777777" w:rsidR="0003393C" w:rsidRPr="0003393C" w:rsidRDefault="0003393C" w:rsidP="0003393C">
            <w:pPr>
              <w:numPr>
                <w:ilvl w:val="0"/>
                <w:numId w:val="1"/>
              </w:numPr>
              <w:ind w:left="504" w:right="144"/>
            </w:pPr>
            <w:r w:rsidRPr="0003393C">
              <w:rPr>
                <w:bCs/>
              </w:rPr>
              <w:t>Have a life expectancy of less than 1 year.</w:t>
            </w:r>
          </w:p>
          <w:p w14:paraId="45BC8065" w14:textId="77777777" w:rsidR="0003393C" w:rsidRPr="0003393C" w:rsidRDefault="0003393C" w:rsidP="0003393C">
            <w:pPr>
              <w:numPr>
                <w:ilvl w:val="0"/>
                <w:numId w:val="1"/>
              </w:numPr>
              <w:ind w:left="504" w:right="144"/>
            </w:pPr>
            <w:r w:rsidRPr="0003393C">
              <w:rPr>
                <w:bCs/>
              </w:rPr>
              <w:t>Have an active systemic or local infection at the anticipated needle entry site.</w:t>
            </w:r>
          </w:p>
          <w:p w14:paraId="6B968C43" w14:textId="77777777" w:rsidR="0003393C" w:rsidRPr="0003393C" w:rsidRDefault="0003393C" w:rsidP="0003393C">
            <w:pPr>
              <w:numPr>
                <w:ilvl w:val="0"/>
                <w:numId w:val="1"/>
              </w:numPr>
              <w:ind w:left="504" w:right="144"/>
            </w:pPr>
            <w:r w:rsidRPr="0003393C">
              <w:rPr>
                <w:bCs/>
              </w:rPr>
              <w:t>Be pregnant (if female and sexually active, subject must be using a reliable form of birth control, be surgically sterile or be at least 2 years post-menopausal).</w:t>
            </w:r>
          </w:p>
          <w:p w14:paraId="098FE3EC" w14:textId="77777777" w:rsidR="0003393C" w:rsidRPr="0003393C" w:rsidRDefault="0003393C" w:rsidP="0003393C">
            <w:pPr>
              <w:numPr>
                <w:ilvl w:val="0"/>
                <w:numId w:val="1"/>
              </w:numPr>
              <w:ind w:left="504" w:right="144"/>
            </w:pPr>
            <w:r w:rsidRPr="0003393C">
              <w:rPr>
                <w:bCs/>
              </w:rPr>
              <w:t>Have been immunocompromised.</w:t>
            </w:r>
          </w:p>
          <w:p w14:paraId="702798B1" w14:textId="77777777" w:rsidR="0003393C" w:rsidRPr="0003393C" w:rsidRDefault="0003393C" w:rsidP="0003393C">
            <w:pPr>
              <w:numPr>
                <w:ilvl w:val="0"/>
                <w:numId w:val="1"/>
              </w:numPr>
              <w:ind w:left="504" w:right="144"/>
            </w:pPr>
            <w:r w:rsidRPr="0003393C">
              <w:rPr>
                <w:bCs/>
              </w:rPr>
              <w:t xml:space="preserve">Are currently nursing (if female). </w:t>
            </w:r>
          </w:p>
          <w:p w14:paraId="3A19B4D7" w14:textId="77777777" w:rsidR="0003393C" w:rsidRPr="0003393C" w:rsidRDefault="0003393C" w:rsidP="0003393C">
            <w:pPr>
              <w:numPr>
                <w:ilvl w:val="0"/>
                <w:numId w:val="1"/>
              </w:numPr>
              <w:ind w:left="504" w:right="144"/>
            </w:pPr>
            <w:r w:rsidRPr="0003393C">
              <w:rPr>
                <w:bCs/>
              </w:rPr>
              <w:lastRenderedPageBreak/>
              <w:t xml:space="preserve">Have been known to be allergic or have shown hypersensitivity to any materials of the neurostimulation system which </w:t>
            </w:r>
            <w:proofErr w:type="gramStart"/>
            <w:r w:rsidRPr="0003393C">
              <w:rPr>
                <w:bCs/>
              </w:rPr>
              <w:t>come in contact with</w:t>
            </w:r>
            <w:proofErr w:type="gramEnd"/>
            <w:r w:rsidRPr="0003393C">
              <w:rPr>
                <w:bCs/>
              </w:rPr>
              <w:t xml:space="preserve"> the body.</w:t>
            </w:r>
          </w:p>
          <w:p w14:paraId="073B5D5F" w14:textId="77777777" w:rsidR="0003393C" w:rsidRPr="0003393C" w:rsidRDefault="0003393C" w:rsidP="0003393C">
            <w:pPr>
              <w:numPr>
                <w:ilvl w:val="0"/>
                <w:numId w:val="1"/>
              </w:numPr>
              <w:ind w:left="504" w:right="144"/>
            </w:pPr>
            <w:r w:rsidRPr="0003393C">
              <w:rPr>
                <w:bCs/>
              </w:rPr>
              <w:t>Have within 6 months of enrollment a significant untreated addiction to dependency producing medications or have been a substance abuser (including opioids, benzodiazepines, alcohol and illicit drugs).</w:t>
            </w:r>
          </w:p>
          <w:p w14:paraId="0B79C102" w14:textId="77777777" w:rsidR="0003393C" w:rsidRPr="0003393C" w:rsidRDefault="0003393C" w:rsidP="0003393C">
            <w:pPr>
              <w:numPr>
                <w:ilvl w:val="0"/>
                <w:numId w:val="1"/>
              </w:numPr>
              <w:ind w:left="504" w:right="144"/>
            </w:pPr>
            <w:r w:rsidRPr="0003393C">
              <w:rPr>
                <w:bCs/>
              </w:rPr>
              <w:t>Be concomitantly participating in another clinical study.</w:t>
            </w:r>
          </w:p>
          <w:p w14:paraId="58EE25BE" w14:textId="77777777" w:rsidR="0003393C" w:rsidRPr="0003393C" w:rsidRDefault="0003393C" w:rsidP="0003393C">
            <w:pPr>
              <w:numPr>
                <w:ilvl w:val="0"/>
                <w:numId w:val="1"/>
              </w:numPr>
              <w:ind w:left="504" w:right="144"/>
            </w:pPr>
            <w:r w:rsidRPr="0003393C">
              <w:rPr>
                <w:bCs/>
              </w:rPr>
              <w:t>Be involved in an injury claim under current litigation.</w:t>
            </w:r>
          </w:p>
          <w:p w14:paraId="432AD6D2" w14:textId="77777777" w:rsidR="0003393C" w:rsidRPr="0003393C" w:rsidRDefault="0003393C" w:rsidP="0003393C">
            <w:pPr>
              <w:numPr>
                <w:ilvl w:val="0"/>
                <w:numId w:val="1"/>
              </w:numPr>
              <w:ind w:left="504" w:right="144"/>
            </w:pPr>
            <w:r w:rsidRPr="0003393C">
              <w:rPr>
                <w:bCs/>
              </w:rPr>
              <w:t>Have a pending or approved worker’s compensation claim.</w:t>
            </w:r>
          </w:p>
          <w:p w14:paraId="137C24BC" w14:textId="77777777" w:rsidR="0003393C" w:rsidRPr="0003393C" w:rsidRDefault="0003393C" w:rsidP="0003393C">
            <w:pPr>
              <w:numPr>
                <w:ilvl w:val="0"/>
                <w:numId w:val="1"/>
              </w:numPr>
              <w:ind w:left="504" w:right="144"/>
            </w:pPr>
            <w:r w:rsidRPr="0003393C">
              <w:rPr>
                <w:bCs/>
              </w:rPr>
              <w:t xml:space="preserve">Presence of abdominal tumor including benign. </w:t>
            </w:r>
            <w:bookmarkEnd w:id="0"/>
          </w:p>
        </w:tc>
      </w:tr>
    </w:tbl>
    <w:p w14:paraId="5A20F97A" w14:textId="2B4E9A9A" w:rsidR="0003393C" w:rsidRDefault="0003393C"/>
    <w:p w14:paraId="018DD406" w14:textId="46DD7927" w:rsidR="00876683" w:rsidRDefault="00876683">
      <w:r>
        <w:t>Supplementary Table S3. Study safety outcomes</w:t>
      </w:r>
    </w:p>
    <w:tbl>
      <w:tblPr>
        <w:tblW w:w="8098" w:type="dxa"/>
        <w:tblBorders>
          <w:top w:val="single" w:sz="4" w:space="0" w:color="auto"/>
          <w:left w:val="single" w:sz="4" w:space="0" w:color="auto"/>
          <w:bottom w:val="single" w:sz="4" w:space="0" w:color="auto"/>
          <w:right w:val="single" w:sz="4" w:space="0" w:color="auto"/>
        </w:tblBorders>
        <w:tblCellMar>
          <w:left w:w="0" w:type="dxa"/>
          <w:right w:w="0" w:type="dxa"/>
        </w:tblCellMar>
        <w:tblLook w:val="0420" w:firstRow="1" w:lastRow="0" w:firstColumn="0" w:lastColumn="0" w:noHBand="0" w:noVBand="1"/>
      </w:tblPr>
      <w:tblGrid>
        <w:gridCol w:w="1970"/>
        <w:gridCol w:w="853"/>
        <w:gridCol w:w="1504"/>
        <w:gridCol w:w="3771"/>
      </w:tblGrid>
      <w:tr w:rsidR="00876683" w:rsidRPr="00876683" w14:paraId="2052F335" w14:textId="77777777" w:rsidTr="00876683">
        <w:trPr>
          <w:trHeight w:val="629"/>
        </w:trPr>
        <w:tc>
          <w:tcPr>
            <w:tcW w:w="1997" w:type="dxa"/>
            <w:shd w:val="clear" w:color="auto" w:fill="BFBFBF" w:themeFill="background1" w:themeFillShade="BF"/>
            <w:tcMar>
              <w:top w:w="72" w:type="dxa"/>
              <w:left w:w="144" w:type="dxa"/>
              <w:bottom w:w="72" w:type="dxa"/>
              <w:right w:w="144" w:type="dxa"/>
            </w:tcMar>
            <w:vAlign w:val="center"/>
            <w:hideMark/>
          </w:tcPr>
          <w:p w14:paraId="16D50A31" w14:textId="77777777" w:rsidR="00876683" w:rsidRPr="00876683" w:rsidRDefault="00876683" w:rsidP="00876683"/>
        </w:tc>
        <w:tc>
          <w:tcPr>
            <w:tcW w:w="759" w:type="dxa"/>
            <w:shd w:val="clear" w:color="auto" w:fill="BFBFBF" w:themeFill="background1" w:themeFillShade="BF"/>
            <w:tcMar>
              <w:top w:w="72" w:type="dxa"/>
              <w:left w:w="72" w:type="dxa"/>
              <w:bottom w:w="72" w:type="dxa"/>
              <w:right w:w="72" w:type="dxa"/>
            </w:tcMar>
            <w:vAlign w:val="center"/>
            <w:hideMark/>
          </w:tcPr>
          <w:p w14:paraId="05F4BDFD" w14:textId="3F973FF1" w:rsidR="00876683" w:rsidRPr="00876683" w:rsidRDefault="00876683" w:rsidP="00876683">
            <w:r w:rsidRPr="00876683">
              <w:rPr>
                <w:bCs/>
              </w:rPr>
              <w:t>Total number of AEs</w:t>
            </w:r>
          </w:p>
        </w:tc>
        <w:tc>
          <w:tcPr>
            <w:tcW w:w="1519" w:type="dxa"/>
            <w:shd w:val="clear" w:color="auto" w:fill="BFBFBF" w:themeFill="background1" w:themeFillShade="BF"/>
            <w:tcMar>
              <w:top w:w="72" w:type="dxa"/>
              <w:left w:w="72" w:type="dxa"/>
              <w:bottom w:w="72" w:type="dxa"/>
              <w:right w:w="72" w:type="dxa"/>
            </w:tcMar>
            <w:vAlign w:val="center"/>
            <w:hideMark/>
          </w:tcPr>
          <w:p w14:paraId="192951A1" w14:textId="77777777" w:rsidR="00876683" w:rsidRPr="00876683" w:rsidRDefault="00876683" w:rsidP="00876683">
            <w:r w:rsidRPr="00876683">
              <w:t>Number (% of) Subjects</w:t>
            </w:r>
          </w:p>
        </w:tc>
        <w:tc>
          <w:tcPr>
            <w:tcW w:w="3823" w:type="dxa"/>
            <w:shd w:val="clear" w:color="auto" w:fill="BFBFBF" w:themeFill="background1" w:themeFillShade="BF"/>
            <w:tcMar>
              <w:top w:w="72" w:type="dxa"/>
              <w:left w:w="144" w:type="dxa"/>
              <w:bottom w:w="72" w:type="dxa"/>
              <w:right w:w="144" w:type="dxa"/>
            </w:tcMar>
            <w:vAlign w:val="center"/>
            <w:hideMark/>
          </w:tcPr>
          <w:p w14:paraId="612D423C" w14:textId="77777777" w:rsidR="00876683" w:rsidRPr="00876683" w:rsidRDefault="00876683" w:rsidP="00876683">
            <w:r w:rsidRPr="00876683">
              <w:t>Description</w:t>
            </w:r>
          </w:p>
        </w:tc>
      </w:tr>
      <w:tr w:rsidR="00876683" w:rsidRPr="00876683" w14:paraId="2EBAD2FE" w14:textId="77777777" w:rsidTr="00876683">
        <w:trPr>
          <w:trHeight w:val="1547"/>
        </w:trPr>
        <w:tc>
          <w:tcPr>
            <w:tcW w:w="1997" w:type="dxa"/>
            <w:shd w:val="clear" w:color="auto" w:fill="auto"/>
            <w:tcMar>
              <w:top w:w="72" w:type="dxa"/>
              <w:left w:w="72" w:type="dxa"/>
              <w:bottom w:w="72" w:type="dxa"/>
              <w:right w:w="72" w:type="dxa"/>
            </w:tcMar>
            <w:vAlign w:val="center"/>
            <w:hideMark/>
          </w:tcPr>
          <w:p w14:paraId="2948F1F3" w14:textId="5E7EF083" w:rsidR="00876683" w:rsidRPr="00876683" w:rsidRDefault="00876683" w:rsidP="00876683">
            <w:r w:rsidRPr="00876683">
              <w:t>Study Related Serious AEs</w:t>
            </w:r>
          </w:p>
        </w:tc>
        <w:tc>
          <w:tcPr>
            <w:tcW w:w="759" w:type="dxa"/>
            <w:shd w:val="clear" w:color="auto" w:fill="auto"/>
            <w:tcMar>
              <w:top w:w="72" w:type="dxa"/>
              <w:left w:w="72" w:type="dxa"/>
              <w:bottom w:w="72" w:type="dxa"/>
              <w:right w:w="72" w:type="dxa"/>
            </w:tcMar>
            <w:vAlign w:val="center"/>
            <w:hideMark/>
          </w:tcPr>
          <w:p w14:paraId="6E76CBDE" w14:textId="77777777" w:rsidR="00876683" w:rsidRPr="00876683" w:rsidRDefault="00876683" w:rsidP="00876683">
            <w:r w:rsidRPr="00876683">
              <w:t>3</w:t>
            </w:r>
          </w:p>
        </w:tc>
        <w:tc>
          <w:tcPr>
            <w:tcW w:w="1519" w:type="dxa"/>
            <w:shd w:val="clear" w:color="auto" w:fill="auto"/>
            <w:tcMar>
              <w:top w:w="72" w:type="dxa"/>
              <w:left w:w="72" w:type="dxa"/>
              <w:bottom w:w="72" w:type="dxa"/>
              <w:right w:w="72" w:type="dxa"/>
            </w:tcMar>
            <w:vAlign w:val="center"/>
            <w:hideMark/>
          </w:tcPr>
          <w:p w14:paraId="5E78069F" w14:textId="77777777" w:rsidR="00876683" w:rsidRPr="00876683" w:rsidRDefault="00876683" w:rsidP="00876683">
            <w:r w:rsidRPr="00876683">
              <w:t>2 (8.3)</w:t>
            </w:r>
          </w:p>
        </w:tc>
        <w:tc>
          <w:tcPr>
            <w:tcW w:w="3823" w:type="dxa"/>
            <w:shd w:val="clear" w:color="auto" w:fill="auto"/>
            <w:tcMar>
              <w:top w:w="72" w:type="dxa"/>
              <w:left w:w="72" w:type="dxa"/>
              <w:bottom w:w="72" w:type="dxa"/>
              <w:right w:w="72" w:type="dxa"/>
            </w:tcMar>
            <w:vAlign w:val="center"/>
            <w:hideMark/>
          </w:tcPr>
          <w:p w14:paraId="409EF14A" w14:textId="6382EC5B" w:rsidR="00876683" w:rsidRPr="00876683" w:rsidRDefault="00876683" w:rsidP="00876683">
            <w:pPr>
              <w:pStyle w:val="ListParagraph"/>
              <w:numPr>
                <w:ilvl w:val="0"/>
                <w:numId w:val="2"/>
              </w:numPr>
              <w:ind w:left="504"/>
            </w:pPr>
            <w:r w:rsidRPr="00876683">
              <w:t>IPG revision (</w:t>
            </w:r>
            <w:r w:rsidR="00460C23">
              <w:t>n=</w:t>
            </w:r>
            <w:r w:rsidRPr="00876683">
              <w:t xml:space="preserve">1) </w:t>
            </w:r>
          </w:p>
          <w:p w14:paraId="635E3D72" w14:textId="2E6FF271" w:rsidR="00876683" w:rsidRPr="00876683" w:rsidRDefault="00876683" w:rsidP="00876683">
            <w:pPr>
              <w:pStyle w:val="ListParagraph"/>
              <w:numPr>
                <w:ilvl w:val="0"/>
                <w:numId w:val="2"/>
              </w:numPr>
              <w:ind w:left="504"/>
            </w:pPr>
            <w:r w:rsidRPr="00876683">
              <w:t>Aspiration during device implant (</w:t>
            </w:r>
            <w:r w:rsidR="00460C23">
              <w:t>n=</w:t>
            </w:r>
            <w:r w:rsidRPr="00876683">
              <w:t>1)</w:t>
            </w:r>
          </w:p>
          <w:p w14:paraId="3DA2EF15" w14:textId="4F1A77AE" w:rsidR="00876683" w:rsidRPr="00876683" w:rsidRDefault="00876683" w:rsidP="00876683">
            <w:pPr>
              <w:pStyle w:val="ListParagraph"/>
              <w:numPr>
                <w:ilvl w:val="0"/>
                <w:numId w:val="2"/>
              </w:numPr>
              <w:ind w:left="504"/>
            </w:pPr>
            <w:r w:rsidRPr="00876683">
              <w:t>Explant due to infection (</w:t>
            </w:r>
            <w:r w:rsidR="00460C23">
              <w:t>n=</w:t>
            </w:r>
            <w:r w:rsidRPr="00876683">
              <w:t>1)</w:t>
            </w:r>
          </w:p>
        </w:tc>
      </w:tr>
    </w:tbl>
    <w:p w14:paraId="397DB0E6" w14:textId="3ADA7C3D" w:rsidR="00BC42B1" w:rsidRDefault="00BC42B1"/>
    <w:p w14:paraId="6ADD09C6" w14:textId="77777777" w:rsidR="00BC42B1" w:rsidRDefault="00BC42B1">
      <w:r>
        <w:br w:type="page"/>
      </w:r>
    </w:p>
    <w:p w14:paraId="34947CF4" w14:textId="77777777" w:rsidR="002B788F" w:rsidRPr="0010544E" w:rsidRDefault="00BC42B1" w:rsidP="002B788F">
      <w:pPr>
        <w:pStyle w:val="MSNormal"/>
        <w:jc w:val="both"/>
      </w:pPr>
      <w:r w:rsidRPr="00D47074">
        <w:rPr>
          <w:b/>
        </w:rPr>
        <w:lastRenderedPageBreak/>
        <w:t>Supp</w:t>
      </w:r>
      <w:r w:rsidR="002B788F" w:rsidRPr="00D47074">
        <w:rPr>
          <w:b/>
        </w:rPr>
        <w:t>lementary Figure S1.</w:t>
      </w:r>
      <w:r w:rsidR="002B788F">
        <w:t xml:space="preserve"> Non-pain gastrointestinal symptoms were also improved after treatment with 10 kHz SCS. Each bar represents all patients who reported each symptom at baseline and the proportion that reported improvement, no change, or worsening of the symptom</w:t>
      </w:r>
      <w:r w:rsidR="002B788F" w:rsidRPr="00980899">
        <w:t xml:space="preserve"> </w:t>
      </w:r>
      <w:r w:rsidR="002B788F">
        <w:t xml:space="preserve">after 12 months of 10 kHz SCS therapy. The total number of patients (N) who reported each symptom at baseline is noted under each bar. </w:t>
      </w:r>
    </w:p>
    <w:p w14:paraId="52023C92" w14:textId="0E584713" w:rsidR="00876683" w:rsidRDefault="00D47074">
      <w:r w:rsidRPr="00D47074">
        <w:rPr>
          <w:noProof/>
        </w:rPr>
        <w:drawing>
          <wp:inline distT="0" distB="0" distL="0" distR="0" wp14:anchorId="6EAE6C2C" wp14:editId="75D85B1E">
            <wp:extent cx="5943600" cy="356616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BAB5F2B" w14:textId="286EE876" w:rsidR="007B7636" w:rsidRDefault="007B7636"/>
    <w:p w14:paraId="41D8C9D0" w14:textId="34C30D53" w:rsidR="007B7636" w:rsidRDefault="007B7636"/>
    <w:p w14:paraId="39E2FE0C" w14:textId="5438E47B" w:rsidR="007B7636" w:rsidRDefault="007B7636"/>
    <w:p w14:paraId="25A21F86" w14:textId="57A00D2D" w:rsidR="007B7636" w:rsidRDefault="007B7636"/>
    <w:p w14:paraId="32266BB6" w14:textId="06FF0255" w:rsidR="007B7636" w:rsidRDefault="007B7636">
      <w:r>
        <w:br w:type="page"/>
      </w:r>
    </w:p>
    <w:p w14:paraId="4F9521ED" w14:textId="724B5DF2" w:rsidR="007B7636" w:rsidRPr="0010544E" w:rsidRDefault="007B7636" w:rsidP="007B7636">
      <w:pPr>
        <w:pStyle w:val="MSNormal"/>
        <w:jc w:val="both"/>
      </w:pPr>
      <w:r w:rsidRPr="00D47074">
        <w:rPr>
          <w:b/>
        </w:rPr>
        <w:lastRenderedPageBreak/>
        <w:t>Supplementary Figure S</w:t>
      </w:r>
      <w:r>
        <w:rPr>
          <w:b/>
        </w:rPr>
        <w:t>2</w:t>
      </w:r>
      <w:r w:rsidRPr="00D47074">
        <w:rPr>
          <w:b/>
        </w:rPr>
        <w:t>.</w:t>
      </w:r>
      <w:r>
        <w:t xml:space="preserve"> Subject reported pain (VAS) is shown from baseline to twelve months.  The light grey lines show each subject’s individual response (n=22).  The black line shows the trend in average VAS (cm) with the error bars presenting </w:t>
      </w:r>
      <w:r>
        <w:rPr>
          <w:rFonts w:cs="Times New Roman"/>
        </w:rPr>
        <w:t>±</w:t>
      </w:r>
      <w:r>
        <w:t>95%CI.</w:t>
      </w:r>
    </w:p>
    <w:p w14:paraId="000928DC" w14:textId="0B915B84" w:rsidR="007B7636" w:rsidRDefault="007B7636" w:rsidP="007B7636">
      <w:r>
        <w:rPr>
          <w:noProof/>
        </w:rPr>
        <w:drawing>
          <wp:inline distT="0" distB="0" distL="0" distR="0" wp14:anchorId="62707F43" wp14:editId="03C5318A">
            <wp:extent cx="4078224" cy="2962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8224" cy="2962656"/>
                    </a:xfrm>
                    <a:prstGeom prst="rect">
                      <a:avLst/>
                    </a:prstGeom>
                  </pic:spPr>
                </pic:pic>
              </a:graphicData>
            </a:graphic>
          </wp:inline>
        </w:drawing>
      </w:r>
    </w:p>
    <w:sectPr w:rsidR="007B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027"/>
    <w:multiLevelType w:val="hybridMultilevel"/>
    <w:tmpl w:val="FF8E8BCA"/>
    <w:lvl w:ilvl="0" w:tplc="3F865EE6">
      <w:start w:val="1"/>
      <w:numFmt w:val="decimal"/>
      <w:lvlText w:val="%1."/>
      <w:lvlJc w:val="left"/>
      <w:pPr>
        <w:tabs>
          <w:tab w:val="num" w:pos="720"/>
        </w:tabs>
        <w:ind w:left="720" w:hanging="360"/>
      </w:pPr>
    </w:lvl>
    <w:lvl w:ilvl="1" w:tplc="048CCF92" w:tentative="1">
      <w:start w:val="1"/>
      <w:numFmt w:val="decimal"/>
      <w:lvlText w:val="%2."/>
      <w:lvlJc w:val="left"/>
      <w:pPr>
        <w:tabs>
          <w:tab w:val="num" w:pos="1440"/>
        </w:tabs>
        <w:ind w:left="1440" w:hanging="360"/>
      </w:pPr>
    </w:lvl>
    <w:lvl w:ilvl="2" w:tplc="8D509DE6" w:tentative="1">
      <w:start w:val="1"/>
      <w:numFmt w:val="decimal"/>
      <w:lvlText w:val="%3."/>
      <w:lvlJc w:val="left"/>
      <w:pPr>
        <w:tabs>
          <w:tab w:val="num" w:pos="2160"/>
        </w:tabs>
        <w:ind w:left="2160" w:hanging="360"/>
      </w:pPr>
    </w:lvl>
    <w:lvl w:ilvl="3" w:tplc="EE5CCF8C" w:tentative="1">
      <w:start w:val="1"/>
      <w:numFmt w:val="decimal"/>
      <w:lvlText w:val="%4."/>
      <w:lvlJc w:val="left"/>
      <w:pPr>
        <w:tabs>
          <w:tab w:val="num" w:pos="2880"/>
        </w:tabs>
        <w:ind w:left="2880" w:hanging="360"/>
      </w:pPr>
    </w:lvl>
    <w:lvl w:ilvl="4" w:tplc="CCC2A6AC" w:tentative="1">
      <w:start w:val="1"/>
      <w:numFmt w:val="decimal"/>
      <w:lvlText w:val="%5."/>
      <w:lvlJc w:val="left"/>
      <w:pPr>
        <w:tabs>
          <w:tab w:val="num" w:pos="3600"/>
        </w:tabs>
        <w:ind w:left="3600" w:hanging="360"/>
      </w:pPr>
    </w:lvl>
    <w:lvl w:ilvl="5" w:tplc="B40CE87E" w:tentative="1">
      <w:start w:val="1"/>
      <w:numFmt w:val="decimal"/>
      <w:lvlText w:val="%6."/>
      <w:lvlJc w:val="left"/>
      <w:pPr>
        <w:tabs>
          <w:tab w:val="num" w:pos="4320"/>
        </w:tabs>
        <w:ind w:left="4320" w:hanging="360"/>
      </w:pPr>
    </w:lvl>
    <w:lvl w:ilvl="6" w:tplc="AAD09D54" w:tentative="1">
      <w:start w:val="1"/>
      <w:numFmt w:val="decimal"/>
      <w:lvlText w:val="%7."/>
      <w:lvlJc w:val="left"/>
      <w:pPr>
        <w:tabs>
          <w:tab w:val="num" w:pos="5040"/>
        </w:tabs>
        <w:ind w:left="5040" w:hanging="360"/>
      </w:pPr>
    </w:lvl>
    <w:lvl w:ilvl="7" w:tplc="3F6A4CC2" w:tentative="1">
      <w:start w:val="1"/>
      <w:numFmt w:val="decimal"/>
      <w:lvlText w:val="%8."/>
      <w:lvlJc w:val="left"/>
      <w:pPr>
        <w:tabs>
          <w:tab w:val="num" w:pos="5760"/>
        </w:tabs>
        <w:ind w:left="5760" w:hanging="360"/>
      </w:pPr>
    </w:lvl>
    <w:lvl w:ilvl="8" w:tplc="1CDEEE56" w:tentative="1">
      <w:start w:val="1"/>
      <w:numFmt w:val="decimal"/>
      <w:lvlText w:val="%9."/>
      <w:lvlJc w:val="left"/>
      <w:pPr>
        <w:tabs>
          <w:tab w:val="num" w:pos="6480"/>
        </w:tabs>
        <w:ind w:left="6480" w:hanging="360"/>
      </w:pPr>
    </w:lvl>
  </w:abstractNum>
  <w:abstractNum w:abstractNumId="1" w15:restartNumberingAfterBreak="0">
    <w:nsid w:val="1AD10447"/>
    <w:multiLevelType w:val="hybridMultilevel"/>
    <w:tmpl w:val="A9D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20D49"/>
    <w:multiLevelType w:val="hybridMultilevel"/>
    <w:tmpl w:val="CF3C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CA"/>
    <w:rsid w:val="0003393C"/>
    <w:rsid w:val="00171DEF"/>
    <w:rsid w:val="002843CA"/>
    <w:rsid w:val="002B788F"/>
    <w:rsid w:val="00322A6E"/>
    <w:rsid w:val="00460C23"/>
    <w:rsid w:val="00545A69"/>
    <w:rsid w:val="007B7636"/>
    <w:rsid w:val="00876683"/>
    <w:rsid w:val="009515A3"/>
    <w:rsid w:val="00BC42B1"/>
    <w:rsid w:val="00D4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D0B3"/>
  <w15:chartTrackingRefBased/>
  <w15:docId w15:val="{57873141-7682-41E2-938B-62E5E1A1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A6E"/>
    <w:rPr>
      <w:sz w:val="16"/>
      <w:szCs w:val="16"/>
    </w:rPr>
  </w:style>
  <w:style w:type="paragraph" w:styleId="CommentText">
    <w:name w:val="annotation text"/>
    <w:basedOn w:val="Normal"/>
    <w:link w:val="CommentTextChar"/>
    <w:uiPriority w:val="99"/>
    <w:semiHidden/>
    <w:unhideWhenUsed/>
    <w:rsid w:val="00322A6E"/>
    <w:pPr>
      <w:spacing w:line="240" w:lineRule="auto"/>
    </w:pPr>
    <w:rPr>
      <w:sz w:val="20"/>
      <w:szCs w:val="20"/>
    </w:rPr>
  </w:style>
  <w:style w:type="character" w:customStyle="1" w:styleId="CommentTextChar">
    <w:name w:val="Comment Text Char"/>
    <w:basedOn w:val="DefaultParagraphFont"/>
    <w:link w:val="CommentText"/>
    <w:uiPriority w:val="99"/>
    <w:semiHidden/>
    <w:rsid w:val="00322A6E"/>
    <w:rPr>
      <w:sz w:val="20"/>
      <w:szCs w:val="20"/>
    </w:rPr>
  </w:style>
  <w:style w:type="paragraph" w:styleId="CommentSubject">
    <w:name w:val="annotation subject"/>
    <w:basedOn w:val="CommentText"/>
    <w:next w:val="CommentText"/>
    <w:link w:val="CommentSubjectChar"/>
    <w:uiPriority w:val="99"/>
    <w:semiHidden/>
    <w:unhideWhenUsed/>
    <w:rsid w:val="00322A6E"/>
    <w:rPr>
      <w:b/>
      <w:bCs/>
    </w:rPr>
  </w:style>
  <w:style w:type="character" w:customStyle="1" w:styleId="CommentSubjectChar">
    <w:name w:val="Comment Subject Char"/>
    <w:basedOn w:val="CommentTextChar"/>
    <w:link w:val="CommentSubject"/>
    <w:uiPriority w:val="99"/>
    <w:semiHidden/>
    <w:rsid w:val="00322A6E"/>
    <w:rPr>
      <w:b/>
      <w:bCs/>
      <w:sz w:val="20"/>
      <w:szCs w:val="20"/>
    </w:rPr>
  </w:style>
  <w:style w:type="paragraph" w:styleId="BalloonText">
    <w:name w:val="Balloon Text"/>
    <w:basedOn w:val="Normal"/>
    <w:link w:val="BalloonTextChar"/>
    <w:uiPriority w:val="99"/>
    <w:semiHidden/>
    <w:unhideWhenUsed/>
    <w:rsid w:val="0032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E"/>
    <w:rPr>
      <w:rFonts w:ascii="Segoe UI" w:hAnsi="Segoe UI" w:cs="Segoe UI"/>
      <w:sz w:val="18"/>
      <w:szCs w:val="18"/>
    </w:rPr>
  </w:style>
  <w:style w:type="paragraph" w:styleId="ListParagraph">
    <w:name w:val="List Paragraph"/>
    <w:basedOn w:val="Normal"/>
    <w:uiPriority w:val="34"/>
    <w:qFormat/>
    <w:rsid w:val="00876683"/>
    <w:pPr>
      <w:ind w:left="720"/>
      <w:contextualSpacing/>
    </w:pPr>
  </w:style>
  <w:style w:type="table" w:styleId="TableGrid">
    <w:name w:val="Table Grid"/>
    <w:basedOn w:val="TableNormal"/>
    <w:uiPriority w:val="39"/>
    <w:rsid w:val="0017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Normal">
    <w:name w:val="MS Normal"/>
    <w:basedOn w:val="Normal"/>
    <w:link w:val="MSNormalChar"/>
    <w:qFormat/>
    <w:rsid w:val="002B788F"/>
    <w:pPr>
      <w:spacing w:after="0" w:line="480" w:lineRule="auto"/>
    </w:pPr>
    <w:rPr>
      <w:rFonts w:ascii="Times New Roman" w:hAnsi="Times New Roman"/>
      <w:szCs w:val="24"/>
    </w:rPr>
  </w:style>
  <w:style w:type="character" w:customStyle="1" w:styleId="MSNormalChar">
    <w:name w:val="MS Normal Char"/>
    <w:basedOn w:val="DefaultParagraphFont"/>
    <w:link w:val="MSNormal"/>
    <w:rsid w:val="002B788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72423">
      <w:bodyDiv w:val="1"/>
      <w:marLeft w:val="0"/>
      <w:marRight w:val="0"/>
      <w:marTop w:val="0"/>
      <w:marBottom w:val="0"/>
      <w:divBdr>
        <w:top w:val="none" w:sz="0" w:space="0" w:color="auto"/>
        <w:left w:val="none" w:sz="0" w:space="0" w:color="auto"/>
        <w:bottom w:val="none" w:sz="0" w:space="0" w:color="auto"/>
        <w:right w:val="none" w:sz="0" w:space="0" w:color="auto"/>
      </w:divBdr>
    </w:div>
    <w:div w:id="1319842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6559">
          <w:marLeft w:val="547"/>
          <w:marRight w:val="0"/>
          <w:marTop w:val="0"/>
          <w:marBottom w:val="120"/>
          <w:divBdr>
            <w:top w:val="none" w:sz="0" w:space="0" w:color="auto"/>
            <w:left w:val="none" w:sz="0" w:space="0" w:color="auto"/>
            <w:bottom w:val="none" w:sz="0" w:space="0" w:color="auto"/>
            <w:right w:val="none" w:sz="0" w:space="0" w:color="auto"/>
          </w:divBdr>
        </w:div>
        <w:div w:id="988174443">
          <w:marLeft w:val="547"/>
          <w:marRight w:val="0"/>
          <w:marTop w:val="0"/>
          <w:marBottom w:val="120"/>
          <w:divBdr>
            <w:top w:val="none" w:sz="0" w:space="0" w:color="auto"/>
            <w:left w:val="none" w:sz="0" w:space="0" w:color="auto"/>
            <w:bottom w:val="none" w:sz="0" w:space="0" w:color="auto"/>
            <w:right w:val="none" w:sz="0" w:space="0" w:color="auto"/>
          </w:divBdr>
        </w:div>
        <w:div w:id="748114510">
          <w:marLeft w:val="547"/>
          <w:marRight w:val="0"/>
          <w:marTop w:val="0"/>
          <w:marBottom w:val="120"/>
          <w:divBdr>
            <w:top w:val="none" w:sz="0" w:space="0" w:color="auto"/>
            <w:left w:val="none" w:sz="0" w:space="0" w:color="auto"/>
            <w:bottom w:val="none" w:sz="0" w:space="0" w:color="auto"/>
            <w:right w:val="none" w:sz="0" w:space="0" w:color="auto"/>
          </w:divBdr>
        </w:div>
        <w:div w:id="1754085054">
          <w:marLeft w:val="547"/>
          <w:marRight w:val="0"/>
          <w:marTop w:val="0"/>
          <w:marBottom w:val="120"/>
          <w:divBdr>
            <w:top w:val="none" w:sz="0" w:space="0" w:color="auto"/>
            <w:left w:val="none" w:sz="0" w:space="0" w:color="auto"/>
            <w:bottom w:val="none" w:sz="0" w:space="0" w:color="auto"/>
            <w:right w:val="none" w:sz="0" w:space="0" w:color="auto"/>
          </w:divBdr>
        </w:div>
        <w:div w:id="1623614195">
          <w:marLeft w:val="547"/>
          <w:marRight w:val="0"/>
          <w:marTop w:val="0"/>
          <w:marBottom w:val="120"/>
          <w:divBdr>
            <w:top w:val="none" w:sz="0" w:space="0" w:color="auto"/>
            <w:left w:val="none" w:sz="0" w:space="0" w:color="auto"/>
            <w:bottom w:val="none" w:sz="0" w:space="0" w:color="auto"/>
            <w:right w:val="none" w:sz="0" w:space="0" w:color="auto"/>
          </w:divBdr>
        </w:div>
        <w:div w:id="262996785">
          <w:marLeft w:val="547"/>
          <w:marRight w:val="0"/>
          <w:marTop w:val="0"/>
          <w:marBottom w:val="120"/>
          <w:divBdr>
            <w:top w:val="none" w:sz="0" w:space="0" w:color="auto"/>
            <w:left w:val="none" w:sz="0" w:space="0" w:color="auto"/>
            <w:bottom w:val="none" w:sz="0" w:space="0" w:color="auto"/>
            <w:right w:val="none" w:sz="0" w:space="0" w:color="auto"/>
          </w:divBdr>
        </w:div>
        <w:div w:id="704868867">
          <w:marLeft w:val="547"/>
          <w:marRight w:val="0"/>
          <w:marTop w:val="0"/>
          <w:marBottom w:val="120"/>
          <w:divBdr>
            <w:top w:val="none" w:sz="0" w:space="0" w:color="auto"/>
            <w:left w:val="none" w:sz="0" w:space="0" w:color="auto"/>
            <w:bottom w:val="none" w:sz="0" w:space="0" w:color="auto"/>
            <w:right w:val="none" w:sz="0" w:space="0" w:color="auto"/>
          </w:divBdr>
        </w:div>
        <w:div w:id="2021855506">
          <w:marLeft w:val="547"/>
          <w:marRight w:val="0"/>
          <w:marTop w:val="0"/>
          <w:marBottom w:val="120"/>
          <w:divBdr>
            <w:top w:val="none" w:sz="0" w:space="0" w:color="auto"/>
            <w:left w:val="none" w:sz="0" w:space="0" w:color="auto"/>
            <w:bottom w:val="none" w:sz="0" w:space="0" w:color="auto"/>
            <w:right w:val="none" w:sz="0" w:space="0" w:color="auto"/>
          </w:divBdr>
        </w:div>
        <w:div w:id="2123070157">
          <w:marLeft w:val="547"/>
          <w:marRight w:val="0"/>
          <w:marTop w:val="0"/>
          <w:marBottom w:val="120"/>
          <w:divBdr>
            <w:top w:val="none" w:sz="0" w:space="0" w:color="auto"/>
            <w:left w:val="none" w:sz="0" w:space="0" w:color="auto"/>
            <w:bottom w:val="none" w:sz="0" w:space="0" w:color="auto"/>
            <w:right w:val="none" w:sz="0" w:space="0" w:color="auto"/>
          </w:divBdr>
        </w:div>
        <w:div w:id="780804025">
          <w:marLeft w:val="547"/>
          <w:marRight w:val="0"/>
          <w:marTop w:val="0"/>
          <w:marBottom w:val="120"/>
          <w:divBdr>
            <w:top w:val="none" w:sz="0" w:space="0" w:color="auto"/>
            <w:left w:val="none" w:sz="0" w:space="0" w:color="auto"/>
            <w:bottom w:val="none" w:sz="0" w:space="0" w:color="auto"/>
            <w:right w:val="none" w:sz="0" w:space="0" w:color="auto"/>
          </w:divBdr>
        </w:div>
        <w:div w:id="48841721">
          <w:marLeft w:val="547"/>
          <w:marRight w:val="0"/>
          <w:marTop w:val="0"/>
          <w:marBottom w:val="120"/>
          <w:divBdr>
            <w:top w:val="none" w:sz="0" w:space="0" w:color="auto"/>
            <w:left w:val="none" w:sz="0" w:space="0" w:color="auto"/>
            <w:bottom w:val="none" w:sz="0" w:space="0" w:color="auto"/>
            <w:right w:val="none" w:sz="0" w:space="0" w:color="auto"/>
          </w:divBdr>
        </w:div>
        <w:div w:id="774137959">
          <w:marLeft w:val="547"/>
          <w:marRight w:val="0"/>
          <w:marTop w:val="0"/>
          <w:marBottom w:val="120"/>
          <w:divBdr>
            <w:top w:val="none" w:sz="0" w:space="0" w:color="auto"/>
            <w:left w:val="none" w:sz="0" w:space="0" w:color="auto"/>
            <w:bottom w:val="none" w:sz="0" w:space="0" w:color="auto"/>
            <w:right w:val="none" w:sz="0" w:space="0" w:color="auto"/>
          </w:divBdr>
        </w:div>
        <w:div w:id="1393431471">
          <w:marLeft w:val="547"/>
          <w:marRight w:val="0"/>
          <w:marTop w:val="0"/>
          <w:marBottom w:val="120"/>
          <w:divBdr>
            <w:top w:val="none" w:sz="0" w:space="0" w:color="auto"/>
            <w:left w:val="none" w:sz="0" w:space="0" w:color="auto"/>
            <w:bottom w:val="none" w:sz="0" w:space="0" w:color="auto"/>
            <w:right w:val="none" w:sz="0" w:space="0" w:color="auto"/>
          </w:divBdr>
        </w:div>
        <w:div w:id="394473901">
          <w:marLeft w:val="547"/>
          <w:marRight w:val="0"/>
          <w:marTop w:val="0"/>
          <w:marBottom w:val="120"/>
          <w:divBdr>
            <w:top w:val="none" w:sz="0" w:space="0" w:color="auto"/>
            <w:left w:val="none" w:sz="0" w:space="0" w:color="auto"/>
            <w:bottom w:val="none" w:sz="0" w:space="0" w:color="auto"/>
            <w:right w:val="none" w:sz="0" w:space="0" w:color="auto"/>
          </w:divBdr>
        </w:div>
        <w:div w:id="913856464">
          <w:marLeft w:val="547"/>
          <w:marRight w:val="0"/>
          <w:marTop w:val="0"/>
          <w:marBottom w:val="120"/>
          <w:divBdr>
            <w:top w:val="none" w:sz="0" w:space="0" w:color="auto"/>
            <w:left w:val="none" w:sz="0" w:space="0" w:color="auto"/>
            <w:bottom w:val="none" w:sz="0" w:space="0" w:color="auto"/>
            <w:right w:val="none" w:sz="0" w:space="0" w:color="auto"/>
          </w:divBdr>
        </w:div>
        <w:div w:id="44499584">
          <w:marLeft w:val="547"/>
          <w:marRight w:val="0"/>
          <w:marTop w:val="0"/>
          <w:marBottom w:val="120"/>
          <w:divBdr>
            <w:top w:val="none" w:sz="0" w:space="0" w:color="auto"/>
            <w:left w:val="none" w:sz="0" w:space="0" w:color="auto"/>
            <w:bottom w:val="none" w:sz="0" w:space="0" w:color="auto"/>
            <w:right w:val="none" w:sz="0" w:space="0" w:color="auto"/>
          </w:divBdr>
        </w:div>
        <w:div w:id="1548444212">
          <w:marLeft w:val="547"/>
          <w:marRight w:val="0"/>
          <w:marTop w:val="0"/>
          <w:marBottom w:val="120"/>
          <w:divBdr>
            <w:top w:val="none" w:sz="0" w:space="0" w:color="auto"/>
            <w:left w:val="none" w:sz="0" w:space="0" w:color="auto"/>
            <w:bottom w:val="none" w:sz="0" w:space="0" w:color="auto"/>
            <w:right w:val="none" w:sz="0" w:space="0" w:color="auto"/>
          </w:divBdr>
        </w:div>
        <w:div w:id="999623372">
          <w:marLeft w:val="547"/>
          <w:marRight w:val="0"/>
          <w:marTop w:val="0"/>
          <w:marBottom w:val="120"/>
          <w:divBdr>
            <w:top w:val="none" w:sz="0" w:space="0" w:color="auto"/>
            <w:left w:val="none" w:sz="0" w:space="0" w:color="auto"/>
            <w:bottom w:val="none" w:sz="0" w:space="0" w:color="auto"/>
            <w:right w:val="none" w:sz="0" w:space="0" w:color="auto"/>
          </w:divBdr>
        </w:div>
        <w:div w:id="1383402479">
          <w:marLeft w:val="547"/>
          <w:marRight w:val="0"/>
          <w:marTop w:val="0"/>
          <w:marBottom w:val="120"/>
          <w:divBdr>
            <w:top w:val="none" w:sz="0" w:space="0" w:color="auto"/>
            <w:left w:val="none" w:sz="0" w:space="0" w:color="auto"/>
            <w:bottom w:val="none" w:sz="0" w:space="0" w:color="auto"/>
            <w:right w:val="none" w:sz="0" w:space="0" w:color="auto"/>
          </w:divBdr>
        </w:div>
        <w:div w:id="1865441257">
          <w:marLeft w:val="547"/>
          <w:marRight w:val="0"/>
          <w:marTop w:val="0"/>
          <w:marBottom w:val="120"/>
          <w:divBdr>
            <w:top w:val="none" w:sz="0" w:space="0" w:color="auto"/>
            <w:left w:val="none" w:sz="0" w:space="0" w:color="auto"/>
            <w:bottom w:val="none" w:sz="0" w:space="0" w:color="auto"/>
            <w:right w:val="none" w:sz="0" w:space="0" w:color="auto"/>
          </w:divBdr>
        </w:div>
        <w:div w:id="1593275494">
          <w:marLeft w:val="547"/>
          <w:marRight w:val="0"/>
          <w:marTop w:val="0"/>
          <w:marBottom w:val="120"/>
          <w:divBdr>
            <w:top w:val="none" w:sz="0" w:space="0" w:color="auto"/>
            <w:left w:val="none" w:sz="0" w:space="0" w:color="auto"/>
            <w:bottom w:val="none" w:sz="0" w:space="0" w:color="auto"/>
            <w:right w:val="none" w:sz="0" w:space="0" w:color="auto"/>
          </w:divBdr>
        </w:div>
        <w:div w:id="2113478565">
          <w:marLeft w:val="547"/>
          <w:marRight w:val="0"/>
          <w:marTop w:val="0"/>
          <w:marBottom w:val="120"/>
          <w:divBdr>
            <w:top w:val="none" w:sz="0" w:space="0" w:color="auto"/>
            <w:left w:val="none" w:sz="0" w:space="0" w:color="auto"/>
            <w:bottom w:val="none" w:sz="0" w:space="0" w:color="auto"/>
            <w:right w:val="none" w:sz="0" w:space="0" w:color="auto"/>
          </w:divBdr>
        </w:div>
        <w:div w:id="473643104">
          <w:marLeft w:val="547"/>
          <w:marRight w:val="0"/>
          <w:marTop w:val="0"/>
          <w:marBottom w:val="120"/>
          <w:divBdr>
            <w:top w:val="none" w:sz="0" w:space="0" w:color="auto"/>
            <w:left w:val="none" w:sz="0" w:space="0" w:color="auto"/>
            <w:bottom w:val="none" w:sz="0" w:space="0" w:color="auto"/>
            <w:right w:val="none" w:sz="0" w:space="0" w:color="auto"/>
          </w:divBdr>
        </w:div>
        <w:div w:id="134952967">
          <w:marLeft w:val="547"/>
          <w:marRight w:val="0"/>
          <w:marTop w:val="0"/>
          <w:marBottom w:val="120"/>
          <w:divBdr>
            <w:top w:val="none" w:sz="0" w:space="0" w:color="auto"/>
            <w:left w:val="none" w:sz="0" w:space="0" w:color="auto"/>
            <w:bottom w:val="none" w:sz="0" w:space="0" w:color="auto"/>
            <w:right w:val="none" w:sz="0" w:space="0" w:color="auto"/>
          </w:divBdr>
        </w:div>
      </w:divsChild>
    </w:div>
    <w:div w:id="1607734784">
      <w:bodyDiv w:val="1"/>
      <w:marLeft w:val="0"/>
      <w:marRight w:val="0"/>
      <w:marTop w:val="0"/>
      <w:marBottom w:val="0"/>
      <w:divBdr>
        <w:top w:val="none" w:sz="0" w:space="0" w:color="auto"/>
        <w:left w:val="none" w:sz="0" w:space="0" w:color="auto"/>
        <w:bottom w:val="none" w:sz="0" w:space="0" w:color="auto"/>
        <w:right w:val="none" w:sz="0" w:space="0" w:color="auto"/>
      </w:divBdr>
      <w:divsChild>
        <w:div w:id="1920947250">
          <w:marLeft w:val="547"/>
          <w:marRight w:val="0"/>
          <w:marTop w:val="0"/>
          <w:marBottom w:val="120"/>
          <w:divBdr>
            <w:top w:val="none" w:sz="0" w:space="0" w:color="auto"/>
            <w:left w:val="none" w:sz="0" w:space="0" w:color="auto"/>
            <w:bottom w:val="none" w:sz="0" w:space="0" w:color="auto"/>
            <w:right w:val="none" w:sz="0" w:space="0" w:color="auto"/>
          </w:divBdr>
        </w:div>
        <w:div w:id="1578594388">
          <w:marLeft w:val="547"/>
          <w:marRight w:val="0"/>
          <w:marTop w:val="0"/>
          <w:marBottom w:val="120"/>
          <w:divBdr>
            <w:top w:val="none" w:sz="0" w:space="0" w:color="auto"/>
            <w:left w:val="none" w:sz="0" w:space="0" w:color="auto"/>
            <w:bottom w:val="none" w:sz="0" w:space="0" w:color="auto"/>
            <w:right w:val="none" w:sz="0" w:space="0" w:color="auto"/>
          </w:divBdr>
        </w:div>
        <w:div w:id="1535532504">
          <w:marLeft w:val="547"/>
          <w:marRight w:val="0"/>
          <w:marTop w:val="0"/>
          <w:marBottom w:val="120"/>
          <w:divBdr>
            <w:top w:val="none" w:sz="0" w:space="0" w:color="auto"/>
            <w:left w:val="none" w:sz="0" w:space="0" w:color="auto"/>
            <w:bottom w:val="none" w:sz="0" w:space="0" w:color="auto"/>
            <w:right w:val="none" w:sz="0" w:space="0" w:color="auto"/>
          </w:divBdr>
        </w:div>
        <w:div w:id="1974677436">
          <w:marLeft w:val="547"/>
          <w:marRight w:val="0"/>
          <w:marTop w:val="0"/>
          <w:marBottom w:val="120"/>
          <w:divBdr>
            <w:top w:val="none" w:sz="0" w:space="0" w:color="auto"/>
            <w:left w:val="none" w:sz="0" w:space="0" w:color="auto"/>
            <w:bottom w:val="none" w:sz="0" w:space="0" w:color="auto"/>
            <w:right w:val="none" w:sz="0" w:space="0" w:color="auto"/>
          </w:divBdr>
        </w:div>
        <w:div w:id="829102660">
          <w:marLeft w:val="547"/>
          <w:marRight w:val="0"/>
          <w:marTop w:val="0"/>
          <w:marBottom w:val="120"/>
          <w:divBdr>
            <w:top w:val="none" w:sz="0" w:space="0" w:color="auto"/>
            <w:left w:val="none" w:sz="0" w:space="0" w:color="auto"/>
            <w:bottom w:val="none" w:sz="0" w:space="0" w:color="auto"/>
            <w:right w:val="none" w:sz="0" w:space="0" w:color="auto"/>
          </w:divBdr>
        </w:div>
        <w:div w:id="979723651">
          <w:marLeft w:val="547"/>
          <w:marRight w:val="0"/>
          <w:marTop w:val="0"/>
          <w:marBottom w:val="120"/>
          <w:divBdr>
            <w:top w:val="none" w:sz="0" w:space="0" w:color="auto"/>
            <w:left w:val="none" w:sz="0" w:space="0" w:color="auto"/>
            <w:bottom w:val="none" w:sz="0" w:space="0" w:color="auto"/>
            <w:right w:val="none" w:sz="0" w:space="0" w:color="auto"/>
          </w:divBdr>
        </w:div>
        <w:div w:id="1574126240">
          <w:marLeft w:val="547"/>
          <w:marRight w:val="0"/>
          <w:marTop w:val="0"/>
          <w:marBottom w:val="120"/>
          <w:divBdr>
            <w:top w:val="none" w:sz="0" w:space="0" w:color="auto"/>
            <w:left w:val="none" w:sz="0" w:space="0" w:color="auto"/>
            <w:bottom w:val="none" w:sz="0" w:space="0" w:color="auto"/>
            <w:right w:val="none" w:sz="0" w:space="0" w:color="auto"/>
          </w:divBdr>
        </w:div>
        <w:div w:id="442846025">
          <w:marLeft w:val="547"/>
          <w:marRight w:val="0"/>
          <w:marTop w:val="0"/>
          <w:marBottom w:val="120"/>
          <w:divBdr>
            <w:top w:val="none" w:sz="0" w:space="0" w:color="auto"/>
            <w:left w:val="none" w:sz="0" w:space="0" w:color="auto"/>
            <w:bottom w:val="none" w:sz="0" w:space="0" w:color="auto"/>
            <w:right w:val="none" w:sz="0" w:space="0" w:color="auto"/>
          </w:divBdr>
        </w:div>
        <w:div w:id="1243486566">
          <w:marLeft w:val="547"/>
          <w:marRight w:val="0"/>
          <w:marTop w:val="0"/>
          <w:marBottom w:val="120"/>
          <w:divBdr>
            <w:top w:val="none" w:sz="0" w:space="0" w:color="auto"/>
            <w:left w:val="none" w:sz="0" w:space="0" w:color="auto"/>
            <w:bottom w:val="none" w:sz="0" w:space="0" w:color="auto"/>
            <w:right w:val="none" w:sz="0" w:space="0" w:color="auto"/>
          </w:divBdr>
        </w:div>
        <w:div w:id="1327439622">
          <w:marLeft w:val="547"/>
          <w:marRight w:val="0"/>
          <w:marTop w:val="0"/>
          <w:marBottom w:val="120"/>
          <w:divBdr>
            <w:top w:val="none" w:sz="0" w:space="0" w:color="auto"/>
            <w:left w:val="none" w:sz="0" w:space="0" w:color="auto"/>
            <w:bottom w:val="none" w:sz="0" w:space="0" w:color="auto"/>
            <w:right w:val="none" w:sz="0" w:space="0" w:color="auto"/>
          </w:divBdr>
        </w:div>
        <w:div w:id="691298942">
          <w:marLeft w:val="547"/>
          <w:marRight w:val="0"/>
          <w:marTop w:val="0"/>
          <w:marBottom w:val="120"/>
          <w:divBdr>
            <w:top w:val="none" w:sz="0" w:space="0" w:color="auto"/>
            <w:left w:val="none" w:sz="0" w:space="0" w:color="auto"/>
            <w:bottom w:val="none" w:sz="0" w:space="0" w:color="auto"/>
            <w:right w:val="none" w:sz="0" w:space="0" w:color="auto"/>
          </w:divBdr>
        </w:div>
        <w:div w:id="1653020168">
          <w:marLeft w:val="547"/>
          <w:marRight w:val="0"/>
          <w:marTop w:val="0"/>
          <w:marBottom w:val="120"/>
          <w:divBdr>
            <w:top w:val="none" w:sz="0" w:space="0" w:color="auto"/>
            <w:left w:val="none" w:sz="0" w:space="0" w:color="auto"/>
            <w:bottom w:val="none" w:sz="0" w:space="0" w:color="auto"/>
            <w:right w:val="none" w:sz="0" w:space="0" w:color="auto"/>
          </w:divBdr>
        </w:div>
        <w:div w:id="1792279132">
          <w:marLeft w:val="547"/>
          <w:marRight w:val="0"/>
          <w:marTop w:val="0"/>
          <w:marBottom w:val="120"/>
          <w:divBdr>
            <w:top w:val="none" w:sz="0" w:space="0" w:color="auto"/>
            <w:left w:val="none" w:sz="0" w:space="0" w:color="auto"/>
            <w:bottom w:val="none" w:sz="0" w:space="0" w:color="auto"/>
            <w:right w:val="none" w:sz="0" w:space="0" w:color="auto"/>
          </w:divBdr>
        </w:div>
        <w:div w:id="789669898">
          <w:marLeft w:val="547"/>
          <w:marRight w:val="0"/>
          <w:marTop w:val="0"/>
          <w:marBottom w:val="120"/>
          <w:divBdr>
            <w:top w:val="none" w:sz="0" w:space="0" w:color="auto"/>
            <w:left w:val="none" w:sz="0" w:space="0" w:color="auto"/>
            <w:bottom w:val="none" w:sz="0" w:space="0" w:color="auto"/>
            <w:right w:val="none" w:sz="0" w:space="0" w:color="auto"/>
          </w:divBdr>
        </w:div>
        <w:div w:id="1501308742">
          <w:marLeft w:val="547"/>
          <w:marRight w:val="0"/>
          <w:marTop w:val="0"/>
          <w:marBottom w:val="120"/>
          <w:divBdr>
            <w:top w:val="none" w:sz="0" w:space="0" w:color="auto"/>
            <w:left w:val="none" w:sz="0" w:space="0" w:color="auto"/>
            <w:bottom w:val="none" w:sz="0" w:space="0" w:color="auto"/>
            <w:right w:val="none" w:sz="0" w:space="0" w:color="auto"/>
          </w:divBdr>
        </w:div>
        <w:div w:id="1056510648">
          <w:marLeft w:val="547"/>
          <w:marRight w:val="0"/>
          <w:marTop w:val="0"/>
          <w:marBottom w:val="120"/>
          <w:divBdr>
            <w:top w:val="none" w:sz="0" w:space="0" w:color="auto"/>
            <w:left w:val="none" w:sz="0" w:space="0" w:color="auto"/>
            <w:bottom w:val="none" w:sz="0" w:space="0" w:color="auto"/>
            <w:right w:val="none" w:sz="0" w:space="0" w:color="auto"/>
          </w:divBdr>
        </w:div>
        <w:div w:id="1793130954">
          <w:marLeft w:val="547"/>
          <w:marRight w:val="0"/>
          <w:marTop w:val="0"/>
          <w:marBottom w:val="120"/>
          <w:divBdr>
            <w:top w:val="none" w:sz="0" w:space="0" w:color="auto"/>
            <w:left w:val="none" w:sz="0" w:space="0" w:color="auto"/>
            <w:bottom w:val="none" w:sz="0" w:space="0" w:color="auto"/>
            <w:right w:val="none" w:sz="0" w:space="0" w:color="auto"/>
          </w:divBdr>
        </w:div>
        <w:div w:id="1191605743">
          <w:marLeft w:val="547"/>
          <w:marRight w:val="0"/>
          <w:marTop w:val="0"/>
          <w:marBottom w:val="120"/>
          <w:divBdr>
            <w:top w:val="none" w:sz="0" w:space="0" w:color="auto"/>
            <w:left w:val="none" w:sz="0" w:space="0" w:color="auto"/>
            <w:bottom w:val="none" w:sz="0" w:space="0" w:color="auto"/>
            <w:right w:val="none" w:sz="0" w:space="0" w:color="auto"/>
          </w:divBdr>
        </w:div>
        <w:div w:id="622882959">
          <w:marLeft w:val="547"/>
          <w:marRight w:val="0"/>
          <w:marTop w:val="0"/>
          <w:marBottom w:val="120"/>
          <w:divBdr>
            <w:top w:val="none" w:sz="0" w:space="0" w:color="auto"/>
            <w:left w:val="none" w:sz="0" w:space="0" w:color="auto"/>
            <w:bottom w:val="none" w:sz="0" w:space="0" w:color="auto"/>
            <w:right w:val="none" w:sz="0" w:space="0" w:color="auto"/>
          </w:divBdr>
        </w:div>
        <w:div w:id="1605502975">
          <w:marLeft w:val="547"/>
          <w:marRight w:val="0"/>
          <w:marTop w:val="0"/>
          <w:marBottom w:val="120"/>
          <w:divBdr>
            <w:top w:val="none" w:sz="0" w:space="0" w:color="auto"/>
            <w:left w:val="none" w:sz="0" w:space="0" w:color="auto"/>
            <w:bottom w:val="none" w:sz="0" w:space="0" w:color="auto"/>
            <w:right w:val="none" w:sz="0" w:space="0" w:color="auto"/>
          </w:divBdr>
        </w:div>
        <w:div w:id="421754872">
          <w:marLeft w:val="547"/>
          <w:marRight w:val="0"/>
          <w:marTop w:val="0"/>
          <w:marBottom w:val="120"/>
          <w:divBdr>
            <w:top w:val="none" w:sz="0" w:space="0" w:color="auto"/>
            <w:left w:val="none" w:sz="0" w:space="0" w:color="auto"/>
            <w:bottom w:val="none" w:sz="0" w:space="0" w:color="auto"/>
            <w:right w:val="none" w:sz="0" w:space="0" w:color="auto"/>
          </w:divBdr>
        </w:div>
        <w:div w:id="2056348102">
          <w:marLeft w:val="547"/>
          <w:marRight w:val="0"/>
          <w:marTop w:val="0"/>
          <w:marBottom w:val="120"/>
          <w:divBdr>
            <w:top w:val="none" w:sz="0" w:space="0" w:color="auto"/>
            <w:left w:val="none" w:sz="0" w:space="0" w:color="auto"/>
            <w:bottom w:val="none" w:sz="0" w:space="0" w:color="auto"/>
            <w:right w:val="none" w:sz="0" w:space="0" w:color="auto"/>
          </w:divBdr>
        </w:div>
        <w:div w:id="1731002973">
          <w:marLeft w:val="547"/>
          <w:marRight w:val="0"/>
          <w:marTop w:val="0"/>
          <w:marBottom w:val="120"/>
          <w:divBdr>
            <w:top w:val="none" w:sz="0" w:space="0" w:color="auto"/>
            <w:left w:val="none" w:sz="0" w:space="0" w:color="auto"/>
            <w:bottom w:val="none" w:sz="0" w:space="0" w:color="auto"/>
            <w:right w:val="none" w:sz="0" w:space="0" w:color="auto"/>
          </w:divBdr>
        </w:div>
        <w:div w:id="69785609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se.azalde\Documents\CAP\Data%20Analysis\CAP%20Study%20Dashboar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'symptom worksheets'!$A$40</c:f>
              <c:strCache>
                <c:ptCount val="1"/>
                <c:pt idx="0">
                  <c:v>Resolved or Reduced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'symptom worksheets'!$B$39:$F$39</c:f>
              <c:strCache>
                <c:ptCount val="5"/>
                <c:pt idx="0">
                  <c:v>Vomiting</c:v>
                </c:pt>
                <c:pt idx="1">
                  <c:v>Nausea</c:v>
                </c:pt>
                <c:pt idx="2">
                  <c:v>Acid Reflux</c:v>
                </c:pt>
                <c:pt idx="3">
                  <c:v>Early fullness</c:v>
                </c:pt>
                <c:pt idx="4">
                  <c:v>Abdom Bloating</c:v>
                </c:pt>
              </c:strCache>
            </c:strRef>
          </c:cat>
          <c:val>
            <c:numRef>
              <c:f>'symptom worksheets'!$B$40:$F$40</c:f>
              <c:numCache>
                <c:formatCode>0.0%</c:formatCode>
                <c:ptCount val="5"/>
                <c:pt idx="0">
                  <c:v>0.90909090909090906</c:v>
                </c:pt>
                <c:pt idx="1">
                  <c:v>0.75</c:v>
                </c:pt>
                <c:pt idx="2">
                  <c:v>0.5714285714285714</c:v>
                </c:pt>
                <c:pt idx="3">
                  <c:v>0.5</c:v>
                </c:pt>
                <c:pt idx="4">
                  <c:v>0.47368421052631576</c:v>
                </c:pt>
              </c:numCache>
            </c:numRef>
          </c:val>
          <c:extLst>
            <c:ext xmlns:c16="http://schemas.microsoft.com/office/drawing/2014/chart" uri="{C3380CC4-5D6E-409C-BE32-E72D297353CC}">
              <c16:uniqueId val="{00000000-BDAA-4945-8CA6-0D8C65AE2440}"/>
            </c:ext>
          </c:extLst>
        </c:ser>
        <c:ser>
          <c:idx val="1"/>
          <c:order val="1"/>
          <c:tx>
            <c:strRef>
              <c:f>'symptom worksheets'!$A$41</c:f>
              <c:strCache>
                <c:ptCount val="1"/>
                <c:pt idx="0">
                  <c:v>No Change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'symptom worksheets'!$B$39:$F$39</c:f>
              <c:strCache>
                <c:ptCount val="5"/>
                <c:pt idx="0">
                  <c:v>Vomiting</c:v>
                </c:pt>
                <c:pt idx="1">
                  <c:v>Nausea</c:v>
                </c:pt>
                <c:pt idx="2">
                  <c:v>Acid Reflux</c:v>
                </c:pt>
                <c:pt idx="3">
                  <c:v>Early fullness</c:v>
                </c:pt>
                <c:pt idx="4">
                  <c:v>Abdom Bloating</c:v>
                </c:pt>
              </c:strCache>
            </c:strRef>
          </c:cat>
          <c:val>
            <c:numRef>
              <c:f>'symptom worksheets'!$B$41:$F$41</c:f>
              <c:numCache>
                <c:formatCode>0.0%</c:formatCode>
                <c:ptCount val="5"/>
                <c:pt idx="0">
                  <c:v>9.0909090909090912E-2</c:v>
                </c:pt>
                <c:pt idx="1">
                  <c:v>0.2</c:v>
                </c:pt>
                <c:pt idx="2">
                  <c:v>0.42857142857142855</c:v>
                </c:pt>
                <c:pt idx="3">
                  <c:v>0.42857142857142855</c:v>
                </c:pt>
                <c:pt idx="4">
                  <c:v>0.52631578947368418</c:v>
                </c:pt>
              </c:numCache>
            </c:numRef>
          </c:val>
          <c:extLst>
            <c:ext xmlns:c16="http://schemas.microsoft.com/office/drawing/2014/chart" uri="{C3380CC4-5D6E-409C-BE32-E72D297353CC}">
              <c16:uniqueId val="{00000001-BDAA-4945-8CA6-0D8C65AE2440}"/>
            </c:ext>
          </c:extLst>
        </c:ser>
        <c:ser>
          <c:idx val="2"/>
          <c:order val="2"/>
          <c:tx>
            <c:strRef>
              <c:f>'symptom worksheets'!$A$42</c:f>
              <c:strCache>
                <c:ptCount val="1"/>
                <c:pt idx="0">
                  <c:v>Worsened</c:v>
                </c:pt>
              </c:strCache>
            </c:strRef>
          </c:tx>
          <c:spPr>
            <a:solidFill>
              <a:srgbClr val="C0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BDAA-4945-8CA6-0D8C65AE2440}"/>
                </c:ext>
              </c:extLst>
            </c:dLbl>
            <c:dLbl>
              <c:idx val="1"/>
              <c:layout>
                <c:manualLayout>
                  <c:x val="5.0925337632079971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AA-4945-8CA6-0D8C65AE2440}"/>
                </c:ext>
              </c:extLst>
            </c:dLbl>
            <c:dLbl>
              <c:idx val="2"/>
              <c:delete val="1"/>
              <c:extLst>
                <c:ext xmlns:c15="http://schemas.microsoft.com/office/drawing/2012/chart" uri="{CE6537A1-D6FC-4f65-9D91-7224C49458BB}"/>
                <c:ext xmlns:c16="http://schemas.microsoft.com/office/drawing/2014/chart" uri="{C3380CC4-5D6E-409C-BE32-E72D297353CC}">
                  <c16:uniqueId val="{00000004-BDAA-4945-8CA6-0D8C65AE2440}"/>
                </c:ext>
              </c:extLst>
            </c:dLbl>
            <c:dLbl>
              <c:idx val="3"/>
              <c:layout>
                <c:manualLayout>
                  <c:x val="2.77777777777777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AA-4945-8CA6-0D8C65AE2440}"/>
                </c:ext>
              </c:extLst>
            </c:dLbl>
            <c:dLbl>
              <c:idx val="4"/>
              <c:delete val="1"/>
              <c:extLst>
                <c:ext xmlns:c15="http://schemas.microsoft.com/office/drawing/2012/chart" uri="{CE6537A1-D6FC-4f65-9D91-7224C49458BB}"/>
                <c:ext xmlns:c16="http://schemas.microsoft.com/office/drawing/2014/chart" uri="{C3380CC4-5D6E-409C-BE32-E72D297353CC}">
                  <c16:uniqueId val="{00000006-BDAA-4945-8CA6-0D8C65AE2440}"/>
                </c:ext>
              </c:extLst>
            </c:dLbl>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'symptom worksheets'!$B$39:$F$39</c:f>
              <c:strCache>
                <c:ptCount val="5"/>
                <c:pt idx="0">
                  <c:v>Vomiting</c:v>
                </c:pt>
                <c:pt idx="1">
                  <c:v>Nausea</c:v>
                </c:pt>
                <c:pt idx="2">
                  <c:v>Acid Reflux</c:v>
                </c:pt>
                <c:pt idx="3">
                  <c:v>Early fullness</c:v>
                </c:pt>
                <c:pt idx="4">
                  <c:v>Abdom Bloating</c:v>
                </c:pt>
              </c:strCache>
            </c:strRef>
          </c:cat>
          <c:val>
            <c:numRef>
              <c:f>'symptom worksheets'!$B$42:$F$42</c:f>
              <c:numCache>
                <c:formatCode>0.0%</c:formatCode>
                <c:ptCount val="5"/>
                <c:pt idx="0">
                  <c:v>0</c:v>
                </c:pt>
                <c:pt idx="1">
                  <c:v>0.05</c:v>
                </c:pt>
                <c:pt idx="2">
                  <c:v>0</c:v>
                </c:pt>
                <c:pt idx="3">
                  <c:v>7.1428571428571425E-2</c:v>
                </c:pt>
                <c:pt idx="4">
                  <c:v>0</c:v>
                </c:pt>
              </c:numCache>
            </c:numRef>
          </c:val>
          <c:extLst>
            <c:ext xmlns:c16="http://schemas.microsoft.com/office/drawing/2014/chart" uri="{C3380CC4-5D6E-409C-BE32-E72D297353CC}">
              <c16:uniqueId val="{00000007-BDAA-4945-8CA6-0D8C65AE2440}"/>
            </c:ext>
          </c:extLst>
        </c:ser>
        <c:dLbls>
          <c:showLegendKey val="0"/>
          <c:showVal val="0"/>
          <c:showCatName val="0"/>
          <c:showSerName val="0"/>
          <c:showPercent val="0"/>
          <c:showBubbleSize val="0"/>
        </c:dLbls>
        <c:gapWidth val="150"/>
        <c:overlap val="100"/>
        <c:axId val="267933152"/>
        <c:axId val="267933712"/>
      </c:barChart>
      <c:catAx>
        <c:axId val="26793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67933712"/>
        <c:crosses val="autoZero"/>
        <c:auto val="1"/>
        <c:lblAlgn val="ctr"/>
        <c:lblOffset val="100"/>
        <c:noMultiLvlLbl val="0"/>
      </c:catAx>
      <c:valAx>
        <c:axId val="26793371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a:solidFill>
                      <a:schemeClr val="tx1"/>
                    </a:solidFill>
                  </a:rPr>
                  <a:t>Percentage of Patient Reporting</a:t>
                </a:r>
              </a:p>
            </c:rich>
          </c:tx>
          <c:layout>
            <c:manualLayout>
              <c:xMode val="edge"/>
              <c:yMode val="edge"/>
              <c:x val="2.0138973012988764E-2"/>
              <c:y val="0.1167115328532651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6793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chemeClr val="bg1"/>
          </a:solidFill>
          <a:latin typeface="+mn-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Rotte</dc:creator>
  <cp:keywords/>
  <dc:description/>
  <cp:lastModifiedBy>Rose Azalde</cp:lastModifiedBy>
  <cp:revision>10</cp:revision>
  <dcterms:created xsi:type="dcterms:W3CDTF">2019-07-17T17:29:00Z</dcterms:created>
  <dcterms:modified xsi:type="dcterms:W3CDTF">2019-11-11T20:39:00Z</dcterms:modified>
</cp:coreProperties>
</file>