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40" w:rsidRPr="00B76540" w:rsidRDefault="0034154A" w:rsidP="00E609B9">
      <w:pPr>
        <w:tabs>
          <w:tab w:val="left" w:pos="7088"/>
        </w:tabs>
        <w:spacing w:after="0"/>
        <w:rPr>
          <w:lang w:val="en-US"/>
        </w:rPr>
      </w:pPr>
      <w:r>
        <w:rPr>
          <w:b/>
          <w:lang w:val="en-US"/>
        </w:rPr>
        <w:t xml:space="preserve">Supplemental </w:t>
      </w:r>
      <w:r w:rsidR="00B76540" w:rsidRPr="004926D8">
        <w:rPr>
          <w:b/>
          <w:lang w:val="en-US"/>
        </w:rPr>
        <w:t>Table 1</w:t>
      </w:r>
      <w:r w:rsidR="00B76540" w:rsidRPr="00B76540">
        <w:rPr>
          <w:lang w:val="en-US"/>
        </w:rPr>
        <w:t>: Demographic and clinical characteristics of CD and UC patients</w:t>
      </w:r>
    </w:p>
    <w:tbl>
      <w:tblPr>
        <w:tblStyle w:val="HelleSchattierung"/>
        <w:tblW w:w="5247" w:type="pct"/>
        <w:tblLayout w:type="fixed"/>
        <w:tblLook w:val="0660" w:firstRow="1" w:lastRow="1" w:firstColumn="0" w:lastColumn="0" w:noHBand="1" w:noVBand="1"/>
      </w:tblPr>
      <w:tblGrid>
        <w:gridCol w:w="5229"/>
        <w:gridCol w:w="2142"/>
        <w:gridCol w:w="1736"/>
        <w:gridCol w:w="413"/>
      </w:tblGrid>
      <w:tr w:rsidR="002F4765" w:rsidRPr="00020672" w:rsidTr="000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6" w:type="pct"/>
            <w:noWrap/>
          </w:tcPr>
          <w:p w:rsidR="00664E12" w:rsidRPr="00020672" w:rsidRDefault="00664E12">
            <w:pPr>
              <w:rPr>
                <w:color w:val="auto"/>
                <w:lang w:val="en-US"/>
              </w:rPr>
            </w:pPr>
          </w:p>
        </w:tc>
        <w:tc>
          <w:tcPr>
            <w:tcW w:w="1125" w:type="pct"/>
          </w:tcPr>
          <w:p w:rsidR="00664E12" w:rsidRPr="00020672" w:rsidRDefault="00664E12" w:rsidP="00664E12">
            <w:pPr>
              <w:ind w:left="-107"/>
              <w:rPr>
                <w:color w:val="auto"/>
              </w:rPr>
            </w:pPr>
            <w:r w:rsidRPr="00020672">
              <w:rPr>
                <w:color w:val="auto"/>
                <w:lang w:val="en-US"/>
              </w:rPr>
              <w:t xml:space="preserve">    </w:t>
            </w:r>
            <w:r w:rsidRPr="00020672">
              <w:rPr>
                <w:color w:val="auto"/>
              </w:rPr>
              <w:t>CD</w:t>
            </w:r>
          </w:p>
        </w:tc>
        <w:tc>
          <w:tcPr>
            <w:tcW w:w="1129" w:type="pct"/>
            <w:gridSpan w:val="2"/>
          </w:tcPr>
          <w:p w:rsidR="00664E12" w:rsidRPr="00020672" w:rsidRDefault="00664E12" w:rsidP="00901DE1">
            <w:pPr>
              <w:ind w:left="120"/>
              <w:rPr>
                <w:color w:val="auto"/>
              </w:rPr>
            </w:pPr>
            <w:r w:rsidRPr="00020672">
              <w:rPr>
                <w:color w:val="auto"/>
              </w:rPr>
              <w:t>UC</w:t>
            </w:r>
          </w:p>
        </w:tc>
      </w:tr>
      <w:tr w:rsidR="004926D8" w:rsidRPr="00020672" w:rsidTr="00020672">
        <w:trPr>
          <w:gridAfter w:val="1"/>
          <w:wAfter w:w="217" w:type="pct"/>
        </w:trPr>
        <w:tc>
          <w:tcPr>
            <w:tcW w:w="2746" w:type="pct"/>
            <w:noWrap/>
          </w:tcPr>
          <w:p w:rsidR="00664E12" w:rsidRPr="00020672" w:rsidRDefault="00664E12" w:rsidP="00020672">
            <w:pPr>
              <w:rPr>
                <w:b/>
                <w:color w:val="auto"/>
              </w:rPr>
            </w:pPr>
            <w:r w:rsidRPr="00020672">
              <w:rPr>
                <w:b/>
                <w:color w:val="auto"/>
              </w:rPr>
              <w:t>Demographics</w:t>
            </w:r>
          </w:p>
        </w:tc>
        <w:tc>
          <w:tcPr>
            <w:tcW w:w="1125" w:type="pct"/>
          </w:tcPr>
          <w:p w:rsidR="00664E12" w:rsidRPr="00020672" w:rsidRDefault="00664E12">
            <w:pPr>
              <w:rPr>
                <w:rStyle w:val="SchwacheHervorhebung"/>
                <w:color w:val="auto"/>
              </w:rPr>
            </w:pPr>
          </w:p>
        </w:tc>
        <w:tc>
          <w:tcPr>
            <w:tcW w:w="912" w:type="pct"/>
          </w:tcPr>
          <w:p w:rsidR="00664E12" w:rsidRPr="00020672" w:rsidRDefault="00664E12" w:rsidP="00901DE1">
            <w:pPr>
              <w:rPr>
                <w:color w:val="auto"/>
              </w:rPr>
            </w:pPr>
          </w:p>
        </w:tc>
      </w:tr>
      <w:tr w:rsidR="004926D8" w:rsidRPr="00020672" w:rsidTr="00020672">
        <w:trPr>
          <w:gridAfter w:val="1"/>
          <w:wAfter w:w="217" w:type="pct"/>
          <w:trHeight w:val="11292"/>
        </w:trPr>
        <w:tc>
          <w:tcPr>
            <w:tcW w:w="2746" w:type="pct"/>
            <w:noWrap/>
          </w:tcPr>
          <w:p w:rsidR="0002067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Patients [n]</w:t>
            </w:r>
          </w:p>
          <w:p w:rsidR="00664E12" w:rsidRPr="0025396F" w:rsidRDefault="0034154A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 xml:space="preserve"> </w:t>
            </w:r>
            <w:r w:rsidR="00664E12" w:rsidRPr="0025396F">
              <w:rPr>
                <w:color w:val="auto"/>
                <w:lang w:val="en-US"/>
              </w:rPr>
              <w:tab/>
              <w:t>Male [n (%)]</w:t>
            </w:r>
            <w:r w:rsidR="00664E12" w:rsidRPr="0025396F">
              <w:rPr>
                <w:color w:val="auto"/>
                <w:lang w:val="en-US"/>
              </w:rPr>
              <w:tab/>
            </w:r>
          </w:p>
          <w:p w:rsidR="00664E12" w:rsidRPr="0025396F" w:rsidRDefault="00664E12" w:rsidP="00020672">
            <w:pPr>
              <w:tabs>
                <w:tab w:val="left" w:pos="142"/>
              </w:tabs>
              <w:ind w:right="603"/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 xml:space="preserve">Age at study entry, </w:t>
            </w:r>
            <w:proofErr w:type="spellStart"/>
            <w:r w:rsidRPr="0025396F">
              <w:rPr>
                <w:color w:val="auto"/>
                <w:lang w:val="en-US"/>
              </w:rPr>
              <w:t>yrs</w:t>
            </w:r>
            <w:proofErr w:type="spellEnd"/>
            <w:r w:rsidRPr="0025396F">
              <w:rPr>
                <w:color w:val="auto"/>
                <w:lang w:val="en-US"/>
              </w:rPr>
              <w:t xml:space="preserve"> [median (</w:t>
            </w:r>
            <w:r w:rsidR="00E609B9" w:rsidRPr="0025396F">
              <w:rPr>
                <w:color w:val="auto"/>
                <w:lang w:val="en-US"/>
              </w:rPr>
              <w:t>IQR</w:t>
            </w:r>
            <w:r w:rsidRPr="0025396F">
              <w:rPr>
                <w:color w:val="auto"/>
                <w:lang w:val="en-US"/>
              </w:rPr>
              <w:t>)]</w:t>
            </w:r>
            <w:r w:rsidRPr="0025396F">
              <w:rPr>
                <w:color w:val="auto"/>
                <w:lang w:val="en-US"/>
              </w:rPr>
              <w:tab/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 xml:space="preserve">  Disease duration at study entry, mo</w:t>
            </w:r>
            <w:r w:rsidR="00E609B9" w:rsidRPr="0025396F">
              <w:rPr>
                <w:color w:val="auto"/>
                <w:lang w:val="en-US"/>
              </w:rPr>
              <w:t>nth</w:t>
            </w:r>
            <w:r w:rsidRPr="0025396F">
              <w:rPr>
                <w:color w:val="auto"/>
                <w:lang w:val="en-US"/>
              </w:rPr>
              <w:t xml:space="preserve"> [median (</w:t>
            </w:r>
            <w:r w:rsidR="00E609B9" w:rsidRPr="0025396F">
              <w:rPr>
                <w:color w:val="auto"/>
                <w:lang w:val="en-US"/>
              </w:rPr>
              <w:t>IQR</w:t>
            </w:r>
            <w:r w:rsidRPr="0025396F">
              <w:rPr>
                <w:color w:val="auto"/>
                <w:lang w:val="en-US"/>
              </w:rPr>
              <w:t>)]</w:t>
            </w:r>
          </w:p>
          <w:p w:rsidR="00901DE1" w:rsidRPr="0025396F" w:rsidRDefault="00901DE1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 xml:space="preserve">  Smoking [n (%)]</w:t>
            </w:r>
          </w:p>
          <w:p w:rsidR="00901DE1" w:rsidRPr="0025396F" w:rsidRDefault="00901DE1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 xml:space="preserve">  Extraintestinal manifestation [n (%)]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</w:p>
          <w:p w:rsidR="00664E12" w:rsidRPr="0025396F" w:rsidRDefault="00664E12" w:rsidP="00020672">
            <w:pPr>
              <w:tabs>
                <w:tab w:val="left" w:pos="142"/>
              </w:tabs>
              <w:rPr>
                <w:b/>
                <w:color w:val="auto"/>
                <w:lang w:val="en-US"/>
              </w:rPr>
            </w:pPr>
            <w:r w:rsidRPr="0025396F">
              <w:rPr>
                <w:b/>
                <w:color w:val="auto"/>
                <w:lang w:val="en-US"/>
              </w:rPr>
              <w:t>Extent of disease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at first endoscopy  [n]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L1</w:t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L2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L3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L4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E1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E2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E3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b/>
                <w:color w:val="auto"/>
                <w:lang w:val="en-US"/>
              </w:rPr>
              <w:t xml:space="preserve">Disease activity </w:t>
            </w:r>
            <w:r w:rsidRPr="0025396F">
              <w:rPr>
                <w:color w:val="auto"/>
                <w:lang w:val="en-US"/>
              </w:rPr>
              <w:t>[n]</w:t>
            </w:r>
          </w:p>
          <w:p w:rsidR="00664E12" w:rsidRPr="0025396F" w:rsidRDefault="002F4765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Flare</w:t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Remission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</w:p>
          <w:p w:rsidR="00664E12" w:rsidRPr="0025396F" w:rsidRDefault="00664E12" w:rsidP="00020672">
            <w:pPr>
              <w:tabs>
                <w:tab w:val="left" w:pos="142"/>
              </w:tabs>
              <w:rPr>
                <w:b/>
                <w:color w:val="auto"/>
                <w:lang w:val="en-US"/>
              </w:rPr>
            </w:pPr>
            <w:r w:rsidRPr="0025396F">
              <w:rPr>
                <w:b/>
                <w:color w:val="auto"/>
                <w:lang w:val="en-US"/>
              </w:rPr>
              <w:t>Endoscopic scores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SES-CD [n]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Remission (0-2)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Mild activity (3-6)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Moderate activity (7-15)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Severe activity (&gt;15)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Endoscopic Mayo Score [n]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Mayo 0-1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Mayo 2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Mayo 3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b/>
                <w:color w:val="auto"/>
                <w:lang w:val="en-US"/>
              </w:rPr>
            </w:pPr>
            <w:r w:rsidRPr="0025396F">
              <w:rPr>
                <w:b/>
                <w:color w:val="auto"/>
                <w:lang w:val="en-US"/>
              </w:rPr>
              <w:t>Clinical Scores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CDAI [n]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Remission (&lt;150)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Mild activity (150-220)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Manifest activity (&gt;220)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  <w:t>Partial Mayo [n]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Remission (0-1)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Mild activity (2-4)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Moderate activity (5-6)</w:t>
            </w:r>
          </w:p>
          <w:p w:rsidR="00664E12" w:rsidRPr="0025396F" w:rsidRDefault="00664E12" w:rsidP="00020672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 w:rsidRPr="0025396F">
              <w:rPr>
                <w:color w:val="auto"/>
                <w:lang w:val="en-US"/>
              </w:rPr>
              <w:tab/>
            </w:r>
            <w:r w:rsidRPr="0025396F">
              <w:rPr>
                <w:color w:val="auto"/>
                <w:lang w:val="en-US"/>
              </w:rPr>
              <w:tab/>
              <w:t>Severe activity (7-9)</w:t>
            </w:r>
          </w:p>
        </w:tc>
        <w:tc>
          <w:tcPr>
            <w:tcW w:w="1125" w:type="pct"/>
          </w:tcPr>
          <w:p w:rsidR="007449E0" w:rsidRPr="0025396F" w:rsidRDefault="0034154A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40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17 (42.5)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34.5 (12.1)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120 (119.7)</w:t>
            </w:r>
          </w:p>
          <w:p w:rsidR="00664E12" w:rsidRPr="0025396F" w:rsidRDefault="0002067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13 32.5)</w:t>
            </w:r>
          </w:p>
          <w:p w:rsidR="00664E12" w:rsidRPr="0025396F" w:rsidRDefault="0002067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6 (15)</w:t>
            </w:r>
          </w:p>
          <w:p w:rsidR="00901DE1" w:rsidRPr="0025396F" w:rsidRDefault="00901DE1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F61F59" w:rsidRPr="0025396F" w:rsidRDefault="00F61F59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6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8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6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6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2</w:t>
            </w:r>
            <w:r w:rsidR="00524588" w:rsidRPr="0025396F">
              <w:rPr>
                <w:color w:val="auto"/>
              </w:rPr>
              <w:t>8</w:t>
            </w:r>
            <w:r w:rsidRPr="0025396F">
              <w:rPr>
                <w:color w:val="auto"/>
              </w:rPr>
              <w:t xml:space="preserve"> </w:t>
            </w:r>
          </w:p>
          <w:p w:rsidR="00664E12" w:rsidRPr="0025396F" w:rsidRDefault="00664E12" w:rsidP="00901DE1">
            <w:pPr>
              <w:pStyle w:val="DecimalAligned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2</w:t>
            </w:r>
            <w:r w:rsidR="00524588" w:rsidRPr="0025396F">
              <w:rPr>
                <w:color w:val="auto"/>
              </w:rPr>
              <w:t>3</w:t>
            </w:r>
            <w:r w:rsidRPr="0025396F">
              <w:rPr>
                <w:color w:val="auto"/>
              </w:rPr>
              <w:t xml:space="preserve">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F61F59" w:rsidRPr="0025396F" w:rsidRDefault="00F61F59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8 </w:t>
            </w:r>
          </w:p>
          <w:p w:rsidR="00664E12" w:rsidRPr="0025396F" w:rsidRDefault="00A91279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6</w:t>
            </w:r>
            <w:r w:rsidR="00664E12" w:rsidRPr="0025396F">
              <w:rPr>
                <w:color w:val="auto"/>
              </w:rPr>
              <w:t xml:space="preserve">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12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 xml:space="preserve">7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jc w:val="both"/>
              <w:rPr>
                <w:color w:val="auto"/>
              </w:rPr>
            </w:pPr>
          </w:p>
          <w:p w:rsidR="00F61F59" w:rsidRPr="0025396F" w:rsidRDefault="00F61F59" w:rsidP="00901DE1">
            <w:pPr>
              <w:pStyle w:val="DecimalAligned"/>
              <w:jc w:val="both"/>
              <w:rPr>
                <w:color w:val="auto"/>
              </w:rPr>
            </w:pPr>
          </w:p>
          <w:p w:rsidR="00664E12" w:rsidRPr="0025396F" w:rsidRDefault="00AE543E" w:rsidP="00901DE1">
            <w:pPr>
              <w:pStyle w:val="DecimalAligne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64E12" w:rsidRPr="0025396F">
              <w:rPr>
                <w:color w:val="auto"/>
              </w:rPr>
              <w:t>20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r w:rsidRPr="0025396F">
              <w:rPr>
                <w:color w:val="auto"/>
              </w:rPr>
              <w:t>7</w:t>
            </w:r>
          </w:p>
          <w:p w:rsidR="00664E12" w:rsidRPr="0025396F" w:rsidRDefault="00907862" w:rsidP="00901DE1">
            <w:pPr>
              <w:pStyle w:val="DecimalAligned"/>
              <w:ind w:left="175"/>
              <w:jc w:val="both"/>
              <w:rPr>
                <w:color w:val="auto"/>
              </w:rPr>
            </w:pPr>
            <w:bookmarkStart w:id="0" w:name="_GoBack"/>
            <w:bookmarkEnd w:id="0"/>
            <w:r w:rsidRPr="0025396F">
              <w:rPr>
                <w:color w:val="auto"/>
              </w:rPr>
              <w:t xml:space="preserve">20 </w:t>
            </w: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020672" w:rsidRPr="0025396F" w:rsidRDefault="00020672" w:rsidP="00020672">
            <w:pPr>
              <w:pStyle w:val="DecimalAligned"/>
              <w:jc w:val="both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jc w:val="both"/>
              <w:rPr>
                <w:color w:val="auto"/>
              </w:rPr>
            </w:pPr>
          </w:p>
        </w:tc>
        <w:tc>
          <w:tcPr>
            <w:tcW w:w="912" w:type="pct"/>
          </w:tcPr>
          <w:p w:rsidR="007449E0" w:rsidRPr="0025396F" w:rsidRDefault="0034154A" w:rsidP="00901DE1">
            <w:pPr>
              <w:pStyle w:val="DecimalAligned"/>
              <w:rPr>
                <w:color w:val="auto"/>
              </w:rPr>
            </w:pPr>
            <w:r w:rsidRPr="0025396F">
              <w:rPr>
                <w:color w:val="auto"/>
              </w:rPr>
              <w:t>37</w:t>
            </w:r>
          </w:p>
          <w:p w:rsidR="00664E12" w:rsidRPr="0025396F" w:rsidRDefault="00664E12" w:rsidP="00901DE1">
            <w:pPr>
              <w:pStyle w:val="DecimalAligned"/>
              <w:rPr>
                <w:color w:val="auto"/>
              </w:rPr>
            </w:pPr>
            <w:r w:rsidRPr="0025396F">
              <w:rPr>
                <w:color w:val="auto"/>
              </w:rPr>
              <w:t>17 (45.9)</w:t>
            </w:r>
          </w:p>
          <w:p w:rsidR="00664E12" w:rsidRPr="0025396F" w:rsidRDefault="00664E12" w:rsidP="00901DE1">
            <w:pPr>
              <w:pStyle w:val="DecimalAligned"/>
              <w:rPr>
                <w:color w:val="auto"/>
              </w:rPr>
            </w:pPr>
            <w:r w:rsidRPr="0025396F">
              <w:rPr>
                <w:color w:val="auto"/>
              </w:rPr>
              <w:t>35 (17.6)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36.5 (84.</w:t>
            </w:r>
            <w:r w:rsidR="00901DE1" w:rsidRPr="0025396F">
              <w:rPr>
                <w:color w:val="auto"/>
              </w:rPr>
              <w:t>4</w:t>
            </w:r>
            <w:r w:rsidRPr="0025396F">
              <w:rPr>
                <w:color w:val="auto"/>
              </w:rPr>
              <w:t>)</w:t>
            </w:r>
          </w:p>
          <w:p w:rsidR="00020672" w:rsidRPr="0025396F" w:rsidRDefault="0002067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5 (13.5)</w:t>
            </w:r>
          </w:p>
          <w:p w:rsidR="00664E12" w:rsidRPr="0025396F" w:rsidRDefault="00901DE1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 xml:space="preserve">4 (10.8)  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rPr>
                <w:color w:val="auto"/>
              </w:rPr>
            </w:pPr>
          </w:p>
          <w:p w:rsidR="00901DE1" w:rsidRPr="0025396F" w:rsidRDefault="00901DE1" w:rsidP="00901DE1">
            <w:pPr>
              <w:pStyle w:val="DecimalAligned"/>
              <w:ind w:left="120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ind w:left="120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ind w:left="120"/>
              <w:rPr>
                <w:color w:val="auto"/>
              </w:rPr>
            </w:pPr>
          </w:p>
          <w:p w:rsidR="00F61F59" w:rsidRPr="0025396F" w:rsidRDefault="00F61F59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3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15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10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rPr>
                <w:color w:val="auto"/>
              </w:rPr>
            </w:pPr>
            <w:r w:rsidRPr="0025396F">
              <w:rPr>
                <w:color w:val="auto"/>
              </w:rPr>
              <w:t>30</w:t>
            </w:r>
          </w:p>
          <w:p w:rsidR="00664E12" w:rsidRPr="0025396F" w:rsidRDefault="0034154A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16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4926D8" w:rsidRPr="0025396F" w:rsidRDefault="004926D8" w:rsidP="00901DE1">
            <w:pPr>
              <w:pStyle w:val="DecimalAligned"/>
              <w:rPr>
                <w:color w:val="auto"/>
              </w:rPr>
            </w:pPr>
          </w:p>
          <w:p w:rsidR="004926D8" w:rsidRPr="0025396F" w:rsidRDefault="004926D8" w:rsidP="00901DE1">
            <w:pPr>
              <w:pStyle w:val="DecimalAligned"/>
              <w:rPr>
                <w:color w:val="auto"/>
              </w:rPr>
            </w:pPr>
          </w:p>
          <w:p w:rsidR="000A363D" w:rsidRPr="0025396F" w:rsidRDefault="000A363D" w:rsidP="00901DE1">
            <w:pPr>
              <w:pStyle w:val="DecimalAligned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rPr>
                <w:color w:val="auto"/>
              </w:rPr>
            </w:pPr>
            <w:r w:rsidRPr="0025396F">
              <w:rPr>
                <w:color w:val="auto"/>
              </w:rPr>
              <w:t>10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15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11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</w:p>
          <w:p w:rsidR="00020672" w:rsidRPr="0025396F" w:rsidRDefault="00020672" w:rsidP="00020672">
            <w:pPr>
              <w:pStyle w:val="DecimalAligned"/>
              <w:rPr>
                <w:color w:val="auto"/>
              </w:rPr>
            </w:pPr>
          </w:p>
          <w:p w:rsidR="00020672" w:rsidRPr="0025396F" w:rsidRDefault="00020672" w:rsidP="00901DE1">
            <w:pPr>
              <w:pStyle w:val="DecimalAligned"/>
              <w:ind w:left="120"/>
              <w:rPr>
                <w:color w:val="auto"/>
              </w:rPr>
            </w:pPr>
          </w:p>
          <w:p w:rsidR="00F61F59" w:rsidRPr="0025396F" w:rsidRDefault="00F61F59" w:rsidP="00901DE1">
            <w:pPr>
              <w:pStyle w:val="DecimalAligned"/>
              <w:ind w:left="120"/>
              <w:rPr>
                <w:color w:val="auto"/>
              </w:rPr>
            </w:pP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12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10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10</w:t>
            </w:r>
          </w:p>
          <w:p w:rsidR="00664E12" w:rsidRPr="0025396F" w:rsidRDefault="00664E12" w:rsidP="00901DE1">
            <w:pPr>
              <w:pStyle w:val="DecimalAligned"/>
              <w:ind w:left="120"/>
              <w:rPr>
                <w:color w:val="auto"/>
              </w:rPr>
            </w:pPr>
            <w:r w:rsidRPr="0025396F">
              <w:rPr>
                <w:color w:val="auto"/>
              </w:rPr>
              <w:t>11</w:t>
            </w:r>
          </w:p>
        </w:tc>
      </w:tr>
      <w:tr w:rsidR="004926D8" w:rsidRPr="00020672" w:rsidTr="0002067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17" w:type="pct"/>
          <w:trHeight w:val="292"/>
        </w:trPr>
        <w:tc>
          <w:tcPr>
            <w:tcW w:w="2746" w:type="pct"/>
            <w:noWrap/>
          </w:tcPr>
          <w:p w:rsidR="00664E12" w:rsidRPr="00020672" w:rsidRDefault="00664E12">
            <w:pPr>
              <w:rPr>
                <w:color w:val="auto"/>
              </w:rPr>
            </w:pPr>
          </w:p>
        </w:tc>
        <w:tc>
          <w:tcPr>
            <w:tcW w:w="1125" w:type="pct"/>
          </w:tcPr>
          <w:p w:rsidR="00664E12" w:rsidRPr="00020672" w:rsidRDefault="00664E12">
            <w:pPr>
              <w:pStyle w:val="DecimalAligned"/>
              <w:rPr>
                <w:color w:val="auto"/>
              </w:rPr>
            </w:pPr>
          </w:p>
        </w:tc>
        <w:tc>
          <w:tcPr>
            <w:tcW w:w="912" w:type="pct"/>
          </w:tcPr>
          <w:p w:rsidR="00664E12" w:rsidRPr="00020672" w:rsidRDefault="00664E12">
            <w:pPr>
              <w:pStyle w:val="DecimalAligned"/>
              <w:rPr>
                <w:color w:val="auto"/>
              </w:rPr>
            </w:pPr>
          </w:p>
        </w:tc>
      </w:tr>
    </w:tbl>
    <w:p w:rsidR="00ED7A2D" w:rsidRPr="00E609B9" w:rsidRDefault="00002F36" w:rsidP="006608E9">
      <w:pPr>
        <w:pStyle w:val="Funotentext"/>
        <w:rPr>
          <w:i/>
          <w:lang w:val="en-US"/>
        </w:rPr>
      </w:pPr>
      <w:r w:rsidRPr="00E609B9">
        <w:rPr>
          <w:rStyle w:val="SchwacheHervorhebung"/>
          <w:i w:val="0"/>
          <w:color w:val="auto"/>
          <w:lang w:val="en-US"/>
        </w:rPr>
        <w:t xml:space="preserve">CD, Crohn’s disease; </w:t>
      </w:r>
      <w:r w:rsidR="00E609B9" w:rsidRPr="00E609B9">
        <w:rPr>
          <w:rStyle w:val="SchwacheHervorhebung"/>
          <w:i w:val="0"/>
          <w:color w:val="auto"/>
          <w:lang w:val="en-US"/>
        </w:rPr>
        <w:t>CDAI, Crohn’s disease a</w:t>
      </w:r>
      <w:r w:rsidR="00E609B9">
        <w:rPr>
          <w:rStyle w:val="SchwacheHervorhebung"/>
          <w:i w:val="0"/>
          <w:color w:val="auto"/>
          <w:lang w:val="en-US"/>
        </w:rPr>
        <w:t>ctivity index; CRP, C-reactive p</w:t>
      </w:r>
      <w:r w:rsidR="00E609B9" w:rsidRPr="00E609B9">
        <w:rPr>
          <w:rStyle w:val="SchwacheHervorhebung"/>
          <w:i w:val="0"/>
          <w:color w:val="auto"/>
          <w:lang w:val="en-US"/>
        </w:rPr>
        <w:t>rotein</w:t>
      </w:r>
      <w:r w:rsidR="00E609B9">
        <w:rPr>
          <w:rStyle w:val="SchwacheHervorhebung"/>
          <w:i w:val="0"/>
          <w:color w:val="auto"/>
          <w:lang w:val="en-US"/>
        </w:rPr>
        <w:t>; IQR, interquartile range;</w:t>
      </w:r>
      <w:r w:rsidR="00E609B9" w:rsidRPr="00E609B9">
        <w:rPr>
          <w:rStyle w:val="SchwacheHervorhebung"/>
          <w:i w:val="0"/>
          <w:color w:val="auto"/>
          <w:lang w:val="en-US"/>
        </w:rPr>
        <w:t xml:space="preserve"> </w:t>
      </w:r>
      <w:r w:rsidR="00E609B9">
        <w:rPr>
          <w:rStyle w:val="SchwacheHervorhebung"/>
          <w:i w:val="0"/>
          <w:color w:val="auto"/>
          <w:lang w:val="en-US"/>
        </w:rPr>
        <w:t xml:space="preserve">n, number; </w:t>
      </w:r>
      <w:r w:rsidRPr="00E609B9">
        <w:rPr>
          <w:rStyle w:val="SchwacheHervorhebung"/>
          <w:i w:val="0"/>
          <w:color w:val="auto"/>
          <w:lang w:val="en-US"/>
        </w:rPr>
        <w:t xml:space="preserve">SES-CD, </w:t>
      </w:r>
      <w:r w:rsidR="00E609B9">
        <w:rPr>
          <w:rStyle w:val="SchwacheHervorhebung"/>
          <w:i w:val="0"/>
          <w:color w:val="auto"/>
          <w:lang w:val="en-US"/>
        </w:rPr>
        <w:t>s</w:t>
      </w:r>
      <w:r w:rsidR="00247CE2">
        <w:rPr>
          <w:rStyle w:val="SchwacheHervorhebung"/>
          <w:i w:val="0"/>
          <w:color w:val="auto"/>
          <w:lang w:val="en-US"/>
        </w:rPr>
        <w:t>imple endoscopic s</w:t>
      </w:r>
      <w:r w:rsidRPr="00E609B9">
        <w:rPr>
          <w:rStyle w:val="SchwacheHervorhebung"/>
          <w:i w:val="0"/>
          <w:color w:val="auto"/>
          <w:lang w:val="en-US"/>
        </w:rPr>
        <w:t xml:space="preserve">core for Crohn’s disease; </w:t>
      </w:r>
      <w:r w:rsidR="00E609B9">
        <w:rPr>
          <w:rStyle w:val="SchwacheHervorhebung"/>
          <w:i w:val="0"/>
          <w:color w:val="auto"/>
          <w:lang w:val="en-US"/>
        </w:rPr>
        <w:t>UC, Ulcerative colitis</w:t>
      </w:r>
    </w:p>
    <w:p w:rsidR="00E609B9" w:rsidRPr="00E609B9" w:rsidRDefault="00E609B9">
      <w:pPr>
        <w:pStyle w:val="Funotentext"/>
        <w:rPr>
          <w:i/>
          <w:lang w:val="en-US"/>
        </w:rPr>
      </w:pPr>
    </w:p>
    <w:sectPr w:rsidR="00E609B9" w:rsidRPr="00E609B9" w:rsidSect="002F4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0"/>
    <w:rsid w:val="00002F36"/>
    <w:rsid w:val="00020672"/>
    <w:rsid w:val="000A363D"/>
    <w:rsid w:val="000D718E"/>
    <w:rsid w:val="001239E8"/>
    <w:rsid w:val="00242F0F"/>
    <w:rsid w:val="00247CE2"/>
    <w:rsid w:val="0025396F"/>
    <w:rsid w:val="00284593"/>
    <w:rsid w:val="002B02F5"/>
    <w:rsid w:val="002F4765"/>
    <w:rsid w:val="0034154A"/>
    <w:rsid w:val="003D4142"/>
    <w:rsid w:val="00457369"/>
    <w:rsid w:val="004926D8"/>
    <w:rsid w:val="004A207B"/>
    <w:rsid w:val="00524588"/>
    <w:rsid w:val="005A3BAC"/>
    <w:rsid w:val="006247DA"/>
    <w:rsid w:val="006608E9"/>
    <w:rsid w:val="00664E12"/>
    <w:rsid w:val="006A4961"/>
    <w:rsid w:val="007245B1"/>
    <w:rsid w:val="007449E0"/>
    <w:rsid w:val="00864601"/>
    <w:rsid w:val="00901DE1"/>
    <w:rsid w:val="00907862"/>
    <w:rsid w:val="00957D65"/>
    <w:rsid w:val="009D2372"/>
    <w:rsid w:val="00A5477C"/>
    <w:rsid w:val="00A91279"/>
    <w:rsid w:val="00AE543E"/>
    <w:rsid w:val="00B224DF"/>
    <w:rsid w:val="00B76540"/>
    <w:rsid w:val="00B77BAE"/>
    <w:rsid w:val="00BD6070"/>
    <w:rsid w:val="00CD19EC"/>
    <w:rsid w:val="00E1339A"/>
    <w:rsid w:val="00E5442E"/>
    <w:rsid w:val="00E609B9"/>
    <w:rsid w:val="00ED7A2D"/>
    <w:rsid w:val="00F03DFF"/>
    <w:rsid w:val="00F61F59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390"/>
  <w15:docId w15:val="{B937DA89-2B66-45B6-8670-88982BBD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B76540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76540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0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654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B76540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92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3381-DF79-49C1-B19F-6A84000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Ruhs, Claudia Nicole</dc:creator>
  <cp:lastModifiedBy>Dr. Friederike Cordes</cp:lastModifiedBy>
  <cp:revision>4</cp:revision>
  <dcterms:created xsi:type="dcterms:W3CDTF">2020-03-20T15:08:00Z</dcterms:created>
  <dcterms:modified xsi:type="dcterms:W3CDTF">2020-03-20T15:15:00Z</dcterms:modified>
</cp:coreProperties>
</file>