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76" w:rsidRPr="00022AA0" w:rsidRDefault="00022AA0">
      <w:pPr>
        <w:rPr>
          <w:rFonts w:ascii="Georgia" w:hAnsi="Georgia"/>
          <w:b/>
        </w:rPr>
      </w:pPr>
      <w:r w:rsidRPr="00022AA0">
        <w:rPr>
          <w:rFonts w:ascii="Georgia" w:hAnsi="Georgia"/>
          <w:b/>
        </w:rPr>
        <w:t>Supporting Material</w:t>
      </w:r>
    </w:p>
    <w:p w:rsidR="00022AA0" w:rsidRPr="00022AA0" w:rsidRDefault="00022AA0" w:rsidP="00022AA0">
      <w:pPr>
        <w:spacing w:after="0" w:line="360" w:lineRule="auto"/>
        <w:rPr>
          <w:rFonts w:ascii="Georgia" w:eastAsia="Georgia" w:hAnsi="Georgia" w:cs="Georgia"/>
        </w:rPr>
      </w:pPr>
      <w:r w:rsidRPr="00022AA0">
        <w:rPr>
          <w:rFonts w:ascii="Georgia" w:eastAsia="Georgia" w:hAnsi="Georgia" w:cs="Georgia"/>
        </w:rPr>
        <w:t xml:space="preserve">The incidence rate of pancreatic cancer per 100,000 person-years by sex and age group are presented in </w:t>
      </w:r>
      <w:r w:rsidRPr="00022AA0">
        <w:rPr>
          <w:rFonts w:ascii="Georgia" w:eastAsia="Georgia" w:hAnsi="Georgia" w:cs="Georgia"/>
          <w:b/>
        </w:rPr>
        <w:t xml:space="preserve">Table S1. </w:t>
      </w:r>
      <w:r w:rsidRPr="00022AA0">
        <w:rPr>
          <w:rFonts w:ascii="Georgia" w:eastAsia="Georgia" w:hAnsi="Georgia" w:cs="Georgia"/>
        </w:rPr>
        <w:t xml:space="preserve">The overall incidence rate of pancreatic cancer after 1-year following the first positive pancreas image was 530 per 100,000 person-years, with highest incidence in the </w:t>
      </w:r>
      <w:proofErr w:type="gramStart"/>
      <w:r w:rsidRPr="00022AA0">
        <w:rPr>
          <w:rFonts w:ascii="Georgia" w:eastAsia="Georgia" w:hAnsi="Georgia" w:cs="Georgia"/>
        </w:rPr>
        <w:t>61-70 year</w:t>
      </w:r>
      <w:proofErr w:type="gramEnd"/>
      <w:r w:rsidRPr="00022AA0">
        <w:rPr>
          <w:rFonts w:ascii="Georgia" w:eastAsia="Georgia" w:hAnsi="Georgia" w:cs="Georgia"/>
        </w:rPr>
        <w:t xml:space="preserve"> age category and slightly higher incidence in males vs. females. Of note, incidence of pancreatic cancer increased monotonically with increasing age in the general population, while incidence peaked at 61-70 years among suspected CP patients.  Standardized to age and sex of the non-CP population, the incidence rate of pancreatic cancer in CP patients was 12 times higher (IRR 12, 95%CL 8.8, 16) (</w:t>
      </w:r>
      <w:r w:rsidRPr="00022AA0">
        <w:rPr>
          <w:rFonts w:ascii="Georgia" w:eastAsia="Georgia" w:hAnsi="Georgia" w:cs="Georgia"/>
          <w:b/>
        </w:rPr>
        <w:t>Table S2</w:t>
      </w:r>
      <w:r w:rsidRPr="00022AA0">
        <w:rPr>
          <w:rFonts w:ascii="Georgia" w:eastAsia="Georgia" w:hAnsi="Georgia" w:cs="Georgia"/>
        </w:rPr>
        <w:t xml:space="preserve">). </w:t>
      </w:r>
    </w:p>
    <w:p w:rsidR="00022AA0" w:rsidRDefault="00022AA0">
      <w:pPr>
        <w:rPr>
          <w:rFonts w:ascii="Georgia" w:hAnsi="Georgia"/>
        </w:rPr>
      </w:pPr>
    </w:p>
    <w:p w:rsidR="00022AA0" w:rsidRDefault="00022AA0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331"/>
        <w:gridCol w:w="1065"/>
        <w:gridCol w:w="1089"/>
        <w:gridCol w:w="1745"/>
        <w:gridCol w:w="1952"/>
        <w:gridCol w:w="2215"/>
        <w:gridCol w:w="1523"/>
        <w:gridCol w:w="1128"/>
        <w:gridCol w:w="1226"/>
      </w:tblGrid>
      <w:tr w:rsidR="00022AA0" w:rsidRPr="003E3160" w:rsidTr="009522D4">
        <w:trPr>
          <w:trHeight w:val="300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lastRenderedPageBreak/>
              <w:t xml:space="preserve">Table </w:t>
            </w:r>
            <w:r w:rsidR="007D37CA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S1</w:t>
            </w: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.</w:t>
            </w:r>
            <w:r w:rsidRPr="003E3160">
              <w:rPr>
                <w:rFonts w:ascii="Georgia" w:hAnsi="Georgia"/>
                <w:b/>
                <w:sz w:val="20"/>
                <w:szCs w:val="20"/>
              </w:rPr>
              <w:t xml:space="preserve"> Incidence of pancreatic cancer in </w:t>
            </w:r>
            <w:r>
              <w:rPr>
                <w:rFonts w:ascii="Georgia" w:hAnsi="Georgia"/>
                <w:b/>
                <w:sz w:val="20"/>
                <w:szCs w:val="20"/>
              </w:rPr>
              <w:t>suspected chronic pancreatitis patients</w:t>
            </w:r>
            <w:r w:rsidRPr="003E3160">
              <w:rPr>
                <w:rFonts w:ascii="Georgia" w:hAnsi="Georgia"/>
                <w:b/>
                <w:sz w:val="20"/>
                <w:szCs w:val="20"/>
              </w:rPr>
              <w:t xml:space="preserve"> vs. KPSC reference population during 2006-2016</w:t>
            </w:r>
          </w:p>
        </w:tc>
      </w:tr>
      <w:tr w:rsidR="00022AA0" w:rsidRPr="003E3160" w:rsidTr="009522D4">
        <w:trPr>
          <w:trHeight w:val="197"/>
          <w:jc w:val="center"/>
        </w:trPr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Incidence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Population size (person-years)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Incidence rate (per 100,000 person-years)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9360" w:type="dxa"/>
            <w:gridSpan w:val="10"/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CP and surviving for one year</w:t>
            </w: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≤40</w:t>
            </w:r>
          </w:p>
        </w:tc>
        <w:tc>
          <w:tcPr>
            <w:tcW w:w="86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411.2</w:t>
            </w:r>
          </w:p>
        </w:tc>
        <w:tc>
          <w:tcPr>
            <w:tcW w:w="1269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429.7</w:t>
            </w:r>
          </w:p>
        </w:tc>
        <w:tc>
          <w:tcPr>
            <w:tcW w:w="144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840.9</w:t>
            </w:r>
          </w:p>
        </w:tc>
        <w:tc>
          <w:tcPr>
            <w:tcW w:w="99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41-50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573.4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714.4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1287.8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348.8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419.9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388.3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51-60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811.3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1168.3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1979.6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616.3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513.6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555.7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61-70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903.4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1141.9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2045.3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664.2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700.6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684.5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71-80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891.7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790.8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1682.5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336.4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1011.6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653.8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≥81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keepNext/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keepNext/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keepNext/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408.5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442.8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Times"/>
                <w:color w:val="000000"/>
                <w:sz w:val="20"/>
                <w:szCs w:val="20"/>
              </w:rPr>
              <w:t>851.2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734.4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451.7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587.4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6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2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after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3999.5</w:t>
            </w:r>
          </w:p>
        </w:tc>
        <w:tc>
          <w:tcPr>
            <w:tcW w:w="1269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after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4687.8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/>
                <w:color w:val="000000"/>
                <w:sz w:val="20"/>
                <w:szCs w:val="20"/>
              </w:rPr>
              <w:t>8687.4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475.1</w:t>
            </w:r>
          </w:p>
        </w:tc>
        <w:tc>
          <w:tcPr>
            <w:tcW w:w="7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576.0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529.5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9360" w:type="dxa"/>
            <w:gridSpan w:val="10"/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KPSC cohort (non-CP)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≤40</w:t>
            </w:r>
          </w:p>
        </w:tc>
        <w:tc>
          <w:tcPr>
            <w:tcW w:w="86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2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10,460,922.7</w:t>
            </w:r>
          </w:p>
        </w:tc>
        <w:tc>
          <w:tcPr>
            <w:tcW w:w="1269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10,229,409.6</w:t>
            </w:r>
          </w:p>
        </w:tc>
        <w:tc>
          <w:tcPr>
            <w:tcW w:w="144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20,690,332.3</w:t>
            </w:r>
          </w:p>
        </w:tc>
        <w:tc>
          <w:tcPr>
            <w:tcW w:w="99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3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97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41-50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2,831,851.9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2,652,282.0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5,484,133.9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51-60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2,784,251.3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2,545,114.2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5,329,365.4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20.2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61-70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1,968,210.8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1,727,217.3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3,695,428.2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46.1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71-80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1,038,217.0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893,218.0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1,931,435.0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82.5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≥81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533,503.6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362,657.7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896,161.4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135.7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123.6</w:t>
            </w:r>
          </w:p>
        </w:tc>
      </w:tr>
      <w:tr w:rsidR="00022AA0" w:rsidRPr="003E3160" w:rsidTr="009522D4">
        <w:trPr>
          <w:trHeight w:val="288"/>
          <w:jc w:val="center"/>
        </w:trPr>
        <w:tc>
          <w:tcPr>
            <w:tcW w:w="73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69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5977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19,616,957.5</w:t>
            </w:r>
          </w:p>
        </w:tc>
        <w:tc>
          <w:tcPr>
            <w:tcW w:w="126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18,409,898.8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38,026,856.2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3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9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AA0" w:rsidRPr="003E3160" w:rsidRDefault="00022AA0" w:rsidP="009522D4">
            <w:pPr>
              <w:spacing w:before="100" w:beforeAutospacing="1" w:after="0" w:line="240" w:lineRule="auto"/>
              <w:contextualSpacing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15.7</w:t>
            </w:r>
          </w:p>
        </w:tc>
      </w:tr>
      <w:tr w:rsidR="00022AA0" w:rsidRPr="003E3160" w:rsidTr="009522D4">
        <w:trPr>
          <w:trHeight w:val="300"/>
          <w:jc w:val="center"/>
        </w:trPr>
        <w:tc>
          <w:tcPr>
            <w:tcW w:w="9360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22AA0" w:rsidRPr="003E3160" w:rsidRDefault="00022AA0" w:rsidP="009522D4">
            <w:pPr>
              <w:pStyle w:val="ListParagraph"/>
              <w:spacing w:after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>‡</w:t>
            </w:r>
            <w:r w:rsidRPr="003E316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Incidence of PC since 1-year after onset of CP among those who survived one year and didn’t developed PC. Age was calculated as of 1-year after onset of CP (N=1,766)</w:t>
            </w:r>
          </w:p>
        </w:tc>
      </w:tr>
    </w:tbl>
    <w:p w:rsidR="00022AA0" w:rsidRDefault="00022AA0">
      <w:pPr>
        <w:rPr>
          <w:rFonts w:ascii="Georgia" w:hAnsi="Georgia"/>
        </w:rPr>
      </w:pPr>
    </w:p>
    <w:p w:rsidR="00022AA0" w:rsidRDefault="00022AA0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629"/>
        <w:gridCol w:w="2356"/>
        <w:gridCol w:w="2215"/>
        <w:gridCol w:w="2629"/>
      </w:tblGrid>
      <w:tr w:rsidR="00022AA0" w:rsidRPr="003E3160" w:rsidTr="009522D4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22AA0" w:rsidRPr="003E3160" w:rsidRDefault="00022AA0" w:rsidP="009522D4">
            <w:pPr>
              <w:pStyle w:val="ListParagraph"/>
              <w:ind w:left="0"/>
              <w:rPr>
                <w:rFonts w:ascii="Georgia" w:hAnsi="Georgia"/>
                <w:b/>
                <w:sz w:val="20"/>
                <w:szCs w:val="20"/>
              </w:rPr>
            </w:pPr>
            <w:r w:rsidRPr="003E3160">
              <w:rPr>
                <w:rFonts w:ascii="Georgia" w:hAnsi="Georgia"/>
                <w:b/>
                <w:sz w:val="20"/>
                <w:szCs w:val="20"/>
              </w:rPr>
              <w:lastRenderedPageBreak/>
              <w:t xml:space="preserve">Table </w:t>
            </w:r>
            <w:r w:rsidR="007D37CA">
              <w:rPr>
                <w:rFonts w:ascii="Georgia" w:hAnsi="Georgia"/>
                <w:b/>
                <w:sz w:val="20"/>
                <w:szCs w:val="20"/>
              </w:rPr>
              <w:t>S2</w:t>
            </w:r>
            <w:r w:rsidRPr="003E3160">
              <w:rPr>
                <w:rFonts w:ascii="Georgia" w:hAnsi="Georgia"/>
                <w:b/>
                <w:sz w:val="20"/>
                <w:szCs w:val="20"/>
              </w:rPr>
              <w:t xml:space="preserve">. Age and </w:t>
            </w:r>
            <w:r>
              <w:rPr>
                <w:rFonts w:ascii="Georgia" w:hAnsi="Georgia"/>
                <w:b/>
                <w:sz w:val="20"/>
                <w:szCs w:val="20"/>
              </w:rPr>
              <w:t>sex-standardized</w:t>
            </w:r>
            <w:r w:rsidRPr="003E316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i</w:t>
            </w:r>
            <w:r w:rsidRPr="003E3160">
              <w:rPr>
                <w:rFonts w:ascii="Georgia" w:hAnsi="Georgia"/>
                <w:b/>
                <w:sz w:val="20"/>
                <w:szCs w:val="20"/>
              </w:rPr>
              <w:t xml:space="preserve">ncidence </w:t>
            </w:r>
            <w:r>
              <w:rPr>
                <w:rFonts w:ascii="Georgia" w:hAnsi="Georgia"/>
                <w:b/>
                <w:sz w:val="20"/>
                <w:szCs w:val="20"/>
              </w:rPr>
              <w:t>r</w:t>
            </w:r>
            <w:r w:rsidRPr="003E3160">
              <w:rPr>
                <w:rFonts w:ascii="Georgia" w:hAnsi="Georgia"/>
                <w:b/>
                <w:sz w:val="20"/>
                <w:szCs w:val="20"/>
              </w:rPr>
              <w:t xml:space="preserve">ate </w:t>
            </w:r>
            <w:r>
              <w:rPr>
                <w:rFonts w:ascii="Georgia" w:hAnsi="Georgia"/>
                <w:b/>
                <w:sz w:val="20"/>
                <w:szCs w:val="20"/>
              </w:rPr>
              <w:t>r</w:t>
            </w:r>
            <w:r w:rsidRPr="003E3160">
              <w:rPr>
                <w:rFonts w:ascii="Georgia" w:hAnsi="Georgia"/>
                <w:b/>
                <w:sz w:val="20"/>
                <w:szCs w:val="20"/>
              </w:rPr>
              <w:t>atio (IRR) of pancreatic cancer* for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a cohort of</w:t>
            </w:r>
            <w:r w:rsidRPr="003E316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suspected chronic pancreatitis patients</w:t>
            </w:r>
            <w:r w:rsidRPr="003E3160">
              <w:rPr>
                <w:rFonts w:ascii="Georgia" w:hAnsi="Georgia"/>
                <w:b/>
                <w:sz w:val="20"/>
                <w:szCs w:val="20"/>
              </w:rPr>
              <w:t xml:space="preserve"> vs. general population</w:t>
            </w:r>
          </w:p>
        </w:tc>
      </w:tr>
      <w:tr w:rsidR="00022AA0" w:rsidRPr="003E3160" w:rsidTr="009522D4">
        <w:tc>
          <w:tcPr>
            <w:tcW w:w="1587" w:type="pct"/>
            <w:tcBorders>
              <w:top w:val="single" w:sz="4" w:space="0" w:color="auto"/>
              <w:bottom w:val="nil"/>
            </w:tcBorders>
          </w:tcPr>
          <w:p w:rsidR="00022AA0" w:rsidRPr="003E3160" w:rsidRDefault="00022AA0" w:rsidP="009522D4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3160">
              <w:rPr>
                <w:rFonts w:ascii="Georgia" w:hAnsi="Georgia"/>
                <w:b/>
                <w:sz w:val="20"/>
                <w:szCs w:val="20"/>
              </w:rPr>
              <w:t>Pancreatic cancer</w:t>
            </w:r>
          </w:p>
        </w:tc>
      </w:tr>
      <w:tr w:rsidR="00022AA0" w:rsidRPr="003E3160" w:rsidTr="009522D4">
        <w:tc>
          <w:tcPr>
            <w:tcW w:w="1587" w:type="pct"/>
            <w:tcBorders>
              <w:top w:val="nil"/>
              <w:bottom w:val="single" w:sz="4" w:space="0" w:color="auto"/>
            </w:tcBorders>
          </w:tcPr>
          <w:p w:rsidR="00022AA0" w:rsidRPr="003E3160" w:rsidRDefault="00022AA0" w:rsidP="009522D4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3160">
              <w:rPr>
                <w:rFonts w:ascii="Georgia" w:hAnsi="Georgia"/>
                <w:b/>
                <w:sz w:val="20"/>
                <w:szCs w:val="20"/>
              </w:rPr>
              <w:t>IRR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3160">
              <w:rPr>
                <w:rFonts w:ascii="Georgia" w:hAnsi="Georgia" w:cs="Times"/>
                <w:b/>
                <w:bCs/>
                <w:color w:val="000000"/>
                <w:sz w:val="20"/>
                <w:szCs w:val="20"/>
              </w:rPr>
              <w:t>95% Confidence Limits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3160">
              <w:rPr>
                <w:rFonts w:ascii="Georgia" w:hAnsi="Georgia"/>
                <w:b/>
                <w:sz w:val="20"/>
                <w:szCs w:val="20"/>
              </w:rPr>
              <w:t>P-value</w:t>
            </w:r>
          </w:p>
        </w:tc>
      </w:tr>
      <w:tr w:rsidR="00022AA0" w:rsidRPr="003E3160" w:rsidTr="009522D4">
        <w:tc>
          <w:tcPr>
            <w:tcW w:w="1587" w:type="pct"/>
            <w:tcBorders>
              <w:top w:val="single" w:sz="4" w:space="0" w:color="auto"/>
            </w:tcBorders>
          </w:tcPr>
          <w:p w:rsidR="00022AA0" w:rsidRPr="003E3160" w:rsidRDefault="00022AA0" w:rsidP="009522D4">
            <w:pPr>
              <w:pStyle w:val="ListParagraph"/>
              <w:ind w:left="0"/>
              <w:rPr>
                <w:rFonts w:ascii="Georgia" w:hAnsi="Georgia"/>
                <w:b/>
                <w:sz w:val="20"/>
                <w:szCs w:val="20"/>
              </w:rPr>
            </w:pPr>
            <w:r w:rsidRPr="003E3160">
              <w:rPr>
                <w:rFonts w:ascii="Georgia" w:hAnsi="Georgia"/>
                <w:b/>
                <w:sz w:val="20"/>
                <w:szCs w:val="20"/>
              </w:rPr>
              <w:t>CP vs. general population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  <w:highlight w:val="yellow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818" w:type="pct"/>
            <w:tcBorders>
              <w:top w:val="single" w:sz="4" w:space="0" w:color="auto"/>
            </w:tcBorders>
            <w:vAlign w:val="center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  <w:highlight w:val="yellow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  <w:highlight w:val="yellow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3E3160">
              <w:rPr>
                <w:rFonts w:ascii="Georgia" w:hAnsi="Georgia"/>
                <w:sz w:val="20"/>
                <w:szCs w:val="20"/>
              </w:rPr>
              <w:t>&lt;0.001</w:t>
            </w:r>
          </w:p>
        </w:tc>
      </w:tr>
      <w:tr w:rsidR="00022AA0" w:rsidRPr="003E3160" w:rsidTr="009522D4">
        <w:tc>
          <w:tcPr>
            <w:tcW w:w="1587" w:type="pct"/>
          </w:tcPr>
          <w:p w:rsidR="00022AA0" w:rsidRPr="003E3160" w:rsidRDefault="00022AA0" w:rsidP="009522D4">
            <w:pPr>
              <w:pStyle w:val="ListParagraph"/>
              <w:ind w:left="0"/>
              <w:rPr>
                <w:rFonts w:ascii="Georgia" w:hAnsi="Georgia"/>
                <w:b/>
                <w:sz w:val="20"/>
                <w:szCs w:val="20"/>
              </w:rPr>
            </w:pPr>
            <w:r w:rsidRPr="003E3160">
              <w:rPr>
                <w:rFonts w:ascii="Georgia" w:hAnsi="Georgia"/>
                <w:b/>
                <w:sz w:val="20"/>
                <w:szCs w:val="20"/>
              </w:rPr>
              <w:t>Age (Ref=40 or younger)</w:t>
            </w:r>
          </w:p>
        </w:tc>
        <w:tc>
          <w:tcPr>
            <w:tcW w:w="913" w:type="pct"/>
            <w:vAlign w:val="center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3E3160">
              <w:rPr>
                <w:rFonts w:ascii="Georgia" w:hAnsi="Georgia"/>
                <w:sz w:val="20"/>
                <w:szCs w:val="20"/>
              </w:rPr>
              <w:t>&lt;0.001</w:t>
            </w:r>
          </w:p>
        </w:tc>
      </w:tr>
      <w:tr w:rsidR="00022AA0" w:rsidRPr="003E3160" w:rsidTr="009522D4">
        <w:tc>
          <w:tcPr>
            <w:tcW w:w="1587" w:type="pct"/>
            <w:vAlign w:val="center"/>
          </w:tcPr>
          <w:p w:rsidR="00022AA0" w:rsidRPr="003E3160" w:rsidRDefault="00022AA0" w:rsidP="009522D4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 41-50</w:t>
            </w:r>
            <w:bookmarkStart w:id="0" w:name="_GoBack"/>
            <w:bookmarkEnd w:id="0"/>
          </w:p>
        </w:tc>
        <w:tc>
          <w:tcPr>
            <w:tcW w:w="913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28.21</w:t>
            </w:r>
          </w:p>
        </w:tc>
        <w:tc>
          <w:tcPr>
            <w:tcW w:w="818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20.73</w:t>
            </w:r>
          </w:p>
        </w:tc>
        <w:tc>
          <w:tcPr>
            <w:tcW w:w="769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38.37</w:t>
            </w:r>
          </w:p>
        </w:tc>
        <w:tc>
          <w:tcPr>
            <w:tcW w:w="913" w:type="pct"/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3E3160">
              <w:rPr>
                <w:rFonts w:ascii="Georgia" w:hAnsi="Georgia"/>
                <w:sz w:val="20"/>
                <w:szCs w:val="20"/>
              </w:rPr>
              <w:t>&lt;0.001</w:t>
            </w:r>
          </w:p>
        </w:tc>
      </w:tr>
      <w:tr w:rsidR="00022AA0" w:rsidRPr="003E3160" w:rsidTr="009522D4">
        <w:tc>
          <w:tcPr>
            <w:tcW w:w="1587" w:type="pct"/>
            <w:vAlign w:val="center"/>
          </w:tcPr>
          <w:p w:rsidR="00022AA0" w:rsidRPr="003E3160" w:rsidRDefault="00022AA0" w:rsidP="009522D4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 51-60</w:t>
            </w:r>
          </w:p>
        </w:tc>
        <w:tc>
          <w:tcPr>
            <w:tcW w:w="913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91.83</w:t>
            </w:r>
          </w:p>
        </w:tc>
        <w:tc>
          <w:tcPr>
            <w:tcW w:w="818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68.37</w:t>
            </w:r>
          </w:p>
        </w:tc>
        <w:tc>
          <w:tcPr>
            <w:tcW w:w="769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123.35</w:t>
            </w:r>
          </w:p>
        </w:tc>
        <w:tc>
          <w:tcPr>
            <w:tcW w:w="913" w:type="pct"/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3E3160">
              <w:rPr>
                <w:rFonts w:ascii="Georgia" w:hAnsi="Georgia"/>
                <w:sz w:val="20"/>
                <w:szCs w:val="20"/>
              </w:rPr>
              <w:t>&lt;0.001</w:t>
            </w:r>
          </w:p>
        </w:tc>
      </w:tr>
      <w:tr w:rsidR="00022AA0" w:rsidRPr="003E3160" w:rsidTr="009522D4">
        <w:tc>
          <w:tcPr>
            <w:tcW w:w="1587" w:type="pct"/>
            <w:vAlign w:val="center"/>
          </w:tcPr>
          <w:p w:rsidR="00022AA0" w:rsidRPr="003E3160" w:rsidRDefault="00022AA0" w:rsidP="009522D4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 61-70</w:t>
            </w:r>
          </w:p>
        </w:tc>
        <w:tc>
          <w:tcPr>
            <w:tcW w:w="913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208.74</w:t>
            </w:r>
          </w:p>
        </w:tc>
        <w:tc>
          <w:tcPr>
            <w:tcW w:w="818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155.76</w:t>
            </w:r>
          </w:p>
        </w:tc>
        <w:tc>
          <w:tcPr>
            <w:tcW w:w="769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279.78</w:t>
            </w:r>
          </w:p>
        </w:tc>
        <w:tc>
          <w:tcPr>
            <w:tcW w:w="913" w:type="pct"/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3E3160">
              <w:rPr>
                <w:rFonts w:ascii="Georgia" w:hAnsi="Georgia"/>
                <w:sz w:val="20"/>
                <w:szCs w:val="20"/>
              </w:rPr>
              <w:t>&lt;0.001</w:t>
            </w:r>
          </w:p>
        </w:tc>
      </w:tr>
      <w:tr w:rsidR="00022AA0" w:rsidRPr="003E3160" w:rsidTr="009522D4">
        <w:tc>
          <w:tcPr>
            <w:tcW w:w="1587" w:type="pct"/>
            <w:vAlign w:val="center"/>
          </w:tcPr>
          <w:p w:rsidR="00022AA0" w:rsidRPr="003E3160" w:rsidRDefault="00022AA0" w:rsidP="009522D4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 71-80</w:t>
            </w:r>
          </w:p>
        </w:tc>
        <w:tc>
          <w:tcPr>
            <w:tcW w:w="913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372.34</w:t>
            </w:r>
          </w:p>
        </w:tc>
        <w:tc>
          <w:tcPr>
            <w:tcW w:w="818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277.74</w:t>
            </w:r>
          </w:p>
        </w:tc>
        <w:tc>
          <w:tcPr>
            <w:tcW w:w="769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499.15</w:t>
            </w:r>
          </w:p>
        </w:tc>
        <w:tc>
          <w:tcPr>
            <w:tcW w:w="913" w:type="pct"/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3E3160">
              <w:rPr>
                <w:rFonts w:ascii="Georgia" w:hAnsi="Georgia"/>
                <w:sz w:val="20"/>
                <w:szCs w:val="20"/>
              </w:rPr>
              <w:t>&lt;0.001</w:t>
            </w:r>
          </w:p>
        </w:tc>
      </w:tr>
      <w:tr w:rsidR="00022AA0" w:rsidRPr="003E3160" w:rsidTr="009522D4">
        <w:tc>
          <w:tcPr>
            <w:tcW w:w="1587" w:type="pct"/>
            <w:vAlign w:val="center"/>
          </w:tcPr>
          <w:p w:rsidR="00022AA0" w:rsidRPr="003E3160" w:rsidRDefault="00022AA0" w:rsidP="009522D4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 &gt;=81</w:t>
            </w:r>
          </w:p>
        </w:tc>
        <w:tc>
          <w:tcPr>
            <w:tcW w:w="913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561.89</w:t>
            </w:r>
          </w:p>
        </w:tc>
        <w:tc>
          <w:tcPr>
            <w:tcW w:w="818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418.34</w:t>
            </w:r>
          </w:p>
        </w:tc>
        <w:tc>
          <w:tcPr>
            <w:tcW w:w="769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754.61</w:t>
            </w:r>
          </w:p>
        </w:tc>
        <w:tc>
          <w:tcPr>
            <w:tcW w:w="913" w:type="pct"/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3E3160">
              <w:rPr>
                <w:rFonts w:ascii="Georgia" w:hAnsi="Georgia"/>
                <w:sz w:val="20"/>
                <w:szCs w:val="20"/>
              </w:rPr>
              <w:t>&lt;0.001</w:t>
            </w:r>
          </w:p>
        </w:tc>
      </w:tr>
      <w:tr w:rsidR="00022AA0" w:rsidRPr="003E3160" w:rsidTr="009522D4">
        <w:tc>
          <w:tcPr>
            <w:tcW w:w="1587" w:type="pct"/>
            <w:vAlign w:val="center"/>
          </w:tcPr>
          <w:p w:rsidR="00022AA0" w:rsidRPr="003E3160" w:rsidRDefault="00022AA0" w:rsidP="009522D4">
            <w:pPr>
              <w:rPr>
                <w:rFonts w:ascii="Georgia" w:hAnsi="Georgia" w:cs="Arial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000000"/>
                <w:sz w:val="20"/>
                <w:szCs w:val="20"/>
              </w:rPr>
              <w:t>Sex</w:t>
            </w:r>
            <w:r w:rsidRPr="003E3160">
              <w:rPr>
                <w:rFonts w:ascii="Georgia" w:hAnsi="Georgia" w:cs="Arial"/>
                <w:b/>
                <w:color w:val="000000"/>
                <w:sz w:val="20"/>
                <w:szCs w:val="20"/>
              </w:rPr>
              <w:t xml:space="preserve"> (male vs. female)</w:t>
            </w:r>
          </w:p>
        </w:tc>
        <w:tc>
          <w:tcPr>
            <w:tcW w:w="913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18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69" w:type="pct"/>
            <w:vAlign w:val="bottom"/>
          </w:tcPr>
          <w:p w:rsidR="00022AA0" w:rsidRPr="003E3160" w:rsidRDefault="00022AA0" w:rsidP="009522D4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3E3160">
              <w:rPr>
                <w:rFonts w:ascii="Georgia" w:hAnsi="Georgia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13" w:type="pct"/>
            <w:vAlign w:val="center"/>
          </w:tcPr>
          <w:p w:rsidR="00022AA0" w:rsidRPr="003E3160" w:rsidRDefault="00022AA0" w:rsidP="009522D4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3E3160">
              <w:rPr>
                <w:rFonts w:ascii="Georgia" w:hAnsi="Georgia"/>
                <w:sz w:val="20"/>
                <w:szCs w:val="20"/>
              </w:rPr>
              <w:t>&lt;0.001</w:t>
            </w:r>
          </w:p>
        </w:tc>
      </w:tr>
    </w:tbl>
    <w:p w:rsidR="00022AA0" w:rsidRPr="003E3160" w:rsidRDefault="00022AA0" w:rsidP="00022AA0">
      <w:pPr>
        <w:rPr>
          <w:rFonts w:ascii="Georgia" w:hAnsi="Georgia"/>
          <w:sz w:val="20"/>
          <w:szCs w:val="20"/>
        </w:rPr>
      </w:pPr>
      <w:r w:rsidRPr="003E3160">
        <w:rPr>
          <w:rFonts w:ascii="Georgia" w:hAnsi="Georgia"/>
          <w:b/>
          <w:sz w:val="20"/>
          <w:szCs w:val="20"/>
        </w:rPr>
        <w:t xml:space="preserve">* </w:t>
      </w:r>
      <w:r w:rsidRPr="003E3160">
        <w:rPr>
          <w:rFonts w:ascii="Georgia" w:hAnsi="Georgia"/>
          <w:sz w:val="20"/>
          <w:szCs w:val="20"/>
        </w:rPr>
        <w:t xml:space="preserve">Pancreatic cancer </w:t>
      </w:r>
      <w:r w:rsidRPr="00062992">
        <w:rPr>
          <w:rFonts w:ascii="Georgia" w:hAnsi="Georgia"/>
          <w:sz w:val="20"/>
          <w:szCs w:val="20"/>
        </w:rPr>
        <w:t xml:space="preserve">after 1 year of abnormal pancreas imaging in suspected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chronic pancreatitis</w:t>
      </w:r>
      <w:r w:rsidRPr="003E3160">
        <w:rPr>
          <w:rFonts w:ascii="Georgia" w:eastAsia="Times New Roman" w:hAnsi="Georgia" w:cs="Times New Roman"/>
          <w:color w:val="000000"/>
          <w:sz w:val="20"/>
          <w:szCs w:val="20"/>
        </w:rPr>
        <w:t xml:space="preserve"> among those who survived one year and didn’t developed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pancreatic cancer</w:t>
      </w:r>
      <w:r w:rsidRPr="003E3160">
        <w:rPr>
          <w:rFonts w:ascii="Georgia" w:eastAsia="Times New Roman" w:hAnsi="Georgia" w:cs="Times New Roman"/>
          <w:color w:val="000000"/>
          <w:sz w:val="20"/>
          <w:szCs w:val="20"/>
        </w:rPr>
        <w:t>. Age was calculated as of 1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3E3160">
        <w:rPr>
          <w:rFonts w:ascii="Georgia" w:eastAsia="Times New Roman" w:hAnsi="Georgia" w:cs="Times New Roman"/>
          <w:color w:val="000000"/>
          <w:sz w:val="20"/>
          <w:szCs w:val="20"/>
        </w:rPr>
        <w:t xml:space="preserve">year after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abnormal pancreas imaging in suspected chronic pancreatitis patients.</w:t>
      </w:r>
    </w:p>
    <w:p w:rsidR="00022AA0" w:rsidRPr="00022AA0" w:rsidRDefault="00022AA0">
      <w:pPr>
        <w:rPr>
          <w:rFonts w:ascii="Georgia" w:hAnsi="Georgia"/>
        </w:rPr>
      </w:pPr>
    </w:p>
    <w:sectPr w:rsidR="00022AA0" w:rsidRPr="00022AA0" w:rsidSect="00022A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A0"/>
    <w:rsid w:val="00022AA0"/>
    <w:rsid w:val="007D37CA"/>
    <w:rsid w:val="009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5A11"/>
  <w15:chartTrackingRefBased/>
  <w15:docId w15:val="{ED6CB8A4-D5A0-40DB-971F-CAD27ED4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A0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39"/>
    <w:rsid w:val="00022AA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Jeon, Christie Y</dc:creator>
  <cp:keywords/>
  <dc:description/>
  <cp:lastModifiedBy>Jeon, Christie Y</cp:lastModifiedBy>
  <cp:revision>2</cp:revision>
  <dcterms:created xsi:type="dcterms:W3CDTF">2020-01-29T18:55:00Z</dcterms:created>
  <dcterms:modified xsi:type="dcterms:W3CDTF">2020-01-29T19:03:00Z</dcterms:modified>
</cp:coreProperties>
</file>