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89" w:rsidRPr="008C68F3" w:rsidRDefault="00756889" w:rsidP="00756889">
      <w:pPr>
        <w:pStyle w:val="Caption"/>
        <w:keepNext/>
        <w:jc w:val="both"/>
        <w:rPr>
          <w:lang w:val="en-US"/>
        </w:rPr>
      </w:pPr>
      <w:proofErr w:type="gramStart"/>
      <w:r w:rsidRPr="008C68F3">
        <w:rPr>
          <w:b/>
          <w:bCs/>
          <w:lang w:val="en-US"/>
        </w:rPr>
        <w:t>Table S2_</w:t>
      </w:r>
      <w:r w:rsidRPr="008C68F3">
        <w:rPr>
          <w:rFonts w:cstheme="minorHAnsi"/>
          <w:b/>
          <w:bCs/>
          <w:lang w:val="en-US"/>
        </w:rPr>
        <w:t xml:space="preserve"> </w:t>
      </w:r>
      <w:r w:rsidRPr="008C68F3">
        <w:rPr>
          <w:rFonts w:cstheme="minorHAnsi"/>
          <w:lang w:val="en-US"/>
        </w:rPr>
        <w:t>Characterization of the UC discovery cohort (from Portugal) and validation cohort (from Belgium), alone and in combination, in terms of clinical and pathological parameters.</w:t>
      </w:r>
      <w:proofErr w:type="gramEnd"/>
      <w:r w:rsidRPr="008C68F3">
        <w:rPr>
          <w:rFonts w:cstheme="minorHAnsi"/>
          <w:lang w:val="en-US"/>
        </w:rPr>
        <w:t xml:space="preserve"> </w:t>
      </w:r>
      <w:proofErr w:type="gramStart"/>
      <w:r w:rsidRPr="008C68F3">
        <w:rPr>
          <w:rFonts w:cstheme="minorHAnsi"/>
          <w:lang w:val="en-US"/>
        </w:rPr>
        <w:t>Minor allele frequencies for each SNP in the different cohorts.</w:t>
      </w:r>
      <w:proofErr w:type="gramEnd"/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134"/>
        <w:gridCol w:w="1134"/>
        <w:gridCol w:w="1134"/>
        <w:gridCol w:w="1134"/>
        <w:gridCol w:w="993"/>
      </w:tblGrid>
      <w:tr w:rsidR="00756889" w:rsidRPr="008C68F3" w:rsidTr="00F55B1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dotDotDash" w:sz="4" w:space="0" w:color="000000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  <w:t>Discovery Cohort (N= 432)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  <w:t>Validation Cohort (N= 499)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  <w:t>Combined Cohort (N=931)</w:t>
            </w:r>
          </w:p>
        </w:tc>
      </w:tr>
      <w:tr w:rsidR="00756889" w:rsidRPr="008C68F3" w:rsidTr="00F55B18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Median [IQR]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Median [IQR]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Median [IQR]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Years old at diagnostic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35 [26-46]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33 [24-43]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34 [25-45]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Years of follow 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12 [6-17]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21 [16-28]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17 [11-25]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Gender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241 (55.8)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217 (43.5)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458 (49.2)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191 (44.2)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282 (56.5)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473 (50.8)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Missing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 (0.0)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Family History*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389 (90.0)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469 (94.0)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858 (92.2)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14 (3.2)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30 (6.0)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44 (4.7)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Missing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29 (6.7)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29 (3.1)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Disease extent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Proctitis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155 (35.9)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44 (8.8)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199 (21.4)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Left-sided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129 (29.9)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157 (31.5)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286 (30.7)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Pancolitis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144 (33.3)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262 (52.5)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406 (43.6)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Missing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 (0.9)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36 (7.2)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40 (4.3)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Surgery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403 (93.3)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333 (66.7)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736 (79.1)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25 (5.8)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161 (32.3)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186 (20.0)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Missing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 (0.9)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5 (1.0)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9 (1.0)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Need for biologics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354 (81.9)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334 (66.9)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688 (73.9)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73 (16.9)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165 (33.1)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238 (25.6)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Missing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5 (1.2)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5 (0.5)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Prognosis**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Good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407 (94.2)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449 (90.0)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856 (91.9)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Bad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22 (5.1)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35 (7.0)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57 (6.1)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-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Missing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3 (0.7)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15 (3.0)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18 (1.9)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SNPs (alleles)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Minor allele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DotDash" w:sz="4" w:space="0" w:color="000000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MAF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DotDash" w:sz="4" w:space="0" w:color="000000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MAF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MAF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rs1257220 (G/A)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dotDotDash" w:sz="4" w:space="0" w:color="000000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0.282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dotDotDash" w:sz="4" w:space="0" w:color="000000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0.278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0.280</w:t>
            </w:r>
          </w:p>
        </w:tc>
      </w:tr>
      <w:tr w:rsidR="00756889" w:rsidRPr="008C68F3" w:rsidTr="00F55B18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rs3814022 (C/G)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0.285</w:t>
            </w:r>
          </w:p>
        </w:tc>
      </w:tr>
      <w:tr w:rsidR="00756889" w:rsidRPr="008C68F3" w:rsidTr="00F55B1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rs4953911 (A/T)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dotDotDash" w:sz="4" w:space="0" w:color="000000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dotDotDash" w:sz="4" w:space="0" w:color="000000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889" w:rsidRPr="008C68F3" w:rsidRDefault="00756889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0.316</w:t>
            </w:r>
          </w:p>
        </w:tc>
      </w:tr>
    </w:tbl>
    <w:p w:rsidR="00756889" w:rsidRPr="008C68F3" w:rsidRDefault="00756889" w:rsidP="00756889">
      <w:pPr>
        <w:pStyle w:val="Caption"/>
        <w:jc w:val="both"/>
        <w:rPr>
          <w:lang w:val="en-US"/>
        </w:rPr>
      </w:pPr>
      <w:r w:rsidRPr="008C68F3">
        <w:rPr>
          <w:b/>
          <w:lang w:val="en-US"/>
        </w:rPr>
        <w:t>IQR -</w:t>
      </w:r>
      <w:r w:rsidRPr="008C68F3">
        <w:rPr>
          <w:bCs/>
          <w:lang w:val="en-US"/>
        </w:rPr>
        <w:t xml:space="preserve"> interquartile range; </w:t>
      </w:r>
      <w:r w:rsidRPr="008C68F3">
        <w:rPr>
          <w:b/>
          <w:lang w:val="en-US"/>
        </w:rPr>
        <w:t>*</w:t>
      </w:r>
      <w:r w:rsidRPr="008C68F3">
        <w:rPr>
          <w:rFonts w:cstheme="minorHAnsi"/>
          <w:b/>
          <w:lang w:val="en-US"/>
        </w:rPr>
        <w:t>Family history</w:t>
      </w:r>
      <w:r w:rsidRPr="008C68F3">
        <w:rPr>
          <w:rFonts w:cstheme="minorHAnsi"/>
          <w:bCs/>
          <w:lang w:val="en-US"/>
        </w:rPr>
        <w:t xml:space="preserve"> was considered the presence of at least one first degree relatives with IBD;  </w:t>
      </w:r>
      <w:r w:rsidRPr="008C68F3">
        <w:rPr>
          <w:rFonts w:cstheme="minorHAnsi"/>
          <w:b/>
          <w:lang w:val="en-US"/>
        </w:rPr>
        <w:t>**Prognosis</w:t>
      </w:r>
      <w:r w:rsidRPr="008C68F3">
        <w:rPr>
          <w:rFonts w:cstheme="minorHAnsi"/>
          <w:bCs/>
          <w:lang w:val="en-US"/>
        </w:rPr>
        <w:t xml:space="preserve"> was defined as the need of biologics within the first 2 years after diagnosis, in which patients that needed biologics in up to 2 years after diagnosis were classified as displaying a bad prognosis; </w:t>
      </w:r>
      <w:r w:rsidRPr="008C68F3">
        <w:rPr>
          <w:rFonts w:cstheme="minorHAnsi"/>
          <w:b/>
          <w:lang w:val="en-US"/>
        </w:rPr>
        <w:t>MAF –</w:t>
      </w:r>
      <w:r w:rsidRPr="008C68F3">
        <w:rPr>
          <w:rFonts w:cstheme="minorHAnsi"/>
          <w:lang w:val="en-US"/>
        </w:rPr>
        <w:t xml:space="preserve"> Minor frequency allele.</w:t>
      </w:r>
    </w:p>
    <w:p w:rsidR="00756889" w:rsidRPr="008C68F3" w:rsidRDefault="00756889" w:rsidP="00756889">
      <w:pPr>
        <w:jc w:val="both"/>
        <w:rPr>
          <w:rFonts w:cstheme="minorHAnsi"/>
          <w:sz w:val="18"/>
          <w:szCs w:val="18"/>
          <w:lang w:val="en-US"/>
        </w:rPr>
      </w:pPr>
    </w:p>
    <w:p w:rsidR="0004248A" w:rsidRDefault="0004248A">
      <w:bookmarkStart w:id="0" w:name="_GoBack"/>
      <w:bookmarkEnd w:id="0"/>
    </w:p>
    <w:sectPr w:rsidR="0004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89"/>
    <w:rsid w:val="0004248A"/>
    <w:rsid w:val="007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89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6889"/>
    <w:pPr>
      <w:spacing w:after="200" w:line="240" w:lineRule="auto"/>
    </w:pPr>
    <w:rPr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89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6889"/>
    <w:pPr>
      <w:spacing w:after="200" w:line="240" w:lineRule="auto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2020-03-19T14:23:00Z</dcterms:created>
  <dcterms:modified xsi:type="dcterms:W3CDTF">2020-03-19T14:23:00Z</dcterms:modified>
</cp:coreProperties>
</file>