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7F8" w:rsidRPr="00F81202" w:rsidRDefault="007057F8" w:rsidP="00F81202">
      <w:pPr>
        <w:pStyle w:val="Heading1"/>
        <w:jc w:val="center"/>
        <w:rPr>
          <w:b/>
          <w:sz w:val="40"/>
          <w:szCs w:val="40"/>
        </w:rPr>
      </w:pPr>
      <w:r w:rsidRPr="00F81202">
        <w:rPr>
          <w:b/>
          <w:sz w:val="40"/>
          <w:szCs w:val="40"/>
        </w:rPr>
        <w:t>Supplementary section</w:t>
      </w:r>
    </w:p>
    <w:p w:rsidR="00F81202" w:rsidRDefault="00F81202" w:rsidP="00F81202"/>
    <w:p w:rsidR="00F81202" w:rsidRPr="004E1455" w:rsidRDefault="00F81202" w:rsidP="00F81202">
      <w:pPr>
        <w:pStyle w:val="Heading1"/>
        <w:spacing w:line="480" w:lineRule="auto"/>
        <w:jc w:val="center"/>
        <w:rPr>
          <w:rFonts w:ascii="Times New Roman" w:hAnsi="Times New Roman" w:cs="Times New Roman"/>
          <w:sz w:val="28"/>
          <w:szCs w:val="28"/>
        </w:rPr>
      </w:pPr>
      <w:r w:rsidRPr="004E1455">
        <w:rPr>
          <w:rFonts w:ascii="Times New Roman" w:hAnsi="Times New Roman" w:cs="Times New Roman"/>
          <w:sz w:val="28"/>
          <w:szCs w:val="28"/>
        </w:rPr>
        <w:t>Gastric microbiota in a low-</w:t>
      </w:r>
      <w:r w:rsidRPr="004E1455">
        <w:rPr>
          <w:rFonts w:ascii="Times New Roman" w:hAnsi="Times New Roman" w:cs="Times New Roman"/>
          <w:i/>
          <w:sz w:val="28"/>
          <w:szCs w:val="28"/>
        </w:rPr>
        <w:t>Helicobacter pylori</w:t>
      </w:r>
      <w:r w:rsidRPr="004E1455">
        <w:rPr>
          <w:rFonts w:ascii="Times New Roman" w:hAnsi="Times New Roman" w:cs="Times New Roman"/>
          <w:sz w:val="28"/>
          <w:szCs w:val="28"/>
        </w:rPr>
        <w:t xml:space="preserve"> prevalence general population and their associations with gastric lesions</w:t>
      </w:r>
    </w:p>
    <w:p w:rsidR="00F81202" w:rsidRPr="00F81202" w:rsidRDefault="00F81202" w:rsidP="00F81202"/>
    <w:p w:rsidR="007057F8" w:rsidRDefault="007057F8" w:rsidP="007057F8"/>
    <w:p w:rsidR="007057F8" w:rsidRDefault="007057F8" w:rsidP="007057F8">
      <w:pPr>
        <w:pStyle w:val="Heading2"/>
      </w:pPr>
      <w:r>
        <w:t>Methods supplementary section</w:t>
      </w:r>
    </w:p>
    <w:p w:rsidR="007057F8" w:rsidRDefault="007057F8" w:rsidP="007057F8"/>
    <w:p w:rsidR="007057F8" w:rsidRDefault="007057F8" w:rsidP="007057F8">
      <w:r>
        <w:rPr>
          <w:noProof/>
        </w:rPr>
        <w:drawing>
          <wp:inline distT="0" distB="0" distL="0" distR="0" wp14:anchorId="5136C13F" wp14:editId="3CA07523">
            <wp:extent cx="5756910" cy="4015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015105"/>
                    </a:xfrm>
                    <a:prstGeom prst="rect">
                      <a:avLst/>
                    </a:prstGeom>
                    <a:noFill/>
                    <a:ln>
                      <a:noFill/>
                    </a:ln>
                  </pic:spPr>
                </pic:pic>
              </a:graphicData>
            </a:graphic>
          </wp:inline>
        </w:drawing>
      </w:r>
    </w:p>
    <w:p w:rsidR="007057F8" w:rsidRDefault="007057F8" w:rsidP="007057F8">
      <w:pPr>
        <w:rPr>
          <w:sz w:val="18"/>
          <w:szCs w:val="18"/>
        </w:rPr>
      </w:pPr>
      <w:r>
        <w:rPr>
          <w:b/>
          <w:sz w:val="18"/>
          <w:szCs w:val="18"/>
        </w:rPr>
        <w:t>Figure S0</w:t>
      </w:r>
      <w:r w:rsidRPr="00892602">
        <w:rPr>
          <w:b/>
          <w:sz w:val="18"/>
          <w:szCs w:val="18"/>
        </w:rPr>
        <w:t>:</w:t>
      </w:r>
      <w:r>
        <w:rPr>
          <w:sz w:val="18"/>
          <w:szCs w:val="18"/>
        </w:rPr>
        <w:t xml:space="preserve"> Flowchart diagrams for participant and OTU selection within this study.</w:t>
      </w:r>
    </w:p>
    <w:p w:rsidR="007057F8" w:rsidRPr="00B40E4F" w:rsidRDefault="007057F8" w:rsidP="007057F8">
      <w:r>
        <w:rPr>
          <w:sz w:val="18"/>
          <w:szCs w:val="18"/>
        </w:rPr>
        <w:t xml:space="preserve"> </w:t>
      </w:r>
    </w:p>
    <w:p w:rsidR="007057F8" w:rsidRPr="00892602" w:rsidRDefault="007057F8" w:rsidP="007057F8">
      <w:r w:rsidRPr="00892602">
        <w:t xml:space="preserve"> </w:t>
      </w:r>
    </w:p>
    <w:p w:rsidR="00711FE9" w:rsidRPr="00892602" w:rsidRDefault="00711FE9" w:rsidP="00711FE9">
      <w:pPr>
        <w:pStyle w:val="Heading3"/>
        <w:spacing w:before="0" w:after="200"/>
        <w:rPr>
          <w:rFonts w:ascii="Times New Roman" w:hAnsi="Times New Roman" w:cs="Times New Roman"/>
        </w:rPr>
      </w:pPr>
      <w:r w:rsidRPr="00892602">
        <w:rPr>
          <w:rFonts w:ascii="Times New Roman" w:hAnsi="Times New Roman" w:cs="Times New Roman"/>
        </w:rPr>
        <w:lastRenderedPageBreak/>
        <w:t>DNA extraction</w:t>
      </w:r>
    </w:p>
    <w:p w:rsidR="00711FE9" w:rsidRPr="00892602" w:rsidRDefault="00711FE9" w:rsidP="00711FE9">
      <w:r w:rsidRPr="00892602">
        <w:t xml:space="preserve">The endoscopy brushes were transferred to 1.5ml Eppendorf safe-lock tubes using </w:t>
      </w:r>
      <w:r>
        <w:t>DNA-free</w:t>
      </w:r>
      <w:r w:rsidRPr="00892602">
        <w:t xml:space="preserve"> forceps, 400µl 1X PBS added to each tube, and vo</w:t>
      </w:r>
      <w:r>
        <w:t>r</w:t>
      </w:r>
      <w:r w:rsidRPr="00892602">
        <w:t xml:space="preserve">texed using the ELMI </w:t>
      </w:r>
      <w:proofErr w:type="spellStart"/>
      <w:r w:rsidRPr="00892602">
        <w:t>Intelli</w:t>
      </w:r>
      <w:proofErr w:type="spellEnd"/>
      <w:r w:rsidRPr="00892602">
        <w:t xml:space="preserve"> Mixer RM-2 using mode UU RPM 99 for 5 minutes. The tubes were then centrifuged (Eppendorf centrifuge 5427 R) at 8,000 rpm for 5min before repeating procedure to wash the brush for a second time. The two solutions from the brush wash </w:t>
      </w:r>
      <w:proofErr w:type="gramStart"/>
      <w:r w:rsidRPr="00892602">
        <w:t>were pooled</w:t>
      </w:r>
      <w:proofErr w:type="gramEnd"/>
      <w:r w:rsidRPr="00892602">
        <w:t xml:space="preserve"> into a new 1.5ml tube and the brush tip removed before centrifuging at 13,200 rpm for 18 minutes. The supernatant was gently removed and discarded followed by addition of 200µl of 20mg/ml lysozyme lysis buffer (20 </w:t>
      </w:r>
      <w:proofErr w:type="spellStart"/>
      <w:r w:rsidRPr="00892602">
        <w:t>mM</w:t>
      </w:r>
      <w:proofErr w:type="spellEnd"/>
      <w:r w:rsidRPr="00892602">
        <w:t xml:space="preserve"> </w:t>
      </w:r>
      <w:proofErr w:type="spellStart"/>
      <w:r w:rsidRPr="00892602">
        <w:t>Tris-HCl</w:t>
      </w:r>
      <w:proofErr w:type="spellEnd"/>
      <w:r w:rsidRPr="00892602">
        <w:t xml:space="preserve">, pH 8.0; 2 </w:t>
      </w:r>
      <w:proofErr w:type="spellStart"/>
      <w:r w:rsidRPr="00892602">
        <w:t>mM</w:t>
      </w:r>
      <w:proofErr w:type="spellEnd"/>
      <w:r w:rsidRPr="00892602">
        <w:t xml:space="preserve"> sodium EDTA; 1.2% Triton X-100; Nuclease-fr</w:t>
      </w:r>
      <w:r>
        <w:t>ee water) to each tube and mixing</w:t>
      </w:r>
      <w:r w:rsidRPr="00892602">
        <w:t xml:space="preserve"> by pipetting up and down to re-suspend the pellet. </w:t>
      </w:r>
      <w:r>
        <w:t xml:space="preserve">The tube </w:t>
      </w:r>
      <w:proofErr w:type="gramStart"/>
      <w:r>
        <w:t>was then i</w:t>
      </w:r>
      <w:r w:rsidRPr="00892602">
        <w:t>ncubat</w:t>
      </w:r>
      <w:r>
        <w:t>ed</w:t>
      </w:r>
      <w:proofErr w:type="gramEnd"/>
      <w:r w:rsidRPr="00892602">
        <w:t xml:space="preserve"> for 1 hour at 37˚C with occasional light agitation. Using a </w:t>
      </w:r>
      <w:r>
        <w:t>DNA-free</w:t>
      </w:r>
      <w:r w:rsidRPr="00892602">
        <w:t xml:space="preserve"> spatula, glass beads (0.5mm + 1mm, equal amounts) </w:t>
      </w:r>
      <w:proofErr w:type="gramStart"/>
      <w:r w:rsidRPr="00892602">
        <w:t>were added</w:t>
      </w:r>
      <w:proofErr w:type="gramEnd"/>
      <w:r w:rsidRPr="00892602">
        <w:t xml:space="preserve"> to each tube to reach no more than half of the lysis buffer, </w:t>
      </w:r>
      <w:r>
        <w:t>after which</w:t>
      </w:r>
      <w:r w:rsidRPr="00892602">
        <w:t xml:space="preserve"> cell mechanical lysis </w:t>
      </w:r>
      <w:r>
        <w:t xml:space="preserve">was </w:t>
      </w:r>
      <w:r w:rsidRPr="00892602">
        <w:t xml:space="preserve">performed for 3 minutes using Bullet Blender® (BBX24. Next Advance. Inc., NY) at the speed 10. Approximately 200µl </w:t>
      </w:r>
      <w:proofErr w:type="gramStart"/>
      <w:r w:rsidRPr="00892602">
        <w:t xml:space="preserve">was </w:t>
      </w:r>
      <w:r>
        <w:t>subsequently</w:t>
      </w:r>
      <w:r w:rsidRPr="00892602">
        <w:t xml:space="preserve"> transferred</w:t>
      </w:r>
      <w:proofErr w:type="gramEnd"/>
      <w:r w:rsidRPr="00892602">
        <w:t xml:space="preserve"> to new tubes for DNA extraction.</w:t>
      </w:r>
    </w:p>
    <w:p w:rsidR="00711FE9" w:rsidRPr="00892602" w:rsidRDefault="00711FE9" w:rsidP="00711FE9">
      <w:r w:rsidRPr="00892602">
        <w:t xml:space="preserve">DNA </w:t>
      </w:r>
      <w:proofErr w:type="gramStart"/>
      <w:r w:rsidRPr="00892602">
        <w:t>was extracted</w:t>
      </w:r>
      <w:proofErr w:type="gramEnd"/>
      <w:r w:rsidRPr="00892602">
        <w:t xml:space="preserve"> by following the Mag Maxi Manual protocol of DNA Isolation Kit, Cat. No. 40403, LGC Genomics GmbH (Germany) with alterations in incubation times to 1 hour in the lysis, binding, and elution steps to obtain the maximum possible DNA yield from the samples after testing and discussions with the manufacturer.</w:t>
      </w:r>
    </w:p>
    <w:p w:rsidR="00711FE9" w:rsidRPr="00892602" w:rsidRDefault="00711FE9" w:rsidP="00711FE9">
      <w:pPr>
        <w:pStyle w:val="Heading3"/>
        <w:spacing w:before="0" w:after="200"/>
        <w:rPr>
          <w:rFonts w:ascii="Times New Roman" w:hAnsi="Times New Roman" w:cs="Times New Roman"/>
        </w:rPr>
      </w:pPr>
      <w:r w:rsidRPr="00892602">
        <w:rPr>
          <w:rFonts w:ascii="Times New Roman" w:hAnsi="Times New Roman" w:cs="Times New Roman"/>
        </w:rPr>
        <w:t>Library preparation and sequencing</w:t>
      </w:r>
    </w:p>
    <w:p w:rsidR="00711FE9" w:rsidRPr="00892602" w:rsidRDefault="00711FE9" w:rsidP="00711FE9">
      <w:r w:rsidRPr="00892602">
        <w:t xml:space="preserve">The primers 341F (CCTACGGGNGGCWGCAG) and 805R (GACTACHVGGGTATCTAATCC) </w:t>
      </w:r>
      <w:r w:rsidRPr="00892602">
        <w:fldChar w:fldCharType="begin"/>
      </w:r>
      <w:r>
        <w:instrText xml:space="preserve"> ADDIN EN.CITE &lt;EndNote&gt;&lt;Cite&gt;&lt;Author&gt;Herlemann&lt;/Author&gt;&lt;Year&gt;2011&lt;/Year&gt;&lt;RecNum&gt;90&lt;/RecNum&gt;&lt;DisplayText&gt;[24]&lt;/DisplayText&gt;&lt;record&gt;&lt;rec-number&gt;90&lt;/rec-number&gt;&lt;foreign-keys&gt;&lt;key app="EN" db-id="advfztz90xvfvtedrasp9f5gaa5rs90f02pt" timestamp="1484572244"&gt;90&lt;/key&gt;&lt;/foreign-keys&gt;&lt;ref-type name="Journal Article"&gt;17&lt;/ref-type&gt;&lt;contributors&gt;&lt;authors&gt;&lt;author&gt;Herlemann, D. P.&lt;/author&gt;&lt;author&gt;Labrenz, M.&lt;/author&gt;&lt;author&gt;Jurgens, K.&lt;/author&gt;&lt;author&gt;Bertilsson, S.&lt;/author&gt;&lt;author&gt;Waniek, J. J.&lt;/author&gt;&lt;author&gt;Andersson, A. F.&lt;/author&gt;&lt;/authors&gt;&lt;/contributors&gt;&lt;auth-address&gt;Leibniz Institute for Baltic Sea Research, Department of Biological Oceanography, Rostock, Germany.&lt;/auth-address&gt;&lt;titles&gt;&lt;title&gt;Transitions in bacterial communities along the 2000 km salinity gradient of the Baltic Sea&lt;/title&gt;&lt;secondary-title&gt;ISME J&lt;/secondary-title&gt;&lt;/titles&gt;&lt;periodical&gt;&lt;full-title&gt;ISME J&lt;/full-title&gt;&lt;/periodical&gt;&lt;pages&gt;1571-9&lt;/pages&gt;&lt;volume&gt;5&lt;/volume&gt;&lt;number&gt;10&lt;/number&gt;&lt;keywords&gt;&lt;keyword&gt;Bacteria/*classification/genetics/*isolation &amp;amp; purification&lt;/keyword&gt;&lt;keyword&gt;Baltic States&lt;/keyword&gt;&lt;keyword&gt;Biodiversity&lt;/keyword&gt;&lt;keyword&gt;Biota&lt;/keyword&gt;&lt;keyword&gt;Fresh Water/*microbiology&lt;/keyword&gt;&lt;keyword&gt;Oceans and Seas&lt;/keyword&gt;&lt;keyword&gt;Phylogeny&lt;/keyword&gt;&lt;keyword&gt;RNA, Bacterial/genetics&lt;/keyword&gt;&lt;keyword&gt;RNA, Ribosomal, 16S/genetics&lt;/keyword&gt;&lt;keyword&gt;*Salinity&lt;/keyword&gt;&lt;keyword&gt;Seawater/*microbiology&lt;/keyword&gt;&lt;/keywords&gt;&lt;dates&gt;&lt;year&gt;2011&lt;/year&gt;&lt;pub-dates&gt;&lt;date&gt;Oct&lt;/date&gt;&lt;/pub-dates&gt;&lt;/dates&gt;&lt;isbn&gt;1751-7370 (Electronic)&amp;#xD;1751-7362 (Linking)&lt;/isbn&gt;&lt;accession-num&gt;21472016&lt;/accession-num&gt;&lt;urls&gt;&lt;related-urls&gt;&lt;url&gt;https://www.ncbi.nlm.nih.gov/pubmed/21472016&lt;/url&gt;&lt;/related-urls&gt;&lt;/urls&gt;&lt;custom2&gt;PMC3176514&lt;/custom2&gt;&lt;electronic-resource-num&gt;10.1038/ismej.2011.41&lt;/electronic-resource-num&gt;&lt;/record&gt;&lt;/Cite&gt;&lt;/EndNote&gt;</w:instrText>
      </w:r>
      <w:r w:rsidRPr="00892602">
        <w:fldChar w:fldCharType="separate"/>
      </w:r>
      <w:r>
        <w:rPr>
          <w:noProof/>
        </w:rPr>
        <w:t>[24]</w:t>
      </w:r>
      <w:r w:rsidRPr="00892602">
        <w:fldChar w:fldCharType="end"/>
      </w:r>
      <w:r w:rsidRPr="00892602">
        <w:t xml:space="preserve"> targeting the V3-V4 regions of </w:t>
      </w:r>
      <w:r>
        <w:t xml:space="preserve">the bacterial 16S </w:t>
      </w:r>
      <w:proofErr w:type="spellStart"/>
      <w:r>
        <w:t>rRNA</w:t>
      </w:r>
      <w:proofErr w:type="spellEnd"/>
      <w:r>
        <w:t xml:space="preserve"> gene</w:t>
      </w:r>
      <w:r w:rsidRPr="00892602">
        <w:t xml:space="preserve"> were used to generate PCR amplicon</w:t>
      </w:r>
      <w:r>
        <w:t>s</w:t>
      </w:r>
      <w:r w:rsidRPr="00892602">
        <w:t xml:space="preserve"> using KAPA </w:t>
      </w:r>
      <w:proofErr w:type="spellStart"/>
      <w:r w:rsidRPr="00892602">
        <w:t>HiFi</w:t>
      </w:r>
      <w:proofErr w:type="spellEnd"/>
      <w:r w:rsidRPr="00892602">
        <w:t xml:space="preserve"> </w:t>
      </w:r>
      <w:proofErr w:type="spellStart"/>
      <w:r w:rsidRPr="00892602">
        <w:t>HotStart</w:t>
      </w:r>
      <w:proofErr w:type="spellEnd"/>
      <w:r w:rsidRPr="00892602">
        <w:t xml:space="preserve"> </w:t>
      </w:r>
      <w:proofErr w:type="spellStart"/>
      <w:r w:rsidRPr="00892602">
        <w:t>ReadyMix</w:t>
      </w:r>
      <w:proofErr w:type="spellEnd"/>
      <w:r w:rsidRPr="00892602">
        <w:t xml:space="preserve"> (2X) (KAPA </w:t>
      </w:r>
      <w:proofErr w:type="spellStart"/>
      <w:r w:rsidRPr="00892602">
        <w:t>Biosystems</w:t>
      </w:r>
      <w:proofErr w:type="spellEnd"/>
      <w:r w:rsidRPr="00892602">
        <w:t>, Kit Code KK2602)</w:t>
      </w:r>
      <w:r>
        <w:t xml:space="preserve"> in </w:t>
      </w:r>
      <w:r w:rsidRPr="00892602">
        <w:t>replicates.</w:t>
      </w:r>
    </w:p>
    <w:p w:rsidR="00711FE9" w:rsidRPr="00892602" w:rsidRDefault="00711FE9" w:rsidP="00711FE9">
      <w:r w:rsidRPr="00892602">
        <w:t xml:space="preserve">The reactions </w:t>
      </w:r>
      <w:proofErr w:type="gramStart"/>
      <w:r w:rsidRPr="00892602">
        <w:t>were carried out</w:t>
      </w:r>
      <w:proofErr w:type="gramEnd"/>
      <w:r w:rsidRPr="00892602">
        <w:t xml:space="preserve"> in a </w:t>
      </w:r>
      <w:proofErr w:type="spellStart"/>
      <w:r w:rsidRPr="00892602">
        <w:t>GeneAmp</w:t>
      </w:r>
      <w:proofErr w:type="spellEnd"/>
      <w:r w:rsidRPr="00892602">
        <w:t xml:space="preserve">™ PCR System 9700 cycler </w:t>
      </w:r>
      <w:r w:rsidRPr="00892602">
        <w:rPr>
          <w:rFonts w:eastAsia="Times New Roman"/>
        </w:rPr>
        <w:t xml:space="preserve">(Applied </w:t>
      </w:r>
      <w:proofErr w:type="spellStart"/>
      <w:r w:rsidRPr="00892602">
        <w:rPr>
          <w:rFonts w:eastAsia="Times New Roman"/>
        </w:rPr>
        <w:t>Biosystems</w:t>
      </w:r>
      <w:proofErr w:type="spellEnd"/>
      <w:r w:rsidRPr="00892602">
        <w:rPr>
          <w:rFonts w:eastAsia="Times New Roman"/>
        </w:rPr>
        <w:t>. CA)</w:t>
      </w:r>
      <w:r w:rsidRPr="00892602">
        <w:t xml:space="preserve"> as follows: initial denaturation: 3 minutes at 95, then 10 seconds at 98 °C, 30 cycles of 20 seconds at 98 °C (denaturation), 30 seconds at 62 °C (annealing) and 30 seconds at 72 °C (extension) followed by 2 minutes at 72 °C as final extension. The replicates were pooled before the second barcoding PCR </w:t>
      </w:r>
      <w:proofErr w:type="gramStart"/>
      <w:r w:rsidRPr="00892602">
        <w:t xml:space="preserve">amplification </w:t>
      </w:r>
      <w:r>
        <w:t>which</w:t>
      </w:r>
      <w:proofErr w:type="gramEnd"/>
      <w:r w:rsidRPr="00892602">
        <w:t xml:space="preserve"> was carried out in a similar manner using dual indexing primers with similar conditions except that 10 cycles were used instead. In between the amplification cycles and before pooling sequencing libraries, the PCR products </w:t>
      </w:r>
      <w:proofErr w:type="gramStart"/>
      <w:r w:rsidRPr="00892602">
        <w:t>were purified</w:t>
      </w:r>
      <w:proofErr w:type="gramEnd"/>
      <w:r w:rsidRPr="00892602">
        <w:t xml:space="preserve"> </w:t>
      </w:r>
      <w:r w:rsidRPr="00892602">
        <w:lastRenderedPageBreak/>
        <w:t xml:space="preserve">using </w:t>
      </w:r>
      <w:proofErr w:type="spellStart"/>
      <w:r w:rsidRPr="00892602">
        <w:t>Agencourt</w:t>
      </w:r>
      <w:proofErr w:type="spellEnd"/>
      <w:r w:rsidRPr="00892602">
        <w:t xml:space="preserve"> </w:t>
      </w:r>
      <w:proofErr w:type="spellStart"/>
      <w:r w:rsidRPr="00892602">
        <w:t>AMPure</w:t>
      </w:r>
      <w:proofErr w:type="spellEnd"/>
      <w:r w:rsidRPr="00892602">
        <w:t xml:space="preserve"> XP (Beckman Coulter) following the manufacture’s recommendation. Amplicon fragment sizes and quantification were performed using Agilent 2100 </w:t>
      </w:r>
      <w:proofErr w:type="spellStart"/>
      <w:r w:rsidRPr="00892602">
        <w:t>Bioanalyzer</w:t>
      </w:r>
      <w:proofErr w:type="spellEnd"/>
      <w:r w:rsidRPr="00892602">
        <w:t xml:space="preserve"> (Agilent, Technologies, DNA 1000 </w:t>
      </w:r>
      <w:proofErr w:type="spellStart"/>
      <w:r w:rsidRPr="00892602">
        <w:t>LabChip</w:t>
      </w:r>
      <w:proofErr w:type="spellEnd"/>
      <w:r w:rsidRPr="00892602">
        <w:t xml:space="preserve"> kit) and Qubit® 2.0 </w:t>
      </w:r>
      <w:proofErr w:type="spellStart"/>
      <w:r w:rsidRPr="00892602">
        <w:t>Fluorometer</w:t>
      </w:r>
      <w:proofErr w:type="spellEnd"/>
      <w:r w:rsidRPr="00892602">
        <w:t xml:space="preserve"> (Invitrogen, Qubit-IT™ dsDNA HS Assay kit) respectively. Indexed samples </w:t>
      </w:r>
      <w:proofErr w:type="gramStart"/>
      <w:r w:rsidRPr="00892602">
        <w:t>were pooled</w:t>
      </w:r>
      <w:proofErr w:type="gramEnd"/>
      <w:r w:rsidRPr="00892602">
        <w:t xml:space="preserve"> at approximately </w:t>
      </w:r>
      <w:proofErr w:type="spellStart"/>
      <w:r w:rsidRPr="00892602">
        <w:t>equimolar</w:t>
      </w:r>
      <w:proofErr w:type="spellEnd"/>
      <w:r w:rsidRPr="00892602">
        <w:t xml:space="preserve"> amounts except for all negative controls from which 5ul was added to the pool. The pool </w:t>
      </w:r>
      <w:proofErr w:type="gramStart"/>
      <w:r w:rsidRPr="00892602">
        <w:t>was then sent</w:t>
      </w:r>
      <w:proofErr w:type="gramEnd"/>
      <w:r w:rsidRPr="00892602">
        <w:t xml:space="preserve"> to the National Genomics Infrastructure/Science for Life laboratories, Stockholm for sequencing on an Illumina </w:t>
      </w:r>
      <w:proofErr w:type="spellStart"/>
      <w:r w:rsidRPr="00892602">
        <w:t>MiSeq</w:t>
      </w:r>
      <w:proofErr w:type="spellEnd"/>
      <w:r w:rsidRPr="00892602">
        <w:t xml:space="preserve"> platform (Illumina </w:t>
      </w:r>
      <w:proofErr w:type="spellStart"/>
      <w:r w:rsidRPr="00892602">
        <w:t>Inc</w:t>
      </w:r>
      <w:proofErr w:type="spellEnd"/>
      <w:r w:rsidRPr="00892602">
        <w:t xml:space="preserve">, USA) using a 2×300 </w:t>
      </w:r>
      <w:proofErr w:type="spellStart"/>
      <w:r w:rsidRPr="00892602">
        <w:t>bp</w:t>
      </w:r>
      <w:proofErr w:type="spellEnd"/>
      <w:r w:rsidRPr="00892602">
        <w:t xml:space="preserve"> paired end protocol (</w:t>
      </w:r>
      <w:proofErr w:type="spellStart"/>
      <w:r w:rsidRPr="00892602">
        <w:t>MiSeq</w:t>
      </w:r>
      <w:proofErr w:type="spellEnd"/>
      <w:r w:rsidRPr="00892602">
        <w:t xml:space="preserve"> Reagent Kits v3). </w:t>
      </w:r>
    </w:p>
    <w:p w:rsidR="00711FE9" w:rsidRDefault="00711FE9" w:rsidP="00711FE9"/>
    <w:p w:rsidR="00711FE9" w:rsidRPr="00C323C9" w:rsidRDefault="00711FE9" w:rsidP="00711FE9">
      <w:pPr>
        <w:pStyle w:val="Heading3"/>
        <w:spacing w:before="0" w:after="200"/>
        <w:rPr>
          <w:rFonts w:ascii="Times New Roman" w:hAnsi="Times New Roman" w:cs="Times New Roman"/>
        </w:rPr>
      </w:pPr>
      <w:r w:rsidRPr="00892602">
        <w:rPr>
          <w:rFonts w:ascii="Times New Roman" w:hAnsi="Times New Roman" w:cs="Times New Roman"/>
        </w:rPr>
        <w:t>Sample grouping (Serology and Histology)</w:t>
      </w:r>
    </w:p>
    <w:p w:rsidR="00711FE9" w:rsidRPr="00892602" w:rsidRDefault="00711FE9" w:rsidP="00711FE9">
      <w:r w:rsidRPr="00892602">
        <w:t>The Normal/</w:t>
      </w:r>
      <w:r w:rsidRPr="00881FB4">
        <w:rPr>
          <w:i/>
        </w:rPr>
        <w:t>H. pylori</w:t>
      </w:r>
      <w:r w:rsidRPr="00892602">
        <w:t xml:space="preserve"> negative gastritis group </w:t>
      </w:r>
      <w:proofErr w:type="gramStart"/>
      <w:r w:rsidRPr="00892602">
        <w:t>was defined</w:t>
      </w:r>
      <w:proofErr w:type="gramEnd"/>
      <w:r w:rsidRPr="00892602">
        <w:t xml:space="preserve"> as those who were histology normal and </w:t>
      </w:r>
      <w:r w:rsidRPr="00892602">
        <w:rPr>
          <w:i/>
        </w:rPr>
        <w:t>H. pylori</w:t>
      </w:r>
      <w:r w:rsidRPr="00892602">
        <w:t xml:space="preserve"> negative on serology. </w:t>
      </w:r>
      <w:r w:rsidRPr="00881FB4">
        <w:rPr>
          <w:i/>
        </w:rPr>
        <w:t>H. pylori</w:t>
      </w:r>
      <w:r w:rsidRPr="00892602">
        <w:t xml:space="preserve"> gastritis without corpus atrophy were those with a histological diagnosis of corpus and antrum </w:t>
      </w:r>
      <w:r w:rsidRPr="00881FB4">
        <w:rPr>
          <w:i/>
        </w:rPr>
        <w:t>H. pylori</w:t>
      </w:r>
      <w:r w:rsidRPr="00892602">
        <w:t xml:space="preserve"> gastritis but with no corpus atrophy as well as a serology classification of </w:t>
      </w:r>
      <w:r w:rsidRPr="00881FB4">
        <w:rPr>
          <w:i/>
        </w:rPr>
        <w:t>H. pylori</w:t>
      </w:r>
      <w:r w:rsidRPr="00892602">
        <w:t xml:space="preserve"> gastritis. Corpus atrophy (case) group </w:t>
      </w:r>
      <w:proofErr w:type="gramStart"/>
      <w:r w:rsidRPr="00892602">
        <w:t>was defined</w:t>
      </w:r>
      <w:proofErr w:type="gramEnd"/>
      <w:r w:rsidRPr="00892602">
        <w:t xml:space="preserve"> as those having corpus atrophy from either histology or serology. Antrum chemical gastritis </w:t>
      </w:r>
      <w:proofErr w:type="gramStart"/>
      <w:r w:rsidRPr="00892602">
        <w:t xml:space="preserve">was defined as </w:t>
      </w:r>
      <w:r>
        <w:t>those with</w:t>
      </w:r>
      <w:r w:rsidRPr="00892602">
        <w:t xml:space="preserve"> a normal corpus diagnosis, antrum diagnosis of chemical gastritis, </w:t>
      </w:r>
      <w:r w:rsidRPr="00892602">
        <w:rPr>
          <w:i/>
        </w:rPr>
        <w:t>H. pylori</w:t>
      </w:r>
      <w:r w:rsidRPr="00892602">
        <w:t xml:space="preserve"> negative on histology and not classified in other groups</w:t>
      </w:r>
      <w:proofErr w:type="gramEnd"/>
      <w:r w:rsidRPr="00892602">
        <w:t xml:space="preserve">. Post </w:t>
      </w:r>
      <w:r w:rsidRPr="00892602">
        <w:rPr>
          <w:i/>
        </w:rPr>
        <w:t>H. pylori</w:t>
      </w:r>
      <w:r w:rsidRPr="00892602">
        <w:t xml:space="preserve"> eradication/seropositive group were those with a histology corpus/antrum diagnosis of post </w:t>
      </w:r>
      <w:r w:rsidRPr="00892602">
        <w:rPr>
          <w:i/>
        </w:rPr>
        <w:t>H. pylori</w:t>
      </w:r>
      <w:r w:rsidRPr="00892602">
        <w:t xml:space="preserve"> and were </w:t>
      </w:r>
      <w:r w:rsidRPr="00892602">
        <w:rPr>
          <w:i/>
        </w:rPr>
        <w:t>H. pylori</w:t>
      </w:r>
      <w:r w:rsidRPr="00892602">
        <w:t xml:space="preserve"> positive on serology</w:t>
      </w:r>
      <w:r>
        <w:t xml:space="preserve"> (</w:t>
      </w:r>
      <w:r w:rsidRPr="00C24377">
        <w:t>Figure S13</w:t>
      </w:r>
      <w:r>
        <w:t>)</w:t>
      </w:r>
      <w:r w:rsidRPr="00892602">
        <w:t>.</w:t>
      </w:r>
    </w:p>
    <w:p w:rsidR="00711FE9" w:rsidRDefault="00711FE9" w:rsidP="00711FE9"/>
    <w:p w:rsidR="00711FE9" w:rsidRPr="00892602" w:rsidRDefault="00711FE9" w:rsidP="00711FE9">
      <w:pPr>
        <w:pStyle w:val="Heading3"/>
        <w:spacing w:before="0" w:after="200"/>
        <w:rPr>
          <w:rFonts w:ascii="Times New Roman" w:hAnsi="Times New Roman" w:cs="Times New Roman"/>
        </w:rPr>
      </w:pPr>
      <w:r w:rsidRPr="00892602">
        <w:rPr>
          <w:rFonts w:ascii="Times New Roman" w:hAnsi="Times New Roman" w:cs="Times New Roman"/>
        </w:rPr>
        <w:t>Co-occurrence network analysis</w:t>
      </w:r>
    </w:p>
    <w:p w:rsidR="00711FE9" w:rsidRPr="00892602" w:rsidRDefault="00711FE9" w:rsidP="00711FE9">
      <w:pPr>
        <w:rPr>
          <w:b/>
        </w:rPr>
      </w:pPr>
      <w:proofErr w:type="spellStart"/>
      <w:r w:rsidRPr="00892602">
        <w:t>SparCC</w:t>
      </w:r>
      <w:proofErr w:type="spellEnd"/>
      <w:r w:rsidRPr="00892602">
        <w:t xml:space="preserve"> uses centered log-ratio transformation to address data compositionality. </w:t>
      </w:r>
      <w:proofErr w:type="spellStart"/>
      <w:r w:rsidRPr="00892602">
        <w:t>SparCC</w:t>
      </w:r>
      <w:proofErr w:type="spellEnd"/>
      <w:r w:rsidRPr="00892602">
        <w:t xml:space="preserve"> was used with the following parameters (minimum correlation = 0.4, alpha = 0.05) to calculate correlations from the OTU </w:t>
      </w:r>
      <w:r>
        <w:t xml:space="preserve">count table. The </w:t>
      </w:r>
      <w:proofErr w:type="spellStart"/>
      <w:r>
        <w:t>MakeBoo</w:t>
      </w:r>
      <w:r w:rsidRPr="00892602">
        <w:t>t</w:t>
      </w:r>
      <w:r>
        <w:t>st</w:t>
      </w:r>
      <w:r w:rsidRPr="00892602">
        <w:t>raps</w:t>
      </w:r>
      <w:proofErr w:type="spellEnd"/>
      <w:r w:rsidRPr="00892602">
        <w:t xml:space="preserve"> command </w:t>
      </w:r>
      <w:proofErr w:type="gramStart"/>
      <w:r w:rsidRPr="00892602">
        <w:t>was used</w:t>
      </w:r>
      <w:proofErr w:type="gramEnd"/>
      <w:r w:rsidRPr="00892602">
        <w:t xml:space="preserve"> to generate 100 bootstrapped tables, which were in turn used to calculate correlations. The bootstrapped correlations </w:t>
      </w:r>
      <w:proofErr w:type="gramStart"/>
      <w:r w:rsidRPr="00892602">
        <w:t>were then used</w:t>
      </w:r>
      <w:proofErr w:type="gramEnd"/>
      <w:r w:rsidRPr="00892602">
        <w:t xml:space="preserve"> with the </w:t>
      </w:r>
      <w:proofErr w:type="spellStart"/>
      <w:r w:rsidRPr="00892602">
        <w:t>PseudoPvals</w:t>
      </w:r>
      <w:proofErr w:type="spellEnd"/>
      <w:r w:rsidRPr="00892602">
        <w:t xml:space="preserve"> command to generate two-tailed p-values for the </w:t>
      </w:r>
      <w:proofErr w:type="spellStart"/>
      <w:r w:rsidRPr="00892602">
        <w:t>SparCC</w:t>
      </w:r>
      <w:proofErr w:type="spellEnd"/>
      <w:r w:rsidRPr="00892602">
        <w:t xml:space="preserve"> correlations from the main analysis table.</w:t>
      </w:r>
    </w:p>
    <w:p w:rsidR="00711FE9" w:rsidRPr="007A4930" w:rsidRDefault="00711FE9" w:rsidP="00711FE9">
      <w:pPr>
        <w:pStyle w:val="Heading3"/>
        <w:spacing w:before="0" w:after="200"/>
        <w:rPr>
          <w:rFonts w:ascii="Times New Roman" w:hAnsi="Times New Roman" w:cs="Times New Roman"/>
        </w:rPr>
      </w:pPr>
      <w:r w:rsidRPr="00892602">
        <w:rPr>
          <w:rFonts w:ascii="Times New Roman" w:hAnsi="Times New Roman" w:cs="Times New Roman"/>
        </w:rPr>
        <w:t>Prediction of metagenomics functional capacity</w:t>
      </w:r>
    </w:p>
    <w:p w:rsidR="00711FE9" w:rsidRDefault="00711FE9" w:rsidP="00711FE9">
      <w:r w:rsidRPr="00892602">
        <w:t xml:space="preserve">We used OTU representative sequences generated from </w:t>
      </w:r>
      <w:proofErr w:type="spellStart"/>
      <w:r w:rsidRPr="00892602">
        <w:t>Greengenes</w:t>
      </w:r>
      <w:proofErr w:type="spellEnd"/>
      <w:r w:rsidRPr="00892602">
        <w:t xml:space="preserve"> database (version 13.5) after performing a global alignment using USEARCH. Reads not aligning to the databases </w:t>
      </w:r>
      <w:proofErr w:type="gramStart"/>
      <w:r w:rsidRPr="00892602">
        <w:t xml:space="preserve">were </w:t>
      </w:r>
      <w:r w:rsidRPr="00892602">
        <w:lastRenderedPageBreak/>
        <w:t>discarded</w:t>
      </w:r>
      <w:proofErr w:type="gramEnd"/>
      <w:r w:rsidRPr="00892602">
        <w:t xml:space="preserve">. Pathway predictions were conducted using </w:t>
      </w:r>
      <w:proofErr w:type="spellStart"/>
      <w:r w:rsidRPr="00892602">
        <w:t>Picrust</w:t>
      </w:r>
      <w:proofErr w:type="spellEnd"/>
      <w:r w:rsidRPr="00892602">
        <w:t xml:space="preserve"> </w:t>
      </w:r>
      <w:r w:rsidRPr="00892602">
        <w:fldChar w:fldCharType="begin"/>
      </w:r>
      <w:r>
        <w:instrText xml:space="preserve"> ADDIN EN.CITE &lt;EndNote&gt;&lt;Cite&gt;&lt;Author&gt;Langille&lt;/Author&gt;&lt;Year&gt;2013&lt;/Year&gt;&lt;RecNum&gt;86&lt;/RecNum&gt;&lt;DisplayText&gt;[33]&lt;/DisplayText&gt;&lt;record&gt;&lt;rec-number&gt;86&lt;/rec-number&gt;&lt;foreign-keys&gt;&lt;key app="EN" db-id="advfztz90xvfvtedrasp9f5gaa5rs90f02pt" timestamp="1523462947"&gt;86&lt;/key&gt;&lt;/foreign-keys&gt;&lt;ref-type name="Journal Article"&gt;17&lt;/ref-type&gt;&lt;contributors&gt;&lt;authors&gt;&lt;author&gt;Langille, M. G.&lt;/author&gt;&lt;author&gt;Zaneveld, J.&lt;/author&gt;&lt;author&gt;Caporaso, J. G.&lt;/author&gt;&lt;author&gt;McDonald, D.&lt;/author&gt;&lt;author&gt;Knights, D.&lt;/author&gt;&lt;author&gt;Reyes, J. A.&lt;/author&gt;&lt;author&gt;Clemente, J. C.&lt;/author&gt;&lt;author&gt;Burkepile, D. E.&lt;/author&gt;&lt;author&gt;Vega Thurber, R. L.&lt;/author&gt;&lt;author&gt;Knight, R.&lt;/author&gt;&lt;author&gt;Beiko, R. G.&lt;/author&gt;&lt;author&gt;Huttenhower, C.&lt;/author&gt;&lt;/authors&gt;&lt;/contributors&gt;&lt;auth-address&gt;1] Faculty of Computer Science, Dalhousie University, Halifax, NS, Canada. [2].&lt;/auth-address&gt;&lt;titles&gt;&lt;title&gt;Predictive functional profiling of microbial communities using 16S rRNA marker gene sequences&lt;/title&gt;&lt;secondary-title&gt;Nat Biotechnol&lt;/secondary-title&gt;&lt;/titles&gt;&lt;periodical&gt;&lt;full-title&gt;Nat Biotechnol&lt;/full-title&gt;&lt;/periodical&gt;&lt;pages&gt;814-21&lt;/pages&gt;&lt;volume&gt;31&lt;/volume&gt;&lt;number&gt;9&lt;/number&gt;&lt;keywords&gt;&lt;keyword&gt;Bacteria/classification/genetics&lt;/keyword&gt;&lt;keyword&gt;Genes, Bacterial/genetics/physiology&lt;/keyword&gt;&lt;keyword&gt;Genetic Markers/genetics&lt;/keyword&gt;&lt;keyword&gt;High-Throughput Nucleotide Sequencing&lt;/keyword&gt;&lt;keyword&gt;Humans&lt;/keyword&gt;&lt;keyword&gt;Metagenomics/*methods&lt;/keyword&gt;&lt;keyword&gt;Microbiota/genetics&lt;/keyword&gt;&lt;keyword&gt;Phylogeny&lt;/keyword&gt;&lt;keyword&gt;RNA, Ribosomal, 16S/*genetics&lt;/keyword&gt;&lt;keyword&gt;Sequence Analysis, DNA/*methods&lt;/keyword&gt;&lt;/keywords&gt;&lt;dates&gt;&lt;year&gt;2013&lt;/year&gt;&lt;pub-dates&gt;&lt;date&gt;Sep&lt;/date&gt;&lt;/pub-dates&gt;&lt;/dates&gt;&lt;isbn&gt;1546-1696 (Electronic)&amp;#xD;1087-0156 (Linking)&lt;/isbn&gt;&lt;accession-num&gt;23975157&lt;/accession-num&gt;&lt;urls&gt;&lt;related-urls&gt;&lt;url&gt;https://www.ncbi.nlm.nih.gov/pubmed/23975157&lt;/url&gt;&lt;/related-urls&gt;&lt;/urls&gt;&lt;custom2&gt;PMC3819121&lt;/custom2&gt;&lt;electronic-resource-num&gt;10.1038/nbt.2676&lt;/electronic-resource-num&gt;&lt;/record&gt;&lt;/Cite&gt;&lt;/EndNote&gt;</w:instrText>
      </w:r>
      <w:r w:rsidRPr="00892602">
        <w:fldChar w:fldCharType="separate"/>
      </w:r>
      <w:r>
        <w:rPr>
          <w:noProof/>
        </w:rPr>
        <w:t>[33]</w:t>
      </w:r>
      <w:r w:rsidRPr="00892602">
        <w:fldChar w:fldCharType="end"/>
      </w:r>
      <w:r w:rsidRPr="00892602">
        <w:t xml:space="preserve">. Clusters of orthologous groups (COG) and Kyoto Encyclopedia of Genes and Genome (KEGG) </w:t>
      </w:r>
      <w:proofErr w:type="spellStart"/>
      <w:r w:rsidRPr="00892602">
        <w:t>orthology</w:t>
      </w:r>
      <w:proofErr w:type="spellEnd"/>
      <w:r w:rsidRPr="00892602">
        <w:t xml:space="preserve"> (KO) </w:t>
      </w:r>
      <w:proofErr w:type="gramStart"/>
      <w:r w:rsidRPr="00892602">
        <w:t>were generated</w:t>
      </w:r>
      <w:proofErr w:type="gramEnd"/>
      <w:r w:rsidRPr="00892602">
        <w:t xml:space="preserve"> after categorizing the predicted functional genes. Statistical comparisons between the analysis groups </w:t>
      </w:r>
      <w:proofErr w:type="gramStart"/>
      <w:r w:rsidRPr="00892602">
        <w:t>were then carried</w:t>
      </w:r>
      <w:proofErr w:type="gramEnd"/>
      <w:r w:rsidRPr="00892602">
        <w:t xml:space="preserve"> out using statistical analysis of taxonomic and functional profiles (STAMP) package </w:t>
      </w:r>
      <w:r w:rsidRPr="00892602">
        <w:fldChar w:fldCharType="begin">
          <w:fldData xml:space="preserve">PEVuZE5vdGU+PENpdGU+PEF1dGhvcj5QYXJrczwvQXV0aG9yPjxZZWFyPjIwMTQ8L1llYXI+PFJl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</w:fldData>
        </w:fldChar>
      </w:r>
      <w:r>
        <w:instrText xml:space="preserve"> ADDIN EN.CITE </w:instrText>
      </w:r>
      <w:r>
        <w:fldChar w:fldCharType="begin">
          <w:fldData xml:space="preserve">PEVuZE5vdGU+PENpdGU+PEF1dGhvcj5QYXJrczwvQXV0aG9yPjxZZWFyPjIwMTQ8L1llYXI+PFJl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</w:fldData>
        </w:fldChar>
      </w:r>
      <w:r>
        <w:instrText xml:space="preserve"> ADDIN EN.CITE.DATA </w:instrText>
      </w:r>
      <w:r>
        <w:fldChar w:fldCharType="end"/>
      </w:r>
      <w:r w:rsidRPr="00892602">
        <w:fldChar w:fldCharType="separate"/>
      </w:r>
      <w:r>
        <w:rPr>
          <w:noProof/>
        </w:rPr>
        <w:t>[34]</w:t>
      </w:r>
      <w:r w:rsidRPr="00892602">
        <w:fldChar w:fldCharType="end"/>
      </w:r>
      <w:r w:rsidRPr="00892602">
        <w:t xml:space="preserve">. </w:t>
      </w:r>
      <w:proofErr w:type="spellStart"/>
      <w:r w:rsidRPr="00892602">
        <w:t>Kruskal</w:t>
      </w:r>
      <w:proofErr w:type="spellEnd"/>
      <w:r w:rsidRPr="00892602">
        <w:t xml:space="preserve">-Wallis H-test followed by Tukey-Kramer post-hoc test to identify differing pairs </w:t>
      </w:r>
      <w:proofErr w:type="gramStart"/>
      <w:r w:rsidRPr="00892602">
        <w:t>were performed</w:t>
      </w:r>
      <w:proofErr w:type="gramEnd"/>
      <w:r w:rsidRPr="00892602">
        <w:t xml:space="preserve"> with </w:t>
      </w:r>
      <w:proofErr w:type="spellStart"/>
      <w:r w:rsidRPr="00892602">
        <w:t>Benjamini</w:t>
      </w:r>
      <w:proofErr w:type="spellEnd"/>
      <w:r w:rsidRPr="00892602">
        <w:t>-Hochberg F</w:t>
      </w:r>
      <w:r>
        <w:t xml:space="preserve">alse </w:t>
      </w:r>
      <w:r w:rsidRPr="00892602">
        <w:t>D</w:t>
      </w:r>
      <w:r>
        <w:t xml:space="preserve">iscovery </w:t>
      </w:r>
      <w:r w:rsidRPr="00892602">
        <w:t>R</w:t>
      </w:r>
      <w:r>
        <w:t>ate (FDR)</w:t>
      </w:r>
      <w:r w:rsidRPr="00892602">
        <w:t xml:space="preserve"> used for correcting multiple testing.</w:t>
      </w:r>
    </w:p>
    <w:p w:rsidR="007057F8" w:rsidRDefault="007057F8" w:rsidP="00282BCF">
      <w:pPr>
        <w:ind w:left="0" w:firstLine="0"/>
      </w:pPr>
    </w:p>
    <w:p w:rsidR="00711FE9" w:rsidRDefault="00711FE9" w:rsidP="00282BCF">
      <w:pPr>
        <w:ind w:left="0" w:firstLine="0"/>
      </w:pPr>
    </w:p>
    <w:p w:rsidR="007057F8" w:rsidRDefault="007057F8" w:rsidP="007057F8"/>
    <w:p w:rsidR="007057F8" w:rsidRPr="004E1455" w:rsidRDefault="007057F8" w:rsidP="007057F8">
      <w:pPr>
        <w:pStyle w:val="Heading2"/>
        <w:rPr>
          <w:sz w:val="28"/>
          <w:szCs w:val="28"/>
        </w:rPr>
      </w:pPr>
      <w:r w:rsidRPr="004E1455">
        <w:rPr>
          <w:sz w:val="28"/>
          <w:szCs w:val="28"/>
        </w:rPr>
        <w:t>Results supplementary section</w:t>
      </w:r>
    </w:p>
    <w:p w:rsidR="007057F8" w:rsidRDefault="007057F8" w:rsidP="007057F8">
      <w:pPr>
        <w:ind w:left="0" w:firstLine="0"/>
        <w:rPr>
          <w:b/>
        </w:rPr>
      </w:pPr>
    </w:p>
    <w:p w:rsidR="007057F8" w:rsidRDefault="007057F8" w:rsidP="007057F8">
      <w:pPr>
        <w:rPr>
          <w:b/>
        </w:rPr>
      </w:pPr>
      <w:r w:rsidRPr="00892602">
        <w:rPr>
          <w:b/>
        </w:rPr>
        <w:t>Sequencing control samples</w:t>
      </w:r>
    </w:p>
    <w:p w:rsidR="007057F8" w:rsidRPr="005F4C74" w:rsidRDefault="007057F8" w:rsidP="007057F8">
      <w:r w:rsidRPr="003B7A1F">
        <w:t xml:space="preserve">The positive </w:t>
      </w:r>
      <w:r>
        <w:t xml:space="preserve">control </w:t>
      </w:r>
      <w:r w:rsidRPr="003B7A1F">
        <w:t>samples consisted of known mock bacterial communities of two types; even and staggered DNA concentrations. We recovered the expected mock communities (Figure</w:t>
      </w:r>
      <w:r>
        <w:t>s</w:t>
      </w:r>
      <w:r w:rsidRPr="003B7A1F">
        <w:t xml:space="preserve"> S1, S2). The negative control samples consisted of low abundance taxa compared to experimental samples (Figure</w:t>
      </w:r>
      <w:r>
        <w:t>s S3, S4)</w:t>
      </w:r>
      <w:r w:rsidRPr="003B7A1F">
        <w:t>.</w:t>
      </w:r>
    </w:p>
    <w:p w:rsidR="007057F8" w:rsidRPr="00892602" w:rsidRDefault="007057F8" w:rsidP="007057F8">
      <w:r w:rsidRPr="00892602">
        <w:rPr>
          <w:noProof/>
        </w:rPr>
        <w:lastRenderedPageBreak/>
        <w:drawing>
          <wp:inline distT="0" distB="0" distL="0" distR="0" wp14:anchorId="72BAA517" wp14:editId="7D5C5A57">
            <wp:extent cx="5972810" cy="4011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itive_control_Mock_types_at_phylum_level.jpeg"/>
                    <pic:cNvPicPr/>
                  </pic:nvPicPr>
                  <pic:blipFill>
                    <a:blip r:embed="rId8">
                      <a:extLst>
                        <a:ext uri="{28A0092B-C50C-407E-A947-70E740481C1C}">
                          <a14:useLocalDpi xmlns:a14="http://schemas.microsoft.com/office/drawing/2010/main" val="0"/>
                        </a:ext>
                      </a:extLst>
                    </a:blip>
                    <a:stretch>
                      <a:fillRect/>
                    </a:stretch>
                  </pic:blipFill>
                  <pic:spPr>
                    <a:xfrm>
                      <a:off x="0" y="0"/>
                      <a:ext cx="5972810" cy="4011930"/>
                    </a:xfrm>
                    <a:prstGeom prst="rect">
                      <a:avLst/>
                    </a:prstGeom>
                  </pic:spPr>
                </pic:pic>
              </a:graphicData>
            </a:graphic>
          </wp:inline>
        </w:drawing>
      </w:r>
    </w:p>
    <w:p w:rsidR="007057F8" w:rsidRPr="00892602" w:rsidRDefault="007057F8" w:rsidP="007057F8">
      <w:pPr>
        <w:rPr>
          <w:sz w:val="18"/>
          <w:szCs w:val="18"/>
        </w:rPr>
      </w:pPr>
      <w:r w:rsidRPr="00892602">
        <w:rPr>
          <w:b/>
          <w:sz w:val="18"/>
          <w:szCs w:val="18"/>
        </w:rPr>
        <w:t>Figure S1:</w:t>
      </w:r>
      <w:r w:rsidRPr="00892602">
        <w:rPr>
          <w:sz w:val="18"/>
          <w:szCs w:val="18"/>
        </w:rPr>
        <w:t xml:space="preserve"> Bacterial mock community at the Phylum level. Even community mock samples are on the left panel and staggered community on the right panel.</w:t>
      </w:r>
    </w:p>
    <w:p w:rsidR="007057F8" w:rsidRPr="00892602" w:rsidRDefault="007057F8" w:rsidP="007057F8">
      <w:pPr>
        <w:rPr>
          <w:sz w:val="18"/>
          <w:szCs w:val="18"/>
        </w:rPr>
      </w:pPr>
    </w:p>
    <w:p w:rsidR="007057F8" w:rsidRPr="00892602" w:rsidRDefault="007057F8" w:rsidP="007057F8">
      <w:pPr>
        <w:rPr>
          <w:sz w:val="18"/>
          <w:szCs w:val="18"/>
        </w:rPr>
      </w:pPr>
      <w:r w:rsidRPr="00892602">
        <w:rPr>
          <w:noProof/>
          <w:sz w:val="18"/>
          <w:szCs w:val="18"/>
        </w:rPr>
        <w:lastRenderedPageBreak/>
        <w:drawing>
          <wp:inline distT="0" distB="0" distL="0" distR="0" wp14:anchorId="5B02A687" wp14:editId="0FBB6AAE">
            <wp:extent cx="5972810" cy="4011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itive_control_Mock_types_at_genus_level.jpeg"/>
                    <pic:cNvPicPr/>
                  </pic:nvPicPr>
                  <pic:blipFill>
                    <a:blip r:embed="rId9">
                      <a:extLst>
                        <a:ext uri="{28A0092B-C50C-407E-A947-70E740481C1C}">
                          <a14:useLocalDpi xmlns:a14="http://schemas.microsoft.com/office/drawing/2010/main" val="0"/>
                        </a:ext>
                      </a:extLst>
                    </a:blip>
                    <a:stretch>
                      <a:fillRect/>
                    </a:stretch>
                  </pic:blipFill>
                  <pic:spPr>
                    <a:xfrm>
                      <a:off x="0" y="0"/>
                      <a:ext cx="5972810" cy="4011930"/>
                    </a:xfrm>
                    <a:prstGeom prst="rect">
                      <a:avLst/>
                    </a:prstGeom>
                  </pic:spPr>
                </pic:pic>
              </a:graphicData>
            </a:graphic>
          </wp:inline>
        </w:drawing>
      </w:r>
    </w:p>
    <w:p w:rsidR="007057F8" w:rsidRPr="00892602" w:rsidRDefault="007057F8" w:rsidP="007057F8">
      <w:pPr>
        <w:rPr>
          <w:sz w:val="18"/>
          <w:szCs w:val="18"/>
        </w:rPr>
      </w:pPr>
      <w:r w:rsidRPr="00892602">
        <w:rPr>
          <w:b/>
          <w:sz w:val="18"/>
          <w:szCs w:val="18"/>
        </w:rPr>
        <w:t>Figure S2:</w:t>
      </w:r>
      <w:r w:rsidRPr="00892602">
        <w:rPr>
          <w:sz w:val="18"/>
          <w:szCs w:val="18"/>
        </w:rPr>
        <w:t xml:space="preserve"> Bacterial mock community at the Genus level. Even community mock samples are on the left panel and staggered community on the right panel.</w:t>
      </w:r>
    </w:p>
    <w:p w:rsidR="007057F8" w:rsidRPr="00892602" w:rsidRDefault="007057F8" w:rsidP="007057F8">
      <w:pPr>
        <w:rPr>
          <w:sz w:val="18"/>
          <w:szCs w:val="18"/>
        </w:rPr>
      </w:pPr>
    </w:p>
    <w:p w:rsidR="007057F8" w:rsidRPr="00892602" w:rsidRDefault="007057F8" w:rsidP="007057F8">
      <w:pPr>
        <w:rPr>
          <w:sz w:val="18"/>
          <w:szCs w:val="18"/>
        </w:rPr>
      </w:pPr>
      <w:r w:rsidRPr="00892602">
        <w:rPr>
          <w:noProof/>
          <w:sz w:val="18"/>
          <w:szCs w:val="18"/>
        </w:rPr>
        <w:lastRenderedPageBreak/>
        <w:drawing>
          <wp:inline distT="0" distB="0" distL="0" distR="0" wp14:anchorId="23F83C53" wp14:editId="052F0EF4">
            <wp:extent cx="5972810" cy="3598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gative_control_samples_at_phylum_level.jpeg"/>
                    <pic:cNvPicPr/>
                  </pic:nvPicPr>
                  <pic:blipFill>
                    <a:blip r:embed="rId10">
                      <a:extLst>
                        <a:ext uri="{28A0092B-C50C-407E-A947-70E740481C1C}">
                          <a14:useLocalDpi xmlns:a14="http://schemas.microsoft.com/office/drawing/2010/main" val="0"/>
                        </a:ext>
                      </a:extLst>
                    </a:blip>
                    <a:stretch>
                      <a:fillRect/>
                    </a:stretch>
                  </pic:blipFill>
                  <pic:spPr>
                    <a:xfrm>
                      <a:off x="0" y="0"/>
                      <a:ext cx="5972810" cy="3598545"/>
                    </a:xfrm>
                    <a:prstGeom prst="rect">
                      <a:avLst/>
                    </a:prstGeom>
                  </pic:spPr>
                </pic:pic>
              </a:graphicData>
            </a:graphic>
          </wp:inline>
        </w:drawing>
      </w:r>
      <w:r w:rsidRPr="00892602">
        <w:rPr>
          <w:b/>
          <w:sz w:val="18"/>
          <w:szCs w:val="18"/>
        </w:rPr>
        <w:t>Figure S3:</w:t>
      </w:r>
      <w:r w:rsidRPr="00892602">
        <w:rPr>
          <w:sz w:val="18"/>
          <w:szCs w:val="18"/>
        </w:rPr>
        <w:t xml:space="preserve"> Phylum level abundance of the negative control samples.</w:t>
      </w:r>
    </w:p>
    <w:p w:rsidR="007057F8" w:rsidRPr="00892602" w:rsidRDefault="007057F8" w:rsidP="007057F8">
      <w:pPr>
        <w:rPr>
          <w:sz w:val="18"/>
          <w:szCs w:val="18"/>
        </w:rPr>
      </w:pPr>
    </w:p>
    <w:p w:rsidR="007057F8" w:rsidRPr="00892602" w:rsidRDefault="007057F8" w:rsidP="007057F8">
      <w:pPr>
        <w:rPr>
          <w:sz w:val="18"/>
          <w:szCs w:val="18"/>
        </w:rPr>
      </w:pPr>
      <w:r w:rsidRPr="00892602">
        <w:rPr>
          <w:noProof/>
          <w:sz w:val="18"/>
          <w:szCs w:val="18"/>
        </w:rPr>
        <w:drawing>
          <wp:inline distT="0" distB="0" distL="0" distR="0" wp14:anchorId="795D4F19" wp14:editId="0BB07596">
            <wp:extent cx="5972810" cy="3281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gative_control_samples_at_genus_level.jpeg"/>
                    <pic:cNvPicPr/>
                  </pic:nvPicPr>
                  <pic:blipFill>
                    <a:blip r:embed="rId11">
                      <a:extLst>
                        <a:ext uri="{28A0092B-C50C-407E-A947-70E740481C1C}">
                          <a14:useLocalDpi xmlns:a14="http://schemas.microsoft.com/office/drawing/2010/main" val="0"/>
                        </a:ext>
                      </a:extLst>
                    </a:blip>
                    <a:stretch>
                      <a:fillRect/>
                    </a:stretch>
                  </pic:blipFill>
                  <pic:spPr>
                    <a:xfrm>
                      <a:off x="0" y="0"/>
                      <a:ext cx="5972810" cy="3281045"/>
                    </a:xfrm>
                    <a:prstGeom prst="rect">
                      <a:avLst/>
                    </a:prstGeom>
                  </pic:spPr>
                </pic:pic>
              </a:graphicData>
            </a:graphic>
          </wp:inline>
        </w:drawing>
      </w:r>
    </w:p>
    <w:p w:rsidR="007057F8" w:rsidRPr="00892602" w:rsidRDefault="007057F8" w:rsidP="007057F8">
      <w:pPr>
        <w:rPr>
          <w:sz w:val="18"/>
          <w:szCs w:val="18"/>
        </w:rPr>
      </w:pPr>
      <w:r w:rsidRPr="00892602">
        <w:rPr>
          <w:b/>
          <w:sz w:val="18"/>
          <w:szCs w:val="18"/>
        </w:rPr>
        <w:t>Figure S4:</w:t>
      </w:r>
      <w:r w:rsidRPr="00892602">
        <w:rPr>
          <w:sz w:val="18"/>
          <w:szCs w:val="18"/>
        </w:rPr>
        <w:t xml:space="preserve"> Genus level abundance of negative control samples.</w:t>
      </w:r>
    </w:p>
    <w:p w:rsidR="007057F8" w:rsidRDefault="007057F8" w:rsidP="007057F8">
      <w:pPr>
        <w:rPr>
          <w:sz w:val="18"/>
          <w:szCs w:val="18"/>
        </w:rPr>
      </w:pPr>
    </w:p>
    <w:p w:rsidR="007057F8" w:rsidRPr="00892602" w:rsidRDefault="007057F8" w:rsidP="007057F8">
      <w:pPr>
        <w:pStyle w:val="Heading3"/>
        <w:ind w:left="0" w:firstLine="709"/>
        <w:rPr>
          <w:rFonts w:ascii="Times New Roman" w:hAnsi="Times New Roman" w:cs="Times New Roman"/>
        </w:rPr>
      </w:pPr>
      <w:r w:rsidRPr="00892602">
        <w:rPr>
          <w:rFonts w:ascii="Times New Roman" w:hAnsi="Times New Roman" w:cs="Times New Roman"/>
        </w:rPr>
        <w:lastRenderedPageBreak/>
        <w:t>Similar microbiota in the stomach by anatomical positions</w:t>
      </w:r>
    </w:p>
    <w:p w:rsidR="007057F8" w:rsidRPr="00892602" w:rsidRDefault="007057F8" w:rsidP="007057F8">
      <w:r w:rsidRPr="00892602">
        <w:t>To assess the variation of microbiota structure by stomach anatomical sites (corpus and antrum), we estimated microbial alpha diversity (</w:t>
      </w:r>
      <w:r>
        <w:t xml:space="preserve">i.e. </w:t>
      </w:r>
      <w:r w:rsidRPr="00892602">
        <w:t>within sample diversity) using Shannon index. The corpus and antrum stomach anatomical sites had similar estimates of alpha diversity (</w:t>
      </w:r>
      <w:r w:rsidRPr="00DE4E7D">
        <w:t>Figure S5</w:t>
      </w:r>
      <w:r w:rsidRPr="00892602">
        <w:t xml:space="preserve">; Observed (p = </w:t>
      </w:r>
      <w:r w:rsidRPr="00892602">
        <w:rPr>
          <w:lang w:val="en-GB"/>
        </w:rPr>
        <w:t>0.24</w:t>
      </w:r>
      <w:r>
        <w:t xml:space="preserve">), </w:t>
      </w:r>
      <w:r w:rsidRPr="00892602">
        <w:t xml:space="preserve">Shannon (p = </w:t>
      </w:r>
      <w:r w:rsidRPr="00892602">
        <w:rPr>
          <w:lang w:val="en-GB"/>
        </w:rPr>
        <w:t>0.17</w:t>
      </w:r>
      <w:r w:rsidRPr="00892602">
        <w:t>)</w:t>
      </w:r>
      <w:r>
        <w:t>)</w:t>
      </w:r>
      <w:r w:rsidRPr="00892602">
        <w:t>. We did not observe a difference in clustering by stomach sampling site when visualizing</w:t>
      </w:r>
      <w:r>
        <w:t xml:space="preserve"> Bray Curtis distances in</w:t>
      </w:r>
      <w:r w:rsidRPr="00892602">
        <w:t xml:space="preserve"> Principal Coordinates Analysis (</w:t>
      </w:r>
      <w:proofErr w:type="spellStart"/>
      <w:r w:rsidRPr="00892602">
        <w:t>PCoA</w:t>
      </w:r>
      <w:proofErr w:type="spellEnd"/>
      <w:r w:rsidRPr="00892602">
        <w:t>) plot ((</w:t>
      </w:r>
      <w:r>
        <w:t>Figure S6</w:t>
      </w:r>
      <w:r w:rsidRPr="00892602">
        <w:t>)</w:t>
      </w:r>
      <w:r>
        <w:t>,</w:t>
      </w:r>
      <w:r w:rsidRPr="00892602">
        <w:t xml:space="preserve"> and a statistical test using PERMANOVA (Adonis test, in R Vegan package) did not show any </w:t>
      </w:r>
      <w:r>
        <w:t xml:space="preserve">significant </w:t>
      </w:r>
      <w:r w:rsidRPr="00892602">
        <w:t>difference in the two sites (R</w:t>
      </w:r>
      <w:r w:rsidRPr="00EE7C07">
        <w:t>2</w:t>
      </w:r>
      <w:r w:rsidRPr="00892602">
        <w:t xml:space="preserve"> = 0.003, p = 0.05). Similarly, there were no enriched taxa found at one of the stomach anatomical site compared to the other that attained statistical significance (at 5% </w:t>
      </w:r>
      <w:r>
        <w:t xml:space="preserve">FDR </w:t>
      </w:r>
      <w:r w:rsidRPr="00892602">
        <w:t>level) using differential abundance testing (DESeq2) analysis</w:t>
      </w:r>
      <w:r>
        <w:t>,  h</w:t>
      </w:r>
      <w:r w:rsidRPr="00892602">
        <w:t>e</w:t>
      </w:r>
      <w:r>
        <w:t>nce we focused</w:t>
      </w:r>
      <w:r w:rsidRPr="00892602">
        <w:t xml:space="preserve"> the </w:t>
      </w:r>
      <w:r>
        <w:t xml:space="preserve">downstream analysis on the </w:t>
      </w:r>
      <w:r w:rsidRPr="00892602">
        <w:t>corpus samples.</w:t>
      </w:r>
    </w:p>
    <w:p w:rsidR="007057F8" w:rsidRPr="00D755F8" w:rsidRDefault="007057F8" w:rsidP="007057F8"/>
    <w:p w:rsidR="007057F8" w:rsidRDefault="007057F8" w:rsidP="007057F8">
      <w:pPr>
        <w:rPr>
          <w:sz w:val="18"/>
          <w:szCs w:val="18"/>
        </w:rPr>
      </w:pPr>
    </w:p>
    <w:p w:rsidR="007057F8" w:rsidRPr="00892602" w:rsidRDefault="007057F8" w:rsidP="007057F8">
      <w:r>
        <w:rPr>
          <w:noProof/>
        </w:rPr>
        <w:drawing>
          <wp:inline distT="0" distB="0" distL="0" distR="0" wp14:anchorId="0B9BA694" wp14:editId="6D52403F">
            <wp:extent cx="575691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3552825"/>
                    </a:xfrm>
                    <a:prstGeom prst="rect">
                      <a:avLst/>
                    </a:prstGeom>
                  </pic:spPr>
                </pic:pic>
              </a:graphicData>
            </a:graphic>
          </wp:inline>
        </w:drawing>
      </w:r>
    </w:p>
    <w:p w:rsidR="007057F8" w:rsidRPr="00892602" w:rsidRDefault="007057F8" w:rsidP="007057F8">
      <w:pPr>
        <w:rPr>
          <w:sz w:val="18"/>
          <w:szCs w:val="18"/>
        </w:rPr>
      </w:pPr>
      <w:r w:rsidRPr="00892602">
        <w:rPr>
          <w:b/>
          <w:sz w:val="18"/>
          <w:szCs w:val="18"/>
        </w:rPr>
        <w:t xml:space="preserve">Figure </w:t>
      </w:r>
      <w:r>
        <w:rPr>
          <w:b/>
          <w:sz w:val="18"/>
          <w:szCs w:val="18"/>
        </w:rPr>
        <w:t>S5</w:t>
      </w:r>
      <w:r w:rsidRPr="00892602">
        <w:rPr>
          <w:sz w:val="18"/>
          <w:szCs w:val="18"/>
        </w:rPr>
        <w:t>: Alpha diversity box plots of</w:t>
      </w:r>
      <w:r>
        <w:rPr>
          <w:sz w:val="18"/>
          <w:szCs w:val="18"/>
        </w:rPr>
        <w:t xml:space="preserve"> corpus and antrum samples showing</w:t>
      </w:r>
      <w:r w:rsidRPr="00892602">
        <w:rPr>
          <w:sz w:val="18"/>
          <w:szCs w:val="18"/>
        </w:rPr>
        <w:t xml:space="preserve"> Observed </w:t>
      </w:r>
      <w:r>
        <w:rPr>
          <w:sz w:val="18"/>
          <w:szCs w:val="18"/>
        </w:rPr>
        <w:t xml:space="preserve">richness </w:t>
      </w:r>
      <w:r w:rsidRPr="00892602">
        <w:rPr>
          <w:sz w:val="18"/>
          <w:szCs w:val="18"/>
        </w:rPr>
        <w:t xml:space="preserve">(p = </w:t>
      </w:r>
      <w:r>
        <w:rPr>
          <w:sz w:val="18"/>
          <w:szCs w:val="18"/>
          <w:lang w:val="en-GB"/>
        </w:rPr>
        <w:t>0.24</w:t>
      </w:r>
      <w:r w:rsidRPr="00892602">
        <w:rPr>
          <w:sz w:val="18"/>
          <w:szCs w:val="18"/>
        </w:rPr>
        <w:t>)</w:t>
      </w:r>
      <w:r>
        <w:rPr>
          <w:sz w:val="18"/>
          <w:szCs w:val="18"/>
        </w:rPr>
        <w:t xml:space="preserve"> and </w:t>
      </w:r>
      <w:r w:rsidRPr="00892602">
        <w:rPr>
          <w:sz w:val="18"/>
          <w:szCs w:val="18"/>
        </w:rPr>
        <w:t xml:space="preserve">Shannon index (p = </w:t>
      </w:r>
      <w:r>
        <w:rPr>
          <w:sz w:val="18"/>
          <w:szCs w:val="18"/>
          <w:lang w:val="en-GB"/>
        </w:rPr>
        <w:t>0.17</w:t>
      </w:r>
      <w:r>
        <w:rPr>
          <w:sz w:val="18"/>
          <w:szCs w:val="18"/>
        </w:rPr>
        <w:t>)</w:t>
      </w:r>
      <w:r w:rsidRPr="00892602">
        <w:rPr>
          <w:sz w:val="18"/>
          <w:szCs w:val="18"/>
        </w:rPr>
        <w:t xml:space="preserve">. </w:t>
      </w:r>
      <w:r>
        <w:rPr>
          <w:sz w:val="18"/>
          <w:szCs w:val="18"/>
        </w:rPr>
        <w:t>Statistical d</w:t>
      </w:r>
      <w:r w:rsidRPr="00892602">
        <w:rPr>
          <w:sz w:val="18"/>
          <w:szCs w:val="18"/>
        </w:rPr>
        <w:t>ifferences between the</w:t>
      </w:r>
      <w:r>
        <w:rPr>
          <w:sz w:val="18"/>
          <w:szCs w:val="18"/>
        </w:rPr>
        <w:t xml:space="preserve"> ranked means in the two sampling sites for </w:t>
      </w:r>
      <w:r w:rsidRPr="00892602">
        <w:rPr>
          <w:sz w:val="18"/>
          <w:szCs w:val="18"/>
        </w:rPr>
        <w:t xml:space="preserve">each of the </w:t>
      </w:r>
      <w:r>
        <w:rPr>
          <w:sz w:val="18"/>
          <w:szCs w:val="18"/>
        </w:rPr>
        <w:t xml:space="preserve">alpha diversity parameters </w:t>
      </w:r>
      <w:proofErr w:type="gramStart"/>
      <w:r w:rsidRPr="00892602">
        <w:rPr>
          <w:sz w:val="18"/>
          <w:szCs w:val="18"/>
        </w:rPr>
        <w:t>were tested</w:t>
      </w:r>
      <w:proofErr w:type="gramEnd"/>
      <w:r w:rsidRPr="00892602">
        <w:rPr>
          <w:sz w:val="18"/>
          <w:szCs w:val="18"/>
        </w:rPr>
        <w:t xml:space="preserve"> using Wilcoxon test.</w:t>
      </w:r>
    </w:p>
    <w:p w:rsidR="007057F8" w:rsidRPr="00892602" w:rsidRDefault="007057F8" w:rsidP="007057F8">
      <w:pPr>
        <w:rPr>
          <w:sz w:val="18"/>
          <w:szCs w:val="18"/>
          <w:lang w:val="en-GB"/>
        </w:rPr>
      </w:pPr>
    </w:p>
    <w:p w:rsidR="007057F8" w:rsidRPr="00892602" w:rsidRDefault="007057F8" w:rsidP="007057F8">
      <w:pPr>
        <w:rPr>
          <w:sz w:val="18"/>
          <w:szCs w:val="18"/>
          <w:lang w:val="en-GB"/>
        </w:rPr>
      </w:pPr>
      <w:r w:rsidRPr="00892602">
        <w:rPr>
          <w:noProof/>
          <w:sz w:val="18"/>
          <w:szCs w:val="18"/>
        </w:rPr>
        <w:drawing>
          <wp:inline distT="0" distB="0" distL="0" distR="0" wp14:anchorId="0777B1D8" wp14:editId="15EE4FD0">
            <wp:extent cx="5972810" cy="4266565"/>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OA_beta-diversity_Corpus_antrum.png"/>
                    <pic:cNvPicPr/>
                  </pic:nvPicPr>
                  <pic:blipFill>
                    <a:blip r:embed="rId13">
                      <a:extLst>
                        <a:ext uri="{28A0092B-C50C-407E-A947-70E740481C1C}">
                          <a14:useLocalDpi xmlns:a14="http://schemas.microsoft.com/office/drawing/2010/main" val="0"/>
                        </a:ext>
                      </a:extLst>
                    </a:blip>
                    <a:stretch>
                      <a:fillRect/>
                    </a:stretch>
                  </pic:blipFill>
                  <pic:spPr>
                    <a:xfrm>
                      <a:off x="0" y="0"/>
                      <a:ext cx="5972810" cy="4266565"/>
                    </a:xfrm>
                    <a:prstGeom prst="rect">
                      <a:avLst/>
                    </a:prstGeom>
                  </pic:spPr>
                </pic:pic>
              </a:graphicData>
            </a:graphic>
          </wp:inline>
        </w:drawing>
      </w:r>
    </w:p>
    <w:p w:rsidR="007057F8" w:rsidRPr="00892602" w:rsidRDefault="007057F8" w:rsidP="007057F8">
      <w:pPr>
        <w:rPr>
          <w:sz w:val="18"/>
          <w:szCs w:val="18"/>
        </w:rPr>
      </w:pPr>
      <w:r>
        <w:rPr>
          <w:b/>
          <w:sz w:val="18"/>
          <w:szCs w:val="18"/>
          <w:lang w:val="en-GB"/>
        </w:rPr>
        <w:t>Figure S6</w:t>
      </w:r>
      <w:r w:rsidRPr="00892602">
        <w:rPr>
          <w:b/>
          <w:sz w:val="18"/>
          <w:szCs w:val="18"/>
          <w:lang w:val="en-GB"/>
        </w:rPr>
        <w:t>:</w:t>
      </w:r>
      <w:r w:rsidRPr="00892602">
        <w:rPr>
          <w:sz w:val="18"/>
          <w:szCs w:val="18"/>
          <w:lang w:val="en-GB"/>
        </w:rPr>
        <w:t xml:space="preserve"> Principal Coordinates Analysis (</w:t>
      </w:r>
      <w:proofErr w:type="spellStart"/>
      <w:r w:rsidRPr="00892602">
        <w:rPr>
          <w:sz w:val="18"/>
          <w:szCs w:val="18"/>
          <w:lang w:val="en-GB"/>
        </w:rPr>
        <w:t>PCoA</w:t>
      </w:r>
      <w:proofErr w:type="spellEnd"/>
      <w:r w:rsidRPr="00892602">
        <w:rPr>
          <w:sz w:val="18"/>
          <w:szCs w:val="18"/>
          <w:lang w:val="en-GB"/>
        </w:rPr>
        <w:t xml:space="preserve">) plots of Bray Curtis distances (The left panel) and weighted </w:t>
      </w:r>
      <w:proofErr w:type="spellStart"/>
      <w:r w:rsidRPr="00892602">
        <w:rPr>
          <w:sz w:val="18"/>
          <w:szCs w:val="18"/>
          <w:lang w:val="en-GB"/>
        </w:rPr>
        <w:t>unifrac</w:t>
      </w:r>
      <w:proofErr w:type="spellEnd"/>
      <w:r w:rsidRPr="00892602">
        <w:rPr>
          <w:sz w:val="18"/>
          <w:szCs w:val="18"/>
          <w:lang w:val="en-GB"/>
        </w:rPr>
        <w:t xml:space="preserve"> (right panel) showing no </w:t>
      </w:r>
      <w:r>
        <w:rPr>
          <w:sz w:val="18"/>
          <w:szCs w:val="18"/>
          <w:lang w:val="en-GB"/>
        </w:rPr>
        <w:t xml:space="preserve">significant </w:t>
      </w:r>
      <w:r w:rsidRPr="00892602">
        <w:rPr>
          <w:sz w:val="18"/>
          <w:szCs w:val="18"/>
          <w:lang w:val="en-GB"/>
        </w:rPr>
        <w:t xml:space="preserve">difference (p=0.05, </w:t>
      </w:r>
      <w:proofErr w:type="spellStart"/>
      <w:r w:rsidRPr="00892602">
        <w:rPr>
          <w:sz w:val="18"/>
          <w:szCs w:val="18"/>
          <w:lang w:val="en-GB"/>
        </w:rPr>
        <w:t>Permanova</w:t>
      </w:r>
      <w:proofErr w:type="spellEnd"/>
      <w:r w:rsidRPr="00892602">
        <w:rPr>
          <w:sz w:val="18"/>
          <w:szCs w:val="18"/>
          <w:lang w:val="en-GB"/>
        </w:rPr>
        <w:t xml:space="preserve"> test) between corpus and antrum samples</w:t>
      </w:r>
    </w:p>
    <w:p w:rsidR="007057F8" w:rsidRDefault="007057F8" w:rsidP="007057F8"/>
    <w:p w:rsidR="007057F8" w:rsidRDefault="007057F8" w:rsidP="007057F8">
      <w:r w:rsidRPr="00B72335">
        <w:rPr>
          <w:noProof/>
        </w:rPr>
        <w:lastRenderedPageBreak/>
        <w:drawing>
          <wp:inline distT="0" distB="0" distL="0" distR="0" wp14:anchorId="727895B5" wp14:editId="171434F8">
            <wp:extent cx="5756910" cy="5635773"/>
            <wp:effectExtent l="0" t="0" r="0" b="3175"/>
            <wp:docPr id="3" name="Picture 3" descr="C:\Users\nelnde\Documents\Proportion_of_HP_seqs_by_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nde\Documents\Proportion_of_HP_seqs_by_Categor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635773"/>
                    </a:xfrm>
                    <a:prstGeom prst="rect">
                      <a:avLst/>
                    </a:prstGeom>
                    <a:noFill/>
                    <a:ln>
                      <a:noFill/>
                    </a:ln>
                  </pic:spPr>
                </pic:pic>
              </a:graphicData>
            </a:graphic>
          </wp:inline>
        </w:drawing>
      </w:r>
    </w:p>
    <w:p w:rsidR="007057F8" w:rsidRPr="00496E64" w:rsidRDefault="007057F8" w:rsidP="007057F8">
      <w:r w:rsidRPr="00DE4E7D">
        <w:rPr>
          <w:b/>
          <w:sz w:val="18"/>
          <w:szCs w:val="18"/>
        </w:rPr>
        <w:t>Figure S7</w:t>
      </w:r>
      <w:r w:rsidRPr="00892602">
        <w:rPr>
          <w:b/>
          <w:sz w:val="18"/>
          <w:szCs w:val="18"/>
        </w:rPr>
        <w:t>:</w:t>
      </w:r>
      <w:r w:rsidRPr="00892602">
        <w:rPr>
          <w:sz w:val="18"/>
          <w:szCs w:val="18"/>
        </w:rPr>
        <w:t xml:space="preserve"> </w:t>
      </w:r>
      <w:r>
        <w:rPr>
          <w:sz w:val="18"/>
          <w:szCs w:val="18"/>
        </w:rPr>
        <w:t xml:space="preserve">Proportion of </w:t>
      </w:r>
      <w:r w:rsidRPr="00496E64">
        <w:rPr>
          <w:i/>
          <w:sz w:val="18"/>
          <w:szCs w:val="18"/>
        </w:rPr>
        <w:t>H. pylori</w:t>
      </w:r>
      <w:r>
        <w:rPr>
          <w:sz w:val="18"/>
          <w:szCs w:val="18"/>
        </w:rPr>
        <w:t xml:space="preserve"> reads by analysis category</w:t>
      </w:r>
      <w:r w:rsidRPr="00496E64">
        <w:rPr>
          <w:sz w:val="18"/>
          <w:szCs w:val="18"/>
        </w:rPr>
        <w:t>, Normal = 0.03%</w:t>
      </w:r>
      <w:r>
        <w:rPr>
          <w:sz w:val="18"/>
          <w:szCs w:val="18"/>
        </w:rPr>
        <w:t xml:space="preserve">, </w:t>
      </w:r>
      <w:proofErr w:type="spellStart"/>
      <w:r w:rsidRPr="00D74CD2">
        <w:rPr>
          <w:i/>
          <w:sz w:val="18"/>
          <w:szCs w:val="18"/>
        </w:rPr>
        <w:t>Hp</w:t>
      </w:r>
      <w:proofErr w:type="spellEnd"/>
      <w:r w:rsidRPr="00496E64">
        <w:rPr>
          <w:sz w:val="18"/>
          <w:szCs w:val="18"/>
        </w:rPr>
        <w:t xml:space="preserve"> gastritis = 14.24</w:t>
      </w:r>
      <w:r>
        <w:rPr>
          <w:sz w:val="18"/>
          <w:szCs w:val="18"/>
        </w:rPr>
        <w:t>%,</w:t>
      </w:r>
      <w:r w:rsidRPr="00496E64">
        <w:rPr>
          <w:sz w:val="18"/>
          <w:szCs w:val="18"/>
        </w:rPr>
        <w:t xml:space="preserve"> Atrophic gastritis = 10.28%, </w:t>
      </w:r>
      <w:proofErr w:type="spellStart"/>
      <w:r w:rsidRPr="00496E64">
        <w:rPr>
          <w:sz w:val="18"/>
          <w:szCs w:val="18"/>
        </w:rPr>
        <w:t>Antr</w:t>
      </w:r>
      <w:proofErr w:type="spellEnd"/>
      <w:r w:rsidRPr="00496E64">
        <w:rPr>
          <w:sz w:val="18"/>
          <w:szCs w:val="18"/>
        </w:rPr>
        <w:t xml:space="preserve"> </w:t>
      </w:r>
      <w:proofErr w:type="spellStart"/>
      <w:r w:rsidRPr="00496E64">
        <w:rPr>
          <w:sz w:val="18"/>
          <w:szCs w:val="18"/>
        </w:rPr>
        <w:t>chem</w:t>
      </w:r>
      <w:proofErr w:type="spellEnd"/>
      <w:r w:rsidRPr="00496E64">
        <w:rPr>
          <w:sz w:val="18"/>
          <w:szCs w:val="18"/>
        </w:rPr>
        <w:t xml:space="preserve"> </w:t>
      </w:r>
      <w:proofErr w:type="spellStart"/>
      <w:r w:rsidRPr="00496E64">
        <w:rPr>
          <w:sz w:val="18"/>
          <w:szCs w:val="18"/>
        </w:rPr>
        <w:t>gastr</w:t>
      </w:r>
      <w:proofErr w:type="spellEnd"/>
      <w:r w:rsidRPr="00496E64">
        <w:rPr>
          <w:sz w:val="18"/>
          <w:szCs w:val="18"/>
        </w:rPr>
        <w:t xml:space="preserve"> = 0.06%,</w:t>
      </w:r>
      <w:r>
        <w:rPr>
          <w:sz w:val="18"/>
          <w:szCs w:val="18"/>
        </w:rPr>
        <w:t xml:space="preserve"> </w:t>
      </w:r>
      <w:proofErr w:type="spellStart"/>
      <w:r w:rsidRPr="00496E64">
        <w:rPr>
          <w:sz w:val="18"/>
          <w:szCs w:val="18"/>
        </w:rPr>
        <w:t>PostHP</w:t>
      </w:r>
      <w:proofErr w:type="spellEnd"/>
      <w:r w:rsidRPr="00496E64">
        <w:rPr>
          <w:sz w:val="18"/>
          <w:szCs w:val="18"/>
        </w:rPr>
        <w:t xml:space="preserve"> &amp; </w:t>
      </w:r>
      <w:proofErr w:type="spellStart"/>
      <w:r w:rsidRPr="00496E64">
        <w:rPr>
          <w:sz w:val="18"/>
          <w:szCs w:val="18"/>
        </w:rPr>
        <w:t>seroP</w:t>
      </w:r>
      <w:proofErr w:type="spellEnd"/>
      <w:r w:rsidRPr="00496E64">
        <w:rPr>
          <w:sz w:val="18"/>
          <w:szCs w:val="18"/>
        </w:rPr>
        <w:t xml:space="preserve"> = 0.28%</w:t>
      </w:r>
    </w:p>
    <w:p w:rsidR="007057F8" w:rsidRPr="00496E64" w:rsidRDefault="007057F8" w:rsidP="007057F8"/>
    <w:p w:rsidR="007057F8" w:rsidRPr="00892602" w:rsidRDefault="007057F8" w:rsidP="007057F8">
      <w:r w:rsidRPr="00892602">
        <w:rPr>
          <w:noProof/>
        </w:rPr>
        <w:lastRenderedPageBreak/>
        <w:drawing>
          <wp:inline distT="0" distB="0" distL="0" distR="0" wp14:anchorId="7D40DD70" wp14:editId="3C7C1F9A">
            <wp:extent cx="5972810" cy="368617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3686175"/>
                    </a:xfrm>
                    <a:prstGeom prst="rect">
                      <a:avLst/>
                    </a:prstGeom>
                  </pic:spPr>
                </pic:pic>
              </a:graphicData>
            </a:graphic>
          </wp:inline>
        </w:drawing>
      </w:r>
    </w:p>
    <w:p w:rsidR="007057F8" w:rsidRDefault="007057F8" w:rsidP="007057F8">
      <w:pPr>
        <w:rPr>
          <w:sz w:val="18"/>
          <w:szCs w:val="18"/>
        </w:rPr>
      </w:pPr>
      <w:r>
        <w:rPr>
          <w:b/>
          <w:sz w:val="18"/>
          <w:szCs w:val="18"/>
        </w:rPr>
        <w:t>Figure S8</w:t>
      </w:r>
      <w:r w:rsidRPr="00892602">
        <w:rPr>
          <w:b/>
          <w:sz w:val="18"/>
          <w:szCs w:val="18"/>
        </w:rPr>
        <w:t>:</w:t>
      </w:r>
      <w:r w:rsidRPr="00892602">
        <w:rPr>
          <w:sz w:val="18"/>
          <w:szCs w:val="18"/>
        </w:rPr>
        <w:t xml:space="preserve"> Clustering of samples by </w:t>
      </w:r>
      <w:proofErr w:type="spellStart"/>
      <w:r w:rsidRPr="00892602">
        <w:rPr>
          <w:sz w:val="18"/>
          <w:szCs w:val="18"/>
        </w:rPr>
        <w:t>Helicobater</w:t>
      </w:r>
      <w:proofErr w:type="spellEnd"/>
      <w:r w:rsidRPr="00892602">
        <w:rPr>
          <w:sz w:val="18"/>
          <w:szCs w:val="18"/>
        </w:rPr>
        <w:t xml:space="preserve"> status.</w:t>
      </w:r>
    </w:p>
    <w:p w:rsidR="007057F8" w:rsidRDefault="007057F8" w:rsidP="007057F8">
      <w:r>
        <w:rPr>
          <w:noProof/>
        </w:rPr>
        <w:drawing>
          <wp:inline distT="0" distB="0" distL="0" distR="0" wp14:anchorId="00D531FD" wp14:editId="0DEB5EA0">
            <wp:extent cx="5756910" cy="3552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3552825"/>
                    </a:xfrm>
                    <a:prstGeom prst="rect">
                      <a:avLst/>
                    </a:prstGeom>
                  </pic:spPr>
                </pic:pic>
              </a:graphicData>
            </a:graphic>
          </wp:inline>
        </w:drawing>
      </w:r>
    </w:p>
    <w:p w:rsidR="007057F8" w:rsidRPr="00892602" w:rsidRDefault="007057F8" w:rsidP="007057F8">
      <w:r>
        <w:rPr>
          <w:b/>
          <w:sz w:val="18"/>
          <w:szCs w:val="18"/>
        </w:rPr>
        <w:t>Figure S9</w:t>
      </w:r>
      <w:r w:rsidRPr="00892602">
        <w:rPr>
          <w:b/>
          <w:sz w:val="18"/>
          <w:szCs w:val="18"/>
        </w:rPr>
        <w:t>:</w:t>
      </w:r>
      <w:r w:rsidRPr="00892602">
        <w:rPr>
          <w:sz w:val="18"/>
          <w:szCs w:val="18"/>
        </w:rPr>
        <w:t xml:space="preserve"> </w:t>
      </w:r>
      <w:proofErr w:type="spellStart"/>
      <w:r>
        <w:rPr>
          <w:sz w:val="18"/>
          <w:szCs w:val="18"/>
        </w:rPr>
        <w:t>Pielou</w:t>
      </w:r>
      <w:proofErr w:type="spellEnd"/>
      <w:r>
        <w:rPr>
          <w:sz w:val="18"/>
          <w:szCs w:val="18"/>
        </w:rPr>
        <w:t xml:space="preserve"> Evenness and Shannon alpha diversity</w:t>
      </w:r>
      <w:r w:rsidRPr="00892602">
        <w:rPr>
          <w:sz w:val="18"/>
          <w:szCs w:val="18"/>
        </w:rPr>
        <w:t xml:space="preserve"> by </w:t>
      </w:r>
      <w:r w:rsidRPr="00496E64">
        <w:rPr>
          <w:i/>
          <w:sz w:val="18"/>
          <w:szCs w:val="18"/>
        </w:rPr>
        <w:t>H. pylori</w:t>
      </w:r>
      <w:r w:rsidRPr="00892602">
        <w:rPr>
          <w:sz w:val="18"/>
          <w:szCs w:val="18"/>
        </w:rPr>
        <w:t xml:space="preserve"> status.</w:t>
      </w:r>
    </w:p>
    <w:p w:rsidR="007057F8" w:rsidRDefault="007057F8" w:rsidP="007057F8"/>
    <w:p w:rsidR="007057F8" w:rsidRDefault="007057F8" w:rsidP="007057F8"/>
    <w:p w:rsidR="007057F8" w:rsidRPr="00D777F4" w:rsidRDefault="007057F8" w:rsidP="007057F8">
      <w:pPr>
        <w:pStyle w:val="Heading3"/>
        <w:rPr>
          <w:rFonts w:ascii="Times New Roman" w:hAnsi="Times New Roman" w:cs="Times New Roman"/>
        </w:rPr>
      </w:pPr>
      <w:r w:rsidRPr="00892602">
        <w:rPr>
          <w:rFonts w:ascii="Times New Roman" w:hAnsi="Times New Roman" w:cs="Times New Roman"/>
        </w:rPr>
        <w:t>Diversity between groups</w:t>
      </w:r>
    </w:p>
    <w:p w:rsidR="007057F8" w:rsidRDefault="007057F8" w:rsidP="007057F8">
      <w:proofErr w:type="gramStart"/>
      <w:r w:rsidRPr="00892602">
        <w:t xml:space="preserve">Direct ordination using Canonical correspondence analysis (CCA), a constrained analysis that aids in elucidating the relationships between biological assemblages of species and their environment showed that the first axis, i.e. the main explainable variation in the species composition was </w:t>
      </w:r>
      <w:r>
        <w:t>negatively</w:t>
      </w:r>
      <w:r w:rsidRPr="00892602">
        <w:t xml:space="preserve"> correlated with those classified as normal (ca. </w:t>
      </w:r>
      <w:r>
        <w:t>-</w:t>
      </w:r>
      <w:r w:rsidRPr="00892602">
        <w:t xml:space="preserve">4.5, strongly correlated given arrow length) and </w:t>
      </w:r>
      <w:r>
        <w:t>positively</w:t>
      </w:r>
      <w:r w:rsidRPr="00892602">
        <w:t xml:space="preserve"> correlated with those classified as either </w:t>
      </w:r>
      <w:r w:rsidRPr="00470701">
        <w:rPr>
          <w:i/>
        </w:rPr>
        <w:t>H. pylori</w:t>
      </w:r>
      <w:r>
        <w:t xml:space="preserve"> gastritis (ca. 9</w:t>
      </w:r>
      <w:r w:rsidRPr="00892602">
        <w:t>, strongly correlated)</w:t>
      </w:r>
      <w:r>
        <w:t xml:space="preserve"> or atrophic gastritis (</w:t>
      </w:r>
      <w:r w:rsidRPr="00892602">
        <w:t>ca. 2, moderately correlated)</w:t>
      </w:r>
      <w:r>
        <w:t xml:space="preserve"> (Figure S10)</w:t>
      </w:r>
      <w:r w:rsidRPr="00892602">
        <w:t>.</w:t>
      </w:r>
      <w:proofErr w:type="gramEnd"/>
      <w:r w:rsidRPr="00892602">
        <w:t xml:space="preserve"> Those classified as post </w:t>
      </w:r>
      <w:r w:rsidRPr="00470701">
        <w:rPr>
          <w:i/>
        </w:rPr>
        <w:t>H. pylori</w:t>
      </w:r>
      <w:r>
        <w:t xml:space="preserve"> eradication</w:t>
      </w:r>
      <w:r w:rsidRPr="00892602">
        <w:t xml:space="preserve"> &amp; serology positive </w:t>
      </w:r>
      <w:proofErr w:type="gramStart"/>
      <w:r w:rsidRPr="00892602">
        <w:t>were primarily related</w:t>
      </w:r>
      <w:proofErr w:type="gramEnd"/>
      <w:r w:rsidRPr="00892602">
        <w:t xml:space="preserve"> to the second axis (ca. 4.5). Redundancy analysis (RDA) that has the ability to detect any gradients unlike CCA gave similar results.</w:t>
      </w:r>
      <w:r>
        <w:t xml:space="preserve"> Alternative methods to ordination </w:t>
      </w:r>
      <w:proofErr w:type="gramStart"/>
      <w:r>
        <w:t>were used</w:t>
      </w:r>
      <w:proofErr w:type="gramEnd"/>
      <w:r>
        <w:t xml:space="preserve"> to assess robustness of the results. </w:t>
      </w:r>
      <w:proofErr w:type="spellStart"/>
      <w:r w:rsidRPr="00DE75E0">
        <w:t>Permutational</w:t>
      </w:r>
      <w:proofErr w:type="spellEnd"/>
      <w:r w:rsidRPr="00DE75E0">
        <w:t xml:space="preserve"> multivariate analysis of variance (</w:t>
      </w:r>
      <w:proofErr w:type="spellStart"/>
      <w:r w:rsidRPr="00DE75E0">
        <w:t>Permanova</w:t>
      </w:r>
      <w:proofErr w:type="spellEnd"/>
      <w:r w:rsidRPr="00DE75E0">
        <w:t xml:space="preserve">) derived from Bray-Curtis distance was used to test if samples differed between the main category groups (normal, atrophic gastritis, HP gastritis and antrum chemical gastritis) and we found that the distribution and abundances of microbiota composition were significantly different (p = 0.001) between the group. </w:t>
      </w:r>
      <w:r>
        <w:t xml:space="preserve">Similar results </w:t>
      </w:r>
      <w:proofErr w:type="gramStart"/>
      <w:r>
        <w:t>were found</w:t>
      </w:r>
      <w:proofErr w:type="gramEnd"/>
      <w:r>
        <w:t xml:space="preserve"> when using </w:t>
      </w:r>
      <w:proofErr w:type="spellStart"/>
      <w:r>
        <w:t>Permanova</w:t>
      </w:r>
      <w:proofErr w:type="spellEnd"/>
      <w:r>
        <w:t xml:space="preserve"> on both weighted and unweighted </w:t>
      </w:r>
      <w:proofErr w:type="spellStart"/>
      <w:r>
        <w:t>Unifrac</w:t>
      </w:r>
      <w:proofErr w:type="spellEnd"/>
      <w:r>
        <w:t xml:space="preserve"> distances. </w:t>
      </w:r>
      <w:r w:rsidRPr="00DE75E0">
        <w:t>An investigation into whether the assumptions of the test were met showed that variance homogeneity assumptions we met (p = 0.09).</w:t>
      </w:r>
      <w:r>
        <w:t xml:space="preserve"> C</w:t>
      </w:r>
      <w:r w:rsidRPr="00892602">
        <w:t xml:space="preserve">lustering by </w:t>
      </w:r>
      <w:r>
        <w:t>sample category</w:t>
      </w:r>
      <w:r w:rsidRPr="00892602">
        <w:t xml:space="preserve"> </w:t>
      </w:r>
      <w:r>
        <w:t>was also</w:t>
      </w:r>
      <w:r w:rsidRPr="00892602">
        <w:t xml:space="preserve"> visualiz</w:t>
      </w:r>
      <w:r>
        <w:t>ed using weighted-</w:t>
      </w:r>
      <w:proofErr w:type="spellStart"/>
      <w:r>
        <w:t>unifrac</w:t>
      </w:r>
      <w:proofErr w:type="spellEnd"/>
      <w:r>
        <w:t xml:space="preserve"> dissimilarity in</w:t>
      </w:r>
      <w:r w:rsidRPr="00892602">
        <w:t xml:space="preserve"> Principal Coordinates Analysis (</w:t>
      </w:r>
      <w:proofErr w:type="spellStart"/>
      <w:r w:rsidRPr="00892602">
        <w:t>PCoA</w:t>
      </w:r>
      <w:proofErr w:type="spellEnd"/>
      <w:r w:rsidRPr="00892602">
        <w:t>) plot ((</w:t>
      </w:r>
      <w:r>
        <w:t>Figure S11</w:t>
      </w:r>
      <w:r w:rsidRPr="00892602">
        <w:t>)</w:t>
      </w:r>
      <w:r>
        <w:t>.</w:t>
      </w:r>
    </w:p>
    <w:p w:rsidR="00345808" w:rsidRDefault="00345808" w:rsidP="00345808">
      <w:pPr>
        <w:pStyle w:val="Heading3"/>
        <w:rPr>
          <w:rFonts w:ascii="Times New Roman" w:hAnsi="Times New Roman" w:cs="Times New Roman"/>
        </w:rPr>
      </w:pPr>
      <w:r>
        <w:rPr>
          <w:rFonts w:ascii="Times New Roman" w:hAnsi="Times New Roman" w:cs="Times New Roman"/>
        </w:rPr>
        <w:t>Analysis of group differences using OLGA grouping</w:t>
      </w:r>
    </w:p>
    <w:p w:rsidR="00345808" w:rsidRPr="00FE3970" w:rsidRDefault="00345808" w:rsidP="00345808"/>
    <w:p w:rsidR="00345808" w:rsidRPr="00FE3970" w:rsidRDefault="00345808" w:rsidP="00345808">
      <w:pPr>
        <w:ind w:left="360"/>
      </w:pPr>
      <w:r w:rsidRPr="00FE3970">
        <w:t xml:space="preserve">In sensitivity analysis, we grouped participants using the Operative Link on Gastritis Assessment (OLGA) staging system. Stage 0 had 286 participants; Stage 1 had 11 participants while Stage 2 had </w:t>
      </w:r>
      <w:proofErr w:type="gramStart"/>
      <w:r w:rsidRPr="00FE3970">
        <w:t>4</w:t>
      </w:r>
      <w:proofErr w:type="gramEnd"/>
      <w:r w:rsidRPr="00FE3970">
        <w:t xml:space="preserve"> participants. To gain power in the comparisons we combined Stage 1 and Stage 2, and called this combined group Stage 1 (15 participants).</w:t>
      </w:r>
    </w:p>
    <w:p w:rsidR="00345808" w:rsidRPr="00FE3970" w:rsidRDefault="00345808" w:rsidP="00345808">
      <w:pPr>
        <w:ind w:left="360"/>
      </w:pPr>
      <w:proofErr w:type="spellStart"/>
      <w:r w:rsidRPr="00FE3970">
        <w:t>Permutational</w:t>
      </w:r>
      <w:proofErr w:type="spellEnd"/>
      <w:r w:rsidRPr="00FE3970">
        <w:t xml:space="preserve">-multivariate analysis of variance (PERMANOVA) </w:t>
      </w:r>
      <w:proofErr w:type="gramStart"/>
      <w:r w:rsidRPr="00FE3970">
        <w:t>was used</w:t>
      </w:r>
      <w:proofErr w:type="gramEnd"/>
      <w:r w:rsidRPr="00FE3970">
        <w:t xml:space="preserve"> to test if samples differed between the OLGA staging system (Olga stage 0, and Olga Stages 1 while adjusting for age at endoscopy and batch effects (sequencing libraries). The distribution and abundances of microbiota composition were significantly different (p=0.002, permutations=999, R2=1.3%) between the groups.</w:t>
      </w:r>
    </w:p>
    <w:p w:rsidR="00345808" w:rsidRPr="00FE3970" w:rsidRDefault="00345808" w:rsidP="00345808">
      <w:pPr>
        <w:ind w:left="360"/>
      </w:pPr>
      <w:r w:rsidRPr="00FE3970">
        <w:lastRenderedPageBreak/>
        <w:t xml:space="preserve">Further, we conducted differential analysis using DESeq2 on raw prevalence filtered dataset to identify bacteria responsible for separation of the different groups at phylum and genus levels. We identified </w:t>
      </w:r>
      <w:proofErr w:type="gramStart"/>
      <w:r w:rsidRPr="00FE3970">
        <w:t>9</w:t>
      </w:r>
      <w:proofErr w:type="gramEnd"/>
      <w:r w:rsidRPr="00FE3970">
        <w:t xml:space="preserve"> genera that were differentially abundant between the two groups (Figure S17, Supplemental Digital Content Table S7). The genera that contributed to the differences </w:t>
      </w:r>
      <w:proofErr w:type="gramStart"/>
      <w:r w:rsidRPr="00FE3970">
        <w:t>were:</w:t>
      </w:r>
      <w:proofErr w:type="gramEnd"/>
      <w:r w:rsidRPr="00FE3970">
        <w:t xml:space="preserve"> </w:t>
      </w:r>
      <w:proofErr w:type="spellStart"/>
      <w:r w:rsidRPr="00FE3970">
        <w:rPr>
          <w:i/>
        </w:rPr>
        <w:t>Lactococcus</w:t>
      </w:r>
      <w:proofErr w:type="spellEnd"/>
      <w:r w:rsidRPr="00FE3970">
        <w:rPr>
          <w:i/>
        </w:rPr>
        <w:t xml:space="preserve">, </w:t>
      </w:r>
      <w:proofErr w:type="spellStart"/>
      <w:r w:rsidRPr="00FE3970">
        <w:rPr>
          <w:i/>
        </w:rPr>
        <w:t>Stomatobac</w:t>
      </w:r>
      <w:bookmarkStart w:id="0" w:name="_GoBack"/>
      <w:bookmarkEnd w:id="0"/>
      <w:r w:rsidRPr="00FE3970">
        <w:rPr>
          <w:i/>
        </w:rPr>
        <w:t>ulum</w:t>
      </w:r>
      <w:proofErr w:type="spellEnd"/>
      <w:r w:rsidRPr="00FE3970">
        <w:rPr>
          <w:i/>
        </w:rPr>
        <w:t xml:space="preserve">, </w:t>
      </w:r>
      <w:proofErr w:type="spellStart"/>
      <w:r w:rsidRPr="00FE3970">
        <w:rPr>
          <w:i/>
        </w:rPr>
        <w:t>Corynebacterium</w:t>
      </w:r>
      <w:proofErr w:type="spellEnd"/>
      <w:r w:rsidRPr="00FE3970">
        <w:rPr>
          <w:i/>
        </w:rPr>
        <w:t xml:space="preserve">, </w:t>
      </w:r>
      <w:proofErr w:type="spellStart"/>
      <w:r w:rsidRPr="00FE3970">
        <w:rPr>
          <w:i/>
        </w:rPr>
        <w:t>Burkholderia</w:t>
      </w:r>
      <w:proofErr w:type="spellEnd"/>
      <w:r w:rsidRPr="00FE3970">
        <w:rPr>
          <w:i/>
        </w:rPr>
        <w:t xml:space="preserve">, </w:t>
      </w:r>
      <w:proofErr w:type="spellStart"/>
      <w:r w:rsidRPr="00FE3970">
        <w:rPr>
          <w:i/>
        </w:rPr>
        <w:t>Halomonas</w:t>
      </w:r>
      <w:proofErr w:type="spellEnd"/>
      <w:r w:rsidRPr="00FE3970">
        <w:rPr>
          <w:i/>
        </w:rPr>
        <w:t xml:space="preserve">, </w:t>
      </w:r>
      <w:proofErr w:type="spellStart"/>
      <w:r w:rsidRPr="00FE3970">
        <w:rPr>
          <w:i/>
        </w:rPr>
        <w:t>Methylobacterium</w:t>
      </w:r>
      <w:proofErr w:type="spellEnd"/>
      <w:r w:rsidRPr="00FE3970">
        <w:rPr>
          <w:i/>
        </w:rPr>
        <w:t xml:space="preserve">, </w:t>
      </w:r>
      <w:proofErr w:type="spellStart"/>
      <w:r w:rsidRPr="00FE3970">
        <w:rPr>
          <w:i/>
        </w:rPr>
        <w:t>Bradyrhizobium</w:t>
      </w:r>
      <w:proofErr w:type="spellEnd"/>
      <w:r w:rsidRPr="00FE3970">
        <w:rPr>
          <w:i/>
        </w:rPr>
        <w:t xml:space="preserve">, </w:t>
      </w:r>
      <w:proofErr w:type="spellStart"/>
      <w:r w:rsidRPr="00FE3970">
        <w:rPr>
          <w:i/>
        </w:rPr>
        <w:t>Mesorhizobium</w:t>
      </w:r>
      <w:proofErr w:type="spellEnd"/>
      <w:r w:rsidRPr="00FE3970">
        <w:rPr>
          <w:i/>
        </w:rPr>
        <w:t xml:space="preserve">, </w:t>
      </w:r>
      <w:r w:rsidRPr="00FE3970">
        <w:t>and</w:t>
      </w:r>
      <w:r w:rsidRPr="00FE3970">
        <w:rPr>
          <w:i/>
        </w:rPr>
        <w:t xml:space="preserve"> </w:t>
      </w:r>
      <w:proofErr w:type="spellStart"/>
      <w:r w:rsidRPr="00FE3970">
        <w:rPr>
          <w:i/>
        </w:rPr>
        <w:t>Gluconacetobacter</w:t>
      </w:r>
      <w:proofErr w:type="spellEnd"/>
      <w:r w:rsidRPr="00FE3970">
        <w:t>.</w:t>
      </w:r>
    </w:p>
    <w:p w:rsidR="00345808" w:rsidRPr="00892602" w:rsidRDefault="00345808" w:rsidP="007057F8"/>
    <w:p w:rsidR="007057F8" w:rsidRPr="00892602" w:rsidRDefault="007057F8" w:rsidP="007057F8">
      <w:r>
        <w:rPr>
          <w:noProof/>
        </w:rPr>
        <w:drawing>
          <wp:inline distT="0" distB="0" distL="0" distR="0" wp14:anchorId="1999DDF2" wp14:editId="3EE44646">
            <wp:extent cx="5756910" cy="3552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3552825"/>
                    </a:xfrm>
                    <a:prstGeom prst="rect">
                      <a:avLst/>
                    </a:prstGeom>
                  </pic:spPr>
                </pic:pic>
              </a:graphicData>
            </a:graphic>
          </wp:inline>
        </w:drawing>
      </w:r>
    </w:p>
    <w:p w:rsidR="007057F8" w:rsidRPr="00A521B1" w:rsidRDefault="007057F8" w:rsidP="007057F8">
      <w:pPr>
        <w:rPr>
          <w:sz w:val="20"/>
          <w:szCs w:val="20"/>
        </w:rPr>
      </w:pPr>
      <w:r w:rsidRPr="00892602">
        <w:rPr>
          <w:b/>
          <w:sz w:val="20"/>
          <w:szCs w:val="20"/>
        </w:rPr>
        <w:t xml:space="preserve">Figure </w:t>
      </w:r>
      <w:r>
        <w:rPr>
          <w:b/>
          <w:sz w:val="20"/>
          <w:szCs w:val="20"/>
        </w:rPr>
        <w:t>S10</w:t>
      </w:r>
      <w:r w:rsidRPr="00892602">
        <w:rPr>
          <w:sz w:val="20"/>
          <w:szCs w:val="20"/>
        </w:rPr>
        <w:t>: Canonical correspondence plot with the main environmental variables (category) and the covariate “drugs consumed within 3</w:t>
      </w:r>
      <w:r>
        <w:rPr>
          <w:sz w:val="20"/>
          <w:szCs w:val="20"/>
        </w:rPr>
        <w:t>-</w:t>
      </w:r>
      <w:r w:rsidRPr="00892602">
        <w:rPr>
          <w:sz w:val="20"/>
          <w:szCs w:val="20"/>
        </w:rPr>
        <w:t>months period</w:t>
      </w:r>
      <w:r>
        <w:rPr>
          <w:sz w:val="20"/>
          <w:szCs w:val="20"/>
        </w:rPr>
        <w:t>”</w:t>
      </w:r>
      <w:r w:rsidRPr="007F5F9C">
        <w:t xml:space="preserve"> (p = </w:t>
      </w:r>
      <w:r w:rsidRPr="007F5F9C">
        <w:rPr>
          <w:sz w:val="20"/>
          <w:szCs w:val="20"/>
        </w:rPr>
        <w:t>0.012)</w:t>
      </w:r>
      <w:r w:rsidRPr="00892602">
        <w:rPr>
          <w:sz w:val="20"/>
          <w:szCs w:val="20"/>
        </w:rPr>
        <w:t xml:space="preserve"> that was found to be significant during model selection. Red crosses represent bacterial taxa. The length of each arrow indicates the strength of the variable that explains the bacteria dispersion observed</w:t>
      </w:r>
      <w:r>
        <w:rPr>
          <w:sz w:val="20"/>
          <w:szCs w:val="20"/>
        </w:rPr>
        <w:t>.</w:t>
      </w:r>
    </w:p>
    <w:p w:rsidR="007057F8" w:rsidRDefault="007057F8" w:rsidP="007057F8">
      <w:r>
        <w:rPr>
          <w:noProof/>
        </w:rPr>
        <w:lastRenderedPageBreak/>
        <w:drawing>
          <wp:inline distT="0" distB="0" distL="0" distR="0" wp14:anchorId="5668B3D9" wp14:editId="09C867D9">
            <wp:extent cx="5756910" cy="4112079"/>
            <wp:effectExtent l="0" t="0" r="0" b="3175"/>
            <wp:docPr id="14" name="Picture 14" descr="C:\Users\nelnde\AppData\Local\Microsoft\Windows\INetCache\Content.MSO\7AE14C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nde\AppData\Local\Microsoft\Windows\INetCache\Content.MSO\7AE14C1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112079"/>
                    </a:xfrm>
                    <a:prstGeom prst="rect">
                      <a:avLst/>
                    </a:prstGeom>
                    <a:noFill/>
                    <a:ln>
                      <a:noFill/>
                    </a:ln>
                  </pic:spPr>
                </pic:pic>
              </a:graphicData>
            </a:graphic>
          </wp:inline>
        </w:drawing>
      </w:r>
    </w:p>
    <w:p w:rsidR="007057F8" w:rsidRDefault="007057F8" w:rsidP="007057F8">
      <w:r w:rsidRPr="00892602">
        <w:rPr>
          <w:b/>
          <w:sz w:val="20"/>
          <w:szCs w:val="20"/>
        </w:rPr>
        <w:t xml:space="preserve">Figure </w:t>
      </w:r>
      <w:r>
        <w:rPr>
          <w:b/>
          <w:sz w:val="20"/>
          <w:szCs w:val="20"/>
        </w:rPr>
        <w:t>S11</w:t>
      </w:r>
      <w:r w:rsidRPr="00892602">
        <w:rPr>
          <w:sz w:val="20"/>
          <w:szCs w:val="20"/>
        </w:rPr>
        <w:t xml:space="preserve">: </w:t>
      </w:r>
      <w:r>
        <w:rPr>
          <w:sz w:val="20"/>
          <w:szCs w:val="20"/>
        </w:rPr>
        <w:t>Principle coordinate analysis (</w:t>
      </w:r>
      <w:proofErr w:type="spellStart"/>
      <w:r>
        <w:rPr>
          <w:sz w:val="20"/>
          <w:szCs w:val="20"/>
        </w:rPr>
        <w:t>PCoA</w:t>
      </w:r>
      <w:proofErr w:type="spellEnd"/>
      <w:r>
        <w:rPr>
          <w:sz w:val="20"/>
          <w:szCs w:val="20"/>
        </w:rPr>
        <w:t>) plot with weighted-</w:t>
      </w:r>
      <w:proofErr w:type="spellStart"/>
      <w:r>
        <w:rPr>
          <w:sz w:val="20"/>
          <w:szCs w:val="20"/>
        </w:rPr>
        <w:t>unifrac</w:t>
      </w:r>
      <w:proofErr w:type="spellEnd"/>
      <w:r>
        <w:rPr>
          <w:sz w:val="20"/>
          <w:szCs w:val="20"/>
        </w:rPr>
        <w:t xml:space="preserve"> dissimilarity. The category “case” refers to the group “atrophic gastritis”</w:t>
      </w:r>
      <w:r w:rsidRPr="00892602">
        <w:rPr>
          <w:sz w:val="20"/>
          <w:szCs w:val="20"/>
        </w:rPr>
        <w:t xml:space="preserve"> </w:t>
      </w:r>
    </w:p>
    <w:p w:rsidR="007057F8" w:rsidRPr="00AD0100" w:rsidRDefault="007057F8" w:rsidP="007057F8">
      <w:pPr>
        <w:keepNext/>
        <w:keepLines/>
        <w:spacing w:before="200" w:after="0"/>
        <w:outlineLvl w:val="2"/>
        <w:rPr>
          <w:rFonts w:eastAsia="MS Gothic"/>
          <w:b/>
          <w:bCs/>
          <w:color w:val="4F81BD"/>
        </w:rPr>
      </w:pPr>
      <w:r w:rsidRPr="00AD0100">
        <w:rPr>
          <w:rFonts w:eastAsia="MS Gothic"/>
          <w:b/>
          <w:bCs/>
          <w:color w:val="4F81BD"/>
        </w:rPr>
        <w:t>Microbial co-occurrence network analysis</w:t>
      </w:r>
    </w:p>
    <w:p w:rsidR="007057F8" w:rsidRDefault="007057F8" w:rsidP="007057F8">
      <w:r w:rsidRPr="00AD0100">
        <w:t xml:space="preserve">Co-occurrence analysis </w:t>
      </w:r>
      <w:proofErr w:type="gramStart"/>
      <w:r w:rsidRPr="00AD0100">
        <w:t>is used</w:t>
      </w:r>
      <w:proofErr w:type="gramEnd"/>
      <w:r w:rsidRPr="00AD0100">
        <w:t xml:space="preserve"> to explore interactions between microbes and environmental effects on their coexistence within biological communities. When two taxa co-occur or show a similar abundance pattern over multiple samples, a positive relationship is assumed while if they show mutual exclusion or anti-correlation, a negative one is predicted </w:t>
      </w:r>
      <w:r w:rsidRPr="00AD0100">
        <w:fldChar w:fldCharType="begin"/>
      </w:r>
      <w:r>
        <w:instrText xml:space="preserve"> ADDIN EN.CITE &lt;EndNote&gt;&lt;Cite&gt;&lt;Author&gt;Faust&lt;/Author&gt;&lt;Year&gt;2012&lt;/Year&gt;&lt;RecNum&gt;90&lt;/RecNum&gt;&lt;DisplayText&gt;[36]&lt;/DisplayText&gt;&lt;record&gt;&lt;rec-number&gt;90&lt;/rec-number&gt;&lt;foreign-keys&gt;&lt;key app="EN" db-id="advfztz90xvfvtedrasp9f5gaa5rs90f02pt" timestamp="1525675113"&gt;90&lt;/key&gt;&lt;/foreign-keys&gt;&lt;ref-type name="Journal Article"&gt;17&lt;/ref-type&gt;&lt;contributors&gt;&lt;authors&gt;&lt;author&gt;Faust, K.&lt;/author&gt;&lt;author&gt;Raes, J.&lt;/author&gt;&lt;/authors&gt;&lt;/contributors&gt;&lt;auth-address&gt;Department of Structural Biology, Flemish Institute for Biotechnology (VIB), Belgium.&lt;/auth-address&gt;&lt;titles&gt;&lt;title&gt;Microbial interactions: from networks to models&lt;/title&gt;&lt;secondary-title&gt;Nat Rev Microbiol&lt;/secondary-title&gt;&lt;/titles&gt;&lt;periodical&gt;&lt;full-title&gt;Nat Rev Microbiol&lt;/full-title&gt;&lt;/periodical&gt;&lt;pages&gt;538-50&lt;/pages&gt;&lt;volume&gt;10&lt;/volume&gt;&lt;number&gt;8&lt;/number&gt;&lt;keywords&gt;&lt;keyword&gt;*Biota&lt;/keyword&gt;&lt;keyword&gt;Humans&lt;/keyword&gt;&lt;keyword&gt;Metagenomics/*methods&lt;/keyword&gt;&lt;keyword&gt;*Microbial Interactions&lt;/keyword&gt;&lt;/keywords&gt;&lt;dates&gt;&lt;year&gt;2012&lt;/year&gt;&lt;pub-dates&gt;&lt;date&gt;Jul 16&lt;/date&gt;&lt;/pub-dates&gt;&lt;/dates&gt;&lt;isbn&gt;1740-1534 (Electronic)&amp;#xD;1740-1526 (Linking)&lt;/isbn&gt;&lt;accession-num&gt;22796884&lt;/accession-num&gt;&lt;urls&gt;&lt;related-urls&gt;&lt;url&gt;https://www.ncbi.nlm.nih.gov/pubmed/22796884&lt;/url&gt;&lt;/related-urls&gt;&lt;/urls&gt;&lt;electronic-resource-num&gt;10.1038/nrmicro2832&lt;/electronic-resource-num&gt;&lt;/record&gt;&lt;/Cite&gt;&lt;/EndNote&gt;</w:instrText>
      </w:r>
      <w:r w:rsidRPr="00AD0100">
        <w:fldChar w:fldCharType="separate"/>
      </w:r>
      <w:r>
        <w:rPr>
          <w:noProof/>
        </w:rPr>
        <w:t>[36]</w:t>
      </w:r>
      <w:r w:rsidRPr="00AD0100">
        <w:fldChar w:fldCharType="end"/>
      </w:r>
      <w:r w:rsidRPr="00AD0100">
        <w:rPr>
          <w:iCs/>
        </w:rPr>
        <w:t>.</w:t>
      </w:r>
      <w:r w:rsidRPr="00AD0100">
        <w:t xml:space="preserve"> The derived co-occurrence patterns could indicate niche processes that drive coexistence and diversity maintenance within biological communities.</w:t>
      </w:r>
    </w:p>
    <w:p w:rsidR="007057F8" w:rsidRPr="00AD0100" w:rsidRDefault="007057F8" w:rsidP="007057F8">
      <w:r>
        <w:t xml:space="preserve">The full list of all the positively and negatively correlated genera </w:t>
      </w:r>
      <w:proofErr w:type="gramStart"/>
      <w:r>
        <w:t>is shown</w:t>
      </w:r>
      <w:proofErr w:type="gramEnd"/>
      <w:r>
        <w:t xml:space="preserve"> in </w:t>
      </w:r>
      <w:r w:rsidRPr="00AD0100">
        <w:t>Supplementary Table 2</w:t>
      </w:r>
      <w:r>
        <w:t>.</w:t>
      </w:r>
    </w:p>
    <w:p w:rsidR="007057F8" w:rsidRPr="00737922" w:rsidRDefault="007057F8" w:rsidP="007057F8">
      <w:r w:rsidRPr="00AD0100">
        <w:t>Among the strongest positively correlated genera</w:t>
      </w:r>
      <w:r>
        <w:t xml:space="preserve"> within the </w:t>
      </w:r>
      <w:r w:rsidRPr="00AD0100">
        <w:t xml:space="preserve">normal group network were </w:t>
      </w:r>
      <w:proofErr w:type="spellStart"/>
      <w:r w:rsidRPr="00AD0100">
        <w:rPr>
          <w:i/>
        </w:rPr>
        <w:t>Burkholderia</w:t>
      </w:r>
      <w:proofErr w:type="spellEnd"/>
      <w:r w:rsidRPr="00AD0100">
        <w:rPr>
          <w:i/>
        </w:rPr>
        <w:t xml:space="preserve"> </w:t>
      </w:r>
      <w:r w:rsidRPr="00AD0100">
        <w:t>with</w:t>
      </w:r>
      <w:r w:rsidRPr="00AD0100">
        <w:rPr>
          <w:i/>
        </w:rPr>
        <w:t xml:space="preserve"> (</w:t>
      </w:r>
      <w:proofErr w:type="spellStart"/>
      <w:r w:rsidRPr="00AD0100">
        <w:rPr>
          <w:i/>
        </w:rPr>
        <w:t>Bradyrhizobium</w:t>
      </w:r>
      <w:proofErr w:type="spellEnd"/>
      <w:r w:rsidRPr="00AD0100">
        <w:rPr>
          <w:i/>
        </w:rPr>
        <w:t xml:space="preserve">, </w:t>
      </w:r>
      <w:proofErr w:type="spellStart"/>
      <w:r w:rsidRPr="00AD0100">
        <w:rPr>
          <w:i/>
        </w:rPr>
        <w:t>Pelomonas</w:t>
      </w:r>
      <w:proofErr w:type="spellEnd"/>
      <w:r w:rsidRPr="00AD0100">
        <w:rPr>
          <w:i/>
        </w:rPr>
        <w:t xml:space="preserve">, </w:t>
      </w:r>
      <w:proofErr w:type="spellStart"/>
      <w:r w:rsidRPr="00AD0100">
        <w:rPr>
          <w:i/>
        </w:rPr>
        <w:t>Acinetobacter</w:t>
      </w:r>
      <w:proofErr w:type="spellEnd"/>
      <w:r w:rsidRPr="00AD0100">
        <w:rPr>
          <w:i/>
        </w:rPr>
        <w:t xml:space="preserve"> </w:t>
      </w:r>
      <w:r w:rsidRPr="00AD0100">
        <w:t>and</w:t>
      </w:r>
      <w:r w:rsidRPr="00AD0100">
        <w:rPr>
          <w:i/>
        </w:rPr>
        <w:t xml:space="preserve"> </w:t>
      </w:r>
      <w:proofErr w:type="spellStart"/>
      <w:r w:rsidRPr="00AD0100">
        <w:rPr>
          <w:i/>
        </w:rPr>
        <w:t>Propionibacterium</w:t>
      </w:r>
      <w:proofErr w:type="spellEnd"/>
      <w:r w:rsidRPr="00AD0100">
        <w:rPr>
          <w:i/>
        </w:rPr>
        <w:t xml:space="preserve">), </w:t>
      </w:r>
      <w:proofErr w:type="spellStart"/>
      <w:r w:rsidRPr="00AD0100">
        <w:rPr>
          <w:i/>
        </w:rPr>
        <w:t>Pelomonas</w:t>
      </w:r>
      <w:proofErr w:type="spellEnd"/>
      <w:r w:rsidRPr="00AD0100">
        <w:rPr>
          <w:i/>
        </w:rPr>
        <w:t xml:space="preserve"> </w:t>
      </w:r>
      <w:r w:rsidRPr="00AD0100">
        <w:t>with</w:t>
      </w:r>
      <w:r w:rsidRPr="00AD0100">
        <w:rPr>
          <w:i/>
        </w:rPr>
        <w:t xml:space="preserve"> </w:t>
      </w:r>
      <w:proofErr w:type="spellStart"/>
      <w:r w:rsidRPr="00AD0100">
        <w:rPr>
          <w:i/>
          <w:iCs/>
        </w:rPr>
        <w:t>Bradyrhizobium</w:t>
      </w:r>
      <w:proofErr w:type="spellEnd"/>
      <w:r w:rsidRPr="00AD0100">
        <w:t xml:space="preserve"> and</w:t>
      </w:r>
      <w:r w:rsidRPr="00AD0100">
        <w:rPr>
          <w:i/>
        </w:rPr>
        <w:t xml:space="preserve"> </w:t>
      </w:r>
      <w:proofErr w:type="spellStart"/>
      <w:r w:rsidRPr="00AD0100">
        <w:rPr>
          <w:i/>
        </w:rPr>
        <w:t>Prevotella</w:t>
      </w:r>
      <w:proofErr w:type="spellEnd"/>
      <w:r w:rsidRPr="00AD0100">
        <w:rPr>
          <w:i/>
        </w:rPr>
        <w:t xml:space="preserve"> </w:t>
      </w:r>
      <w:r w:rsidRPr="00AD0100">
        <w:t>with</w:t>
      </w:r>
      <w:r w:rsidRPr="00AD0100">
        <w:rPr>
          <w:i/>
        </w:rPr>
        <w:t xml:space="preserve"> </w:t>
      </w:r>
      <w:proofErr w:type="spellStart"/>
      <w:r w:rsidRPr="00AD0100">
        <w:rPr>
          <w:i/>
        </w:rPr>
        <w:t>Haemophilus</w:t>
      </w:r>
      <w:proofErr w:type="spellEnd"/>
      <w:r w:rsidRPr="00AD0100">
        <w:t xml:space="preserve">, while some the strongest negatively correlated genera were </w:t>
      </w:r>
      <w:r w:rsidRPr="00AD0100">
        <w:rPr>
          <w:i/>
        </w:rPr>
        <w:t>Campylobacter</w:t>
      </w:r>
      <w:r w:rsidRPr="00AD0100">
        <w:t xml:space="preserve"> with (</w:t>
      </w:r>
      <w:proofErr w:type="spellStart"/>
      <w:r w:rsidRPr="00AD0100">
        <w:rPr>
          <w:i/>
        </w:rPr>
        <w:t>Propionibacterium</w:t>
      </w:r>
      <w:proofErr w:type="spellEnd"/>
      <w:r w:rsidRPr="00AD0100">
        <w:rPr>
          <w:i/>
        </w:rPr>
        <w:t xml:space="preserve">, </w:t>
      </w:r>
      <w:proofErr w:type="spellStart"/>
      <w:r w:rsidRPr="00AD0100">
        <w:rPr>
          <w:i/>
          <w:iCs/>
        </w:rPr>
        <w:t>Asticacaulis</w:t>
      </w:r>
      <w:proofErr w:type="spellEnd"/>
      <w:r w:rsidRPr="00AD0100">
        <w:rPr>
          <w:i/>
          <w:iCs/>
        </w:rPr>
        <w:t xml:space="preserve">, </w:t>
      </w:r>
      <w:proofErr w:type="spellStart"/>
      <w:r w:rsidRPr="00AD0100">
        <w:rPr>
          <w:i/>
          <w:iCs/>
        </w:rPr>
        <w:lastRenderedPageBreak/>
        <w:t>Corynebacterium</w:t>
      </w:r>
      <w:proofErr w:type="spellEnd"/>
      <w:r w:rsidRPr="00AD0100">
        <w:rPr>
          <w:i/>
          <w:iCs/>
        </w:rPr>
        <w:t xml:space="preserve">, </w:t>
      </w:r>
      <w:proofErr w:type="spellStart"/>
      <w:r w:rsidRPr="00AD0100">
        <w:rPr>
          <w:i/>
          <w:iCs/>
        </w:rPr>
        <w:t>Bradyrhizobium</w:t>
      </w:r>
      <w:proofErr w:type="spellEnd"/>
      <w:r w:rsidRPr="00AD0100">
        <w:rPr>
          <w:i/>
          <w:iCs/>
        </w:rPr>
        <w:t xml:space="preserve">, Staphylococcus </w:t>
      </w:r>
      <w:r w:rsidRPr="00401DE9">
        <w:rPr>
          <w:iCs/>
        </w:rPr>
        <w:t>and</w:t>
      </w:r>
      <w:r w:rsidRPr="00AD0100">
        <w:rPr>
          <w:i/>
          <w:iCs/>
        </w:rPr>
        <w:t xml:space="preserve"> </w:t>
      </w:r>
      <w:proofErr w:type="spellStart"/>
      <w:r w:rsidRPr="00AD0100">
        <w:rPr>
          <w:bCs/>
          <w:i/>
          <w:iCs/>
        </w:rPr>
        <w:t>Burkholderia</w:t>
      </w:r>
      <w:proofErr w:type="spellEnd"/>
      <w:r w:rsidRPr="00AD0100">
        <w:t xml:space="preserve">), </w:t>
      </w:r>
      <w:proofErr w:type="spellStart"/>
      <w:r w:rsidRPr="00AD0100">
        <w:rPr>
          <w:i/>
          <w:iCs/>
        </w:rPr>
        <w:t>Bradyrhizobium</w:t>
      </w:r>
      <w:proofErr w:type="spellEnd"/>
      <w:r w:rsidRPr="00AD0100">
        <w:rPr>
          <w:i/>
          <w:iCs/>
        </w:rPr>
        <w:t xml:space="preserve"> - </w:t>
      </w:r>
      <w:proofErr w:type="spellStart"/>
      <w:r w:rsidRPr="00AD0100">
        <w:rPr>
          <w:i/>
          <w:iCs/>
        </w:rPr>
        <w:t>Prevotella</w:t>
      </w:r>
      <w:proofErr w:type="spellEnd"/>
      <w:r w:rsidRPr="00AD0100">
        <w:rPr>
          <w:i/>
          <w:iCs/>
        </w:rPr>
        <w:t xml:space="preserve">, </w:t>
      </w:r>
      <w:r w:rsidRPr="00401DE9">
        <w:rPr>
          <w:iCs/>
        </w:rPr>
        <w:t>and</w:t>
      </w:r>
      <w:r w:rsidRPr="00AD0100">
        <w:rPr>
          <w:i/>
          <w:iCs/>
        </w:rPr>
        <w:t xml:space="preserve"> </w:t>
      </w:r>
      <w:proofErr w:type="spellStart"/>
      <w:r w:rsidRPr="00AD0100">
        <w:rPr>
          <w:i/>
          <w:iCs/>
        </w:rPr>
        <w:t>Pelomonas</w:t>
      </w:r>
      <w:proofErr w:type="spellEnd"/>
      <w:r w:rsidRPr="00AD0100">
        <w:rPr>
          <w:i/>
          <w:iCs/>
        </w:rPr>
        <w:t xml:space="preserve"> - </w:t>
      </w:r>
      <w:proofErr w:type="spellStart"/>
      <w:r w:rsidRPr="00AD0100">
        <w:rPr>
          <w:i/>
          <w:iCs/>
        </w:rPr>
        <w:t>Haemophilus</w:t>
      </w:r>
      <w:proofErr w:type="spellEnd"/>
      <w:r w:rsidRPr="00AD0100">
        <w:rPr>
          <w:i/>
          <w:iCs/>
        </w:rPr>
        <w:t>.</w:t>
      </w:r>
    </w:p>
    <w:p w:rsidR="007057F8" w:rsidRPr="00737922" w:rsidRDefault="007057F8" w:rsidP="007057F8">
      <w:r w:rsidRPr="00AD0100">
        <w:t xml:space="preserve">The strongest positive associations </w:t>
      </w:r>
      <w:r>
        <w:t xml:space="preserve">within the </w:t>
      </w:r>
      <w:r w:rsidRPr="00AD0100">
        <w:rPr>
          <w:i/>
        </w:rPr>
        <w:t>H. pylori</w:t>
      </w:r>
      <w:r w:rsidRPr="00AD0100">
        <w:t xml:space="preserve"> gastritis network at the genus level were </w:t>
      </w:r>
      <w:proofErr w:type="spellStart"/>
      <w:r w:rsidRPr="00AD0100">
        <w:rPr>
          <w:i/>
        </w:rPr>
        <w:t>Prevotella</w:t>
      </w:r>
      <w:proofErr w:type="spellEnd"/>
      <w:r w:rsidRPr="00AD0100">
        <w:t xml:space="preserve"> with (</w:t>
      </w:r>
      <w:proofErr w:type="spellStart"/>
      <w:r w:rsidRPr="00AD0100">
        <w:rPr>
          <w:i/>
        </w:rPr>
        <w:t>Lachnoanaerobaculum</w:t>
      </w:r>
      <w:proofErr w:type="spellEnd"/>
      <w:r w:rsidRPr="00AD0100">
        <w:t xml:space="preserve">, </w:t>
      </w:r>
      <w:proofErr w:type="spellStart"/>
      <w:r w:rsidRPr="00AD0100">
        <w:rPr>
          <w:bCs/>
          <w:i/>
          <w:iCs/>
        </w:rPr>
        <w:t>Oribacterium</w:t>
      </w:r>
      <w:proofErr w:type="spellEnd"/>
      <w:r w:rsidRPr="00AD0100">
        <w:rPr>
          <w:bCs/>
          <w:i/>
          <w:iCs/>
        </w:rPr>
        <w:t xml:space="preserve">, </w:t>
      </w:r>
      <w:proofErr w:type="spellStart"/>
      <w:r w:rsidRPr="00AD0100">
        <w:rPr>
          <w:bCs/>
          <w:i/>
          <w:iCs/>
        </w:rPr>
        <w:t>Atopobium</w:t>
      </w:r>
      <w:proofErr w:type="spellEnd"/>
      <w:r w:rsidRPr="00AD0100">
        <w:rPr>
          <w:bCs/>
          <w:i/>
          <w:iCs/>
        </w:rPr>
        <w:t xml:space="preserve">, </w:t>
      </w:r>
      <w:proofErr w:type="spellStart"/>
      <w:r w:rsidRPr="00AD0100">
        <w:rPr>
          <w:bCs/>
          <w:i/>
          <w:iCs/>
        </w:rPr>
        <w:t>Eubacterium</w:t>
      </w:r>
      <w:proofErr w:type="spellEnd"/>
      <w:r w:rsidRPr="00AD0100">
        <w:rPr>
          <w:bCs/>
          <w:i/>
          <w:iCs/>
        </w:rPr>
        <w:t xml:space="preserve">), </w:t>
      </w:r>
      <w:proofErr w:type="spellStart"/>
      <w:r w:rsidRPr="00AD0100">
        <w:rPr>
          <w:i/>
          <w:iCs/>
        </w:rPr>
        <w:t>Stomatobaculum</w:t>
      </w:r>
      <w:proofErr w:type="spellEnd"/>
      <w:r w:rsidRPr="00AD0100">
        <w:rPr>
          <w:i/>
          <w:iCs/>
        </w:rPr>
        <w:t xml:space="preserve"> - </w:t>
      </w:r>
      <w:r w:rsidRPr="00AD0100">
        <w:rPr>
          <w:bCs/>
          <w:i/>
          <w:iCs/>
        </w:rPr>
        <w:t xml:space="preserve"> </w:t>
      </w:r>
      <w:proofErr w:type="spellStart"/>
      <w:r w:rsidRPr="00AD0100">
        <w:rPr>
          <w:bCs/>
          <w:i/>
          <w:iCs/>
        </w:rPr>
        <w:t>Oribacterium</w:t>
      </w:r>
      <w:proofErr w:type="spellEnd"/>
      <w:r w:rsidRPr="00AD0100">
        <w:rPr>
          <w:bCs/>
          <w:i/>
          <w:iCs/>
        </w:rPr>
        <w:t xml:space="preserve">, </w:t>
      </w:r>
      <w:proofErr w:type="spellStart"/>
      <w:r w:rsidRPr="00AD0100">
        <w:rPr>
          <w:bCs/>
          <w:i/>
          <w:iCs/>
        </w:rPr>
        <w:t>Eubacterium</w:t>
      </w:r>
      <w:proofErr w:type="spellEnd"/>
      <w:r w:rsidRPr="00AD0100">
        <w:rPr>
          <w:bCs/>
          <w:i/>
          <w:iCs/>
        </w:rPr>
        <w:t xml:space="preserve"> – </w:t>
      </w:r>
      <w:proofErr w:type="spellStart"/>
      <w:r w:rsidRPr="00AD0100">
        <w:rPr>
          <w:bCs/>
          <w:i/>
          <w:iCs/>
        </w:rPr>
        <w:t>Oribacterium</w:t>
      </w:r>
      <w:proofErr w:type="spellEnd"/>
      <w:r w:rsidRPr="00AD0100">
        <w:rPr>
          <w:bCs/>
          <w:i/>
          <w:iCs/>
        </w:rPr>
        <w:t xml:space="preserve"> </w:t>
      </w:r>
      <w:r w:rsidRPr="00AD0100">
        <w:rPr>
          <w:bCs/>
          <w:iCs/>
        </w:rPr>
        <w:t xml:space="preserve">while the strongest negatively correlated genera were </w:t>
      </w:r>
      <w:proofErr w:type="spellStart"/>
      <w:r w:rsidRPr="00AD0100">
        <w:rPr>
          <w:bCs/>
          <w:i/>
          <w:iCs/>
        </w:rPr>
        <w:t>Burkholderia</w:t>
      </w:r>
      <w:proofErr w:type="spellEnd"/>
      <w:r w:rsidRPr="00AD0100">
        <w:rPr>
          <w:bCs/>
          <w:i/>
          <w:iCs/>
        </w:rPr>
        <w:t xml:space="preserve"> – </w:t>
      </w:r>
      <w:proofErr w:type="spellStart"/>
      <w:r w:rsidRPr="00AD0100">
        <w:rPr>
          <w:i/>
          <w:iCs/>
        </w:rPr>
        <w:t>Haemophilus</w:t>
      </w:r>
      <w:proofErr w:type="spellEnd"/>
      <w:r w:rsidRPr="00AD0100">
        <w:rPr>
          <w:i/>
          <w:iCs/>
        </w:rPr>
        <w:t xml:space="preserve">, </w:t>
      </w:r>
      <w:proofErr w:type="spellStart"/>
      <w:r w:rsidRPr="00AD0100">
        <w:rPr>
          <w:i/>
          <w:iCs/>
        </w:rPr>
        <w:t>Actinomyces</w:t>
      </w:r>
      <w:proofErr w:type="spellEnd"/>
      <w:r w:rsidRPr="00AD0100">
        <w:rPr>
          <w:i/>
          <w:iCs/>
        </w:rPr>
        <w:t xml:space="preserve"> </w:t>
      </w:r>
      <w:r w:rsidRPr="00AD0100">
        <w:rPr>
          <w:iCs/>
        </w:rPr>
        <w:t>with</w:t>
      </w:r>
      <w:r w:rsidRPr="00AD0100">
        <w:rPr>
          <w:i/>
          <w:iCs/>
        </w:rPr>
        <w:t xml:space="preserve"> (</w:t>
      </w:r>
      <w:proofErr w:type="spellStart"/>
      <w:r w:rsidRPr="00AD0100">
        <w:rPr>
          <w:i/>
          <w:iCs/>
        </w:rPr>
        <w:t>Corynebacterium</w:t>
      </w:r>
      <w:proofErr w:type="spellEnd"/>
      <w:r w:rsidRPr="00AD0100">
        <w:rPr>
          <w:i/>
          <w:iCs/>
        </w:rPr>
        <w:t xml:space="preserve">, </w:t>
      </w:r>
      <w:proofErr w:type="spellStart"/>
      <w:r w:rsidRPr="00AD0100">
        <w:rPr>
          <w:i/>
        </w:rPr>
        <w:t>Propionibacterium</w:t>
      </w:r>
      <w:proofErr w:type="spellEnd"/>
      <w:r w:rsidRPr="00AD0100">
        <w:rPr>
          <w:i/>
        </w:rPr>
        <w:t xml:space="preserve">) </w:t>
      </w:r>
      <w:r w:rsidRPr="00AD0100">
        <w:t>and</w:t>
      </w:r>
      <w:r w:rsidRPr="00AD0100">
        <w:rPr>
          <w:i/>
        </w:rPr>
        <w:t xml:space="preserve"> </w:t>
      </w:r>
      <w:proofErr w:type="spellStart"/>
      <w:r w:rsidRPr="00AD0100">
        <w:rPr>
          <w:i/>
        </w:rPr>
        <w:t>Filifactor</w:t>
      </w:r>
      <w:proofErr w:type="spellEnd"/>
      <w:r w:rsidRPr="00AD0100">
        <w:rPr>
          <w:i/>
        </w:rPr>
        <w:t xml:space="preserve"> – </w:t>
      </w:r>
      <w:proofErr w:type="spellStart"/>
      <w:r w:rsidRPr="00AD0100">
        <w:rPr>
          <w:i/>
        </w:rPr>
        <w:t>Rothia</w:t>
      </w:r>
      <w:proofErr w:type="spellEnd"/>
      <w:r>
        <w:rPr>
          <w:i/>
        </w:rPr>
        <w:t>.</w:t>
      </w:r>
    </w:p>
    <w:p w:rsidR="007057F8" w:rsidRPr="00AD0100" w:rsidRDefault="007057F8" w:rsidP="007057F8">
      <w:pPr>
        <w:rPr>
          <w:i/>
          <w:iCs/>
        </w:rPr>
      </w:pPr>
      <w:r>
        <w:t xml:space="preserve">Within the </w:t>
      </w:r>
      <w:r w:rsidRPr="00AD0100">
        <w:t xml:space="preserve">atrophic gastritis network </w:t>
      </w:r>
      <w:r>
        <w:t>the</w:t>
      </w:r>
      <w:r w:rsidRPr="00AD0100">
        <w:t xml:space="preserve"> strongest positive associations at the genus level were </w:t>
      </w:r>
      <w:r w:rsidRPr="00AD0100">
        <w:rPr>
          <w:i/>
          <w:iCs/>
        </w:rPr>
        <w:t>Neisseria</w:t>
      </w:r>
      <w:r w:rsidRPr="00AD0100">
        <w:t xml:space="preserve"> with (</w:t>
      </w:r>
      <w:proofErr w:type="spellStart"/>
      <w:r w:rsidRPr="00AD0100">
        <w:rPr>
          <w:i/>
          <w:iCs/>
        </w:rPr>
        <w:t>Haemophilus</w:t>
      </w:r>
      <w:proofErr w:type="spellEnd"/>
      <w:r w:rsidRPr="00AD0100">
        <w:rPr>
          <w:i/>
          <w:iCs/>
        </w:rPr>
        <w:t xml:space="preserve">, </w:t>
      </w:r>
      <w:proofErr w:type="spellStart"/>
      <w:r w:rsidRPr="00AD0100">
        <w:rPr>
          <w:i/>
          <w:iCs/>
        </w:rPr>
        <w:t>Peptostreptococcus</w:t>
      </w:r>
      <w:proofErr w:type="spellEnd"/>
      <w:r w:rsidRPr="00AD0100">
        <w:rPr>
          <w:i/>
          <w:iCs/>
        </w:rPr>
        <w:t xml:space="preserve">, </w:t>
      </w:r>
      <w:proofErr w:type="spellStart"/>
      <w:r w:rsidRPr="00AD0100">
        <w:rPr>
          <w:i/>
          <w:iCs/>
        </w:rPr>
        <w:t>Gemella</w:t>
      </w:r>
      <w:proofErr w:type="spellEnd"/>
      <w:r w:rsidRPr="00AD0100">
        <w:rPr>
          <w:i/>
          <w:iCs/>
        </w:rPr>
        <w:t xml:space="preserve">), </w:t>
      </w:r>
      <w:proofErr w:type="spellStart"/>
      <w:r w:rsidRPr="00AD0100">
        <w:rPr>
          <w:i/>
          <w:iCs/>
        </w:rPr>
        <w:t>Prevotella</w:t>
      </w:r>
      <w:proofErr w:type="spellEnd"/>
      <w:r w:rsidRPr="00AD0100">
        <w:rPr>
          <w:i/>
          <w:iCs/>
        </w:rPr>
        <w:t xml:space="preserve"> – </w:t>
      </w:r>
      <w:proofErr w:type="spellStart"/>
      <w:r w:rsidRPr="00AD0100">
        <w:rPr>
          <w:i/>
          <w:iCs/>
        </w:rPr>
        <w:t>Centipeda</w:t>
      </w:r>
      <w:proofErr w:type="spellEnd"/>
      <w:r w:rsidRPr="00AD0100">
        <w:rPr>
          <w:i/>
          <w:iCs/>
        </w:rPr>
        <w:t xml:space="preserve">, </w:t>
      </w:r>
      <w:proofErr w:type="spellStart"/>
      <w:r w:rsidRPr="00AD0100">
        <w:rPr>
          <w:bCs/>
          <w:i/>
          <w:iCs/>
        </w:rPr>
        <w:t>Atopobium</w:t>
      </w:r>
      <w:proofErr w:type="spellEnd"/>
      <w:r w:rsidRPr="00AD0100">
        <w:rPr>
          <w:bCs/>
          <w:i/>
          <w:iCs/>
        </w:rPr>
        <w:t xml:space="preserve"> – </w:t>
      </w:r>
      <w:proofErr w:type="spellStart"/>
      <w:r w:rsidRPr="00AD0100">
        <w:rPr>
          <w:i/>
          <w:iCs/>
        </w:rPr>
        <w:t>Actinomyces</w:t>
      </w:r>
      <w:proofErr w:type="spellEnd"/>
      <w:r w:rsidRPr="00AD0100">
        <w:rPr>
          <w:i/>
          <w:iCs/>
        </w:rPr>
        <w:t xml:space="preserve"> </w:t>
      </w:r>
      <w:r w:rsidRPr="00401DE9">
        <w:rPr>
          <w:iCs/>
        </w:rPr>
        <w:t>and</w:t>
      </w:r>
      <w:r w:rsidRPr="00AD0100">
        <w:rPr>
          <w:i/>
          <w:iCs/>
        </w:rPr>
        <w:t xml:space="preserve"> Streptococcus</w:t>
      </w:r>
      <w:r w:rsidRPr="00AD0100">
        <w:t xml:space="preserve">  - </w:t>
      </w:r>
      <w:proofErr w:type="spellStart"/>
      <w:r w:rsidRPr="00AD0100">
        <w:rPr>
          <w:i/>
          <w:iCs/>
        </w:rPr>
        <w:t>Haemophilus</w:t>
      </w:r>
      <w:proofErr w:type="spellEnd"/>
      <w:r w:rsidRPr="00AD0100">
        <w:rPr>
          <w:i/>
          <w:iCs/>
        </w:rPr>
        <w:t xml:space="preserve"> </w:t>
      </w:r>
      <w:r w:rsidRPr="00AD0100">
        <w:rPr>
          <w:iCs/>
        </w:rPr>
        <w:t>while the strongest negatively correlated genera were</w:t>
      </w:r>
      <w:r w:rsidRPr="00AD0100">
        <w:rPr>
          <w:i/>
          <w:iCs/>
        </w:rPr>
        <w:t xml:space="preserve"> </w:t>
      </w:r>
      <w:proofErr w:type="spellStart"/>
      <w:r w:rsidRPr="00AD0100">
        <w:rPr>
          <w:i/>
          <w:iCs/>
        </w:rPr>
        <w:t>Bifidobacterium</w:t>
      </w:r>
      <w:proofErr w:type="spellEnd"/>
      <w:r w:rsidRPr="00AD0100">
        <w:rPr>
          <w:i/>
          <w:iCs/>
        </w:rPr>
        <w:t xml:space="preserve"> </w:t>
      </w:r>
      <w:r w:rsidRPr="00401DE9">
        <w:rPr>
          <w:iCs/>
        </w:rPr>
        <w:t>with</w:t>
      </w:r>
      <w:r w:rsidRPr="00AD0100">
        <w:rPr>
          <w:i/>
          <w:iCs/>
        </w:rPr>
        <w:t xml:space="preserve"> (Neisseria, </w:t>
      </w:r>
      <w:proofErr w:type="spellStart"/>
      <w:r w:rsidRPr="00AD0100">
        <w:rPr>
          <w:i/>
          <w:iCs/>
        </w:rPr>
        <w:t>Gemella</w:t>
      </w:r>
      <w:proofErr w:type="spellEnd"/>
      <w:r w:rsidRPr="00AD0100">
        <w:rPr>
          <w:i/>
          <w:iCs/>
        </w:rPr>
        <w:t xml:space="preserve">), </w:t>
      </w:r>
      <w:proofErr w:type="spellStart"/>
      <w:r w:rsidRPr="00AD0100">
        <w:rPr>
          <w:i/>
          <w:iCs/>
        </w:rPr>
        <w:t>Prevotella</w:t>
      </w:r>
      <w:proofErr w:type="spellEnd"/>
      <w:r w:rsidRPr="00AD0100">
        <w:rPr>
          <w:i/>
          <w:iCs/>
        </w:rPr>
        <w:t xml:space="preserve"> </w:t>
      </w:r>
      <w:r w:rsidRPr="00AD0100">
        <w:rPr>
          <w:iCs/>
        </w:rPr>
        <w:t>with</w:t>
      </w:r>
      <w:r w:rsidRPr="00AD0100">
        <w:rPr>
          <w:i/>
          <w:iCs/>
        </w:rPr>
        <w:t xml:space="preserve"> (</w:t>
      </w:r>
      <w:proofErr w:type="spellStart"/>
      <w:r w:rsidRPr="00AD0100">
        <w:rPr>
          <w:i/>
          <w:iCs/>
        </w:rPr>
        <w:t>Actinomyces</w:t>
      </w:r>
      <w:proofErr w:type="spellEnd"/>
      <w:r w:rsidRPr="00AD0100">
        <w:rPr>
          <w:i/>
          <w:iCs/>
        </w:rPr>
        <w:t xml:space="preserve">, </w:t>
      </w:r>
      <w:proofErr w:type="spellStart"/>
      <w:r w:rsidRPr="00AD0100">
        <w:rPr>
          <w:i/>
          <w:iCs/>
        </w:rPr>
        <w:t>Bradyrhizobium</w:t>
      </w:r>
      <w:proofErr w:type="spellEnd"/>
      <w:r w:rsidRPr="00AD0100">
        <w:rPr>
          <w:i/>
          <w:iCs/>
        </w:rPr>
        <w:t>), Streptococcus</w:t>
      </w:r>
      <w:r w:rsidRPr="00AD0100">
        <w:t xml:space="preserve">  with (</w:t>
      </w:r>
      <w:proofErr w:type="spellStart"/>
      <w:r w:rsidRPr="00AD0100">
        <w:rPr>
          <w:i/>
        </w:rPr>
        <w:t>Acinetobacter</w:t>
      </w:r>
      <w:proofErr w:type="spellEnd"/>
      <w:r w:rsidRPr="00AD0100">
        <w:rPr>
          <w:i/>
        </w:rPr>
        <w:t xml:space="preserve">, </w:t>
      </w:r>
      <w:proofErr w:type="spellStart"/>
      <w:r w:rsidRPr="00AD0100">
        <w:rPr>
          <w:i/>
          <w:iCs/>
        </w:rPr>
        <w:t>Stomatobaculum</w:t>
      </w:r>
      <w:proofErr w:type="spellEnd"/>
      <w:r w:rsidRPr="00AD0100">
        <w:rPr>
          <w:i/>
          <w:iCs/>
        </w:rPr>
        <w:t xml:space="preserve">), </w:t>
      </w:r>
      <w:proofErr w:type="spellStart"/>
      <w:r w:rsidRPr="00AD0100">
        <w:rPr>
          <w:i/>
          <w:iCs/>
        </w:rPr>
        <w:t>Haemophilus</w:t>
      </w:r>
      <w:proofErr w:type="spellEnd"/>
      <w:r w:rsidRPr="00AD0100">
        <w:rPr>
          <w:i/>
          <w:iCs/>
        </w:rPr>
        <w:t xml:space="preserve"> – </w:t>
      </w:r>
      <w:proofErr w:type="spellStart"/>
      <w:r w:rsidRPr="00AD0100">
        <w:rPr>
          <w:i/>
        </w:rPr>
        <w:t>Acinetobacter</w:t>
      </w:r>
      <w:proofErr w:type="spellEnd"/>
      <w:r w:rsidRPr="00AD0100">
        <w:rPr>
          <w:i/>
        </w:rPr>
        <w:t xml:space="preserve">, </w:t>
      </w:r>
      <w:proofErr w:type="spellStart"/>
      <w:r w:rsidRPr="00AD0100">
        <w:rPr>
          <w:i/>
          <w:iCs/>
        </w:rPr>
        <w:t>Catonella</w:t>
      </w:r>
      <w:proofErr w:type="spellEnd"/>
      <w:r w:rsidRPr="00AD0100">
        <w:rPr>
          <w:i/>
          <w:iCs/>
        </w:rPr>
        <w:t xml:space="preserve"> – </w:t>
      </w:r>
      <w:proofErr w:type="spellStart"/>
      <w:r w:rsidRPr="00AD0100">
        <w:rPr>
          <w:i/>
          <w:iCs/>
        </w:rPr>
        <w:t>Actinomyces</w:t>
      </w:r>
      <w:proofErr w:type="spellEnd"/>
      <w:r w:rsidRPr="00AD0100">
        <w:rPr>
          <w:i/>
          <w:iCs/>
        </w:rPr>
        <w:t>.</w:t>
      </w:r>
    </w:p>
    <w:p w:rsidR="007057F8" w:rsidRDefault="007057F8" w:rsidP="007057F8"/>
    <w:p w:rsidR="007057F8" w:rsidRPr="00892602" w:rsidRDefault="007057F8" w:rsidP="007057F8">
      <w:pPr>
        <w:pStyle w:val="Heading3"/>
        <w:rPr>
          <w:rFonts w:ascii="Times New Roman" w:hAnsi="Times New Roman" w:cs="Times New Roman"/>
        </w:rPr>
      </w:pPr>
      <w:r w:rsidRPr="00892602">
        <w:rPr>
          <w:rFonts w:ascii="Times New Roman" w:hAnsi="Times New Roman" w:cs="Times New Roman"/>
        </w:rPr>
        <w:t xml:space="preserve">Changes in </w:t>
      </w:r>
      <w:r>
        <w:rPr>
          <w:rFonts w:ascii="Times New Roman" w:hAnsi="Times New Roman" w:cs="Times New Roman"/>
        </w:rPr>
        <w:t>p</w:t>
      </w:r>
      <w:r w:rsidRPr="00892602">
        <w:rPr>
          <w:rFonts w:ascii="Times New Roman" w:hAnsi="Times New Roman" w:cs="Times New Roman"/>
        </w:rPr>
        <w:t>athways and genes in non-normal stomach from function prediction analysis</w:t>
      </w:r>
    </w:p>
    <w:p w:rsidR="007057F8" w:rsidRDefault="007057F8" w:rsidP="007057F8">
      <w:r>
        <w:t xml:space="preserve">To link the bacterial phylogenies within the groups to potential microbial functions, we performed metagenomics function prediction using </w:t>
      </w:r>
      <w:proofErr w:type="spellStart"/>
      <w:r w:rsidRPr="00892602">
        <w:t>Picrust</w:t>
      </w:r>
      <w:proofErr w:type="spellEnd"/>
      <w:r w:rsidRPr="00892602">
        <w:t xml:space="preserve"> </w:t>
      </w:r>
      <w:r w:rsidRPr="00892602">
        <w:fldChar w:fldCharType="begin"/>
      </w:r>
      <w:r>
        <w:instrText xml:space="preserve"> ADDIN EN.CITE &lt;EndNote&gt;&lt;Cite&gt;&lt;Author&gt;Langille&lt;/Author&gt;&lt;Year&gt;2013&lt;/Year&gt;&lt;RecNum&gt;86&lt;/RecNum&gt;&lt;DisplayText&gt;[33]&lt;/DisplayText&gt;&lt;record&gt;&lt;rec-number&gt;86&lt;/rec-number&gt;&lt;foreign-keys&gt;&lt;key app="EN" db-id="advfztz90xvfvtedrasp9f5gaa5rs90f02pt" timestamp="1523462947"&gt;86&lt;/key&gt;&lt;/foreign-keys&gt;&lt;ref-type name="Journal Article"&gt;17&lt;/ref-type&gt;&lt;contributors&gt;&lt;authors&gt;&lt;author&gt;Langille, M. G.&lt;/author&gt;&lt;author&gt;Zaneveld, J.&lt;/author&gt;&lt;author&gt;Caporaso, J. G.&lt;/author&gt;&lt;author&gt;McDonald, D.&lt;/author&gt;&lt;author&gt;Knights, D.&lt;/author&gt;&lt;author&gt;Reyes, J. A.&lt;/author&gt;&lt;author&gt;Clemente, J. C.&lt;/author&gt;&lt;author&gt;Burkepile, D. E.&lt;/author&gt;&lt;author&gt;Vega Thurber, R. L.&lt;/author&gt;&lt;author&gt;Knight, R.&lt;/author&gt;&lt;author&gt;Beiko, R. G.&lt;/author&gt;&lt;author&gt;Huttenhower, C.&lt;/author&gt;&lt;/authors&gt;&lt;/contributors&gt;&lt;auth-address&gt;1] Faculty of Computer Science, Dalhousie University, Halifax, NS, Canada. [2].&lt;/auth-address&gt;&lt;titles&gt;&lt;title&gt;Predictive functional profiling of microbial communities using 16S rRNA marker gene sequences&lt;/title&gt;&lt;secondary-title&gt;Nat Biotechnol&lt;/secondary-title&gt;&lt;/titles&gt;&lt;periodical&gt;&lt;full-title&gt;Nat Biotechnol&lt;/full-title&gt;&lt;/periodical&gt;&lt;pages&gt;814-21&lt;/pages&gt;&lt;volume&gt;31&lt;/volume&gt;&lt;number&gt;9&lt;/number&gt;&lt;keywords&gt;&lt;keyword&gt;Bacteria/classification/genetics&lt;/keyword&gt;&lt;keyword&gt;Genes, Bacterial/genetics/physiology&lt;/keyword&gt;&lt;keyword&gt;Genetic Markers/genetics&lt;/keyword&gt;&lt;keyword&gt;High-Throughput Nucleotide Sequencing&lt;/keyword&gt;&lt;keyword&gt;Humans&lt;/keyword&gt;&lt;keyword&gt;Metagenomics/*methods&lt;/keyword&gt;&lt;keyword&gt;Microbiota/genetics&lt;/keyword&gt;&lt;keyword&gt;Phylogeny&lt;/keyword&gt;&lt;keyword&gt;RNA, Ribosomal, 16S/*genetics&lt;/keyword&gt;&lt;keyword&gt;Sequence Analysis, DNA/*methods&lt;/keyword&gt;&lt;/keywords&gt;&lt;dates&gt;&lt;year&gt;2013&lt;/year&gt;&lt;pub-dates&gt;&lt;date&gt;Sep&lt;/date&gt;&lt;/pub-dates&gt;&lt;/dates&gt;&lt;isbn&gt;1546-1696 (Electronic)&amp;#xD;1087-0156 (Linking)&lt;/isbn&gt;&lt;accession-num&gt;23975157&lt;/accession-num&gt;&lt;urls&gt;&lt;related-urls&gt;&lt;url&gt;https://www.ncbi.nlm.nih.gov/pubmed/23975157&lt;/url&gt;&lt;/related-urls&gt;&lt;/urls&gt;&lt;custom2&gt;PMC3819121&lt;/custom2&gt;&lt;electronic-resource-num&gt;10.1038/nbt.2676&lt;/electronic-resource-num&gt;&lt;/record&gt;&lt;/Cite&gt;&lt;/EndNote&gt;</w:instrText>
      </w:r>
      <w:r w:rsidRPr="00892602">
        <w:fldChar w:fldCharType="separate"/>
      </w:r>
      <w:r>
        <w:rPr>
          <w:noProof/>
        </w:rPr>
        <w:t>[33]</w:t>
      </w:r>
      <w:r w:rsidRPr="00892602">
        <w:fldChar w:fldCharType="end"/>
      </w:r>
      <w:r>
        <w:t>.</w:t>
      </w:r>
    </w:p>
    <w:p w:rsidR="007057F8" w:rsidRPr="00892602" w:rsidRDefault="007057F8" w:rsidP="007057F8">
      <w:pPr>
        <w:rPr>
          <w:b/>
          <w:color w:val="FF0000"/>
        </w:rPr>
      </w:pPr>
      <w:r w:rsidRPr="00892602">
        <w:t xml:space="preserve">Those classified as normal or with </w:t>
      </w:r>
      <w:proofErr w:type="gramStart"/>
      <w:r w:rsidRPr="00892602">
        <w:t>antrum</w:t>
      </w:r>
      <w:proofErr w:type="gramEnd"/>
      <w:r w:rsidRPr="00892602">
        <w:t xml:space="preserve"> chemical gastritis could be distinguished from </w:t>
      </w:r>
      <w:r w:rsidRPr="000E56EC">
        <w:rPr>
          <w:i/>
        </w:rPr>
        <w:t>H. pylori</w:t>
      </w:r>
      <w:r w:rsidRPr="00892602">
        <w:t xml:space="preserve"> gastritis and atrophic gastritis groups based on their predicted microbial functional profile. Some of the pathways that were statistically different (alpha = 0.05) between these groups were epithelial cell signaling in </w:t>
      </w:r>
      <w:r w:rsidRPr="000E56EC">
        <w:rPr>
          <w:i/>
        </w:rPr>
        <w:t>H. pylori</w:t>
      </w:r>
      <w:r>
        <w:t xml:space="preserve"> infection (p =</w:t>
      </w:r>
      <w:r w:rsidRPr="00892602">
        <w:t>&lt;</w:t>
      </w:r>
      <w:r>
        <w:t xml:space="preserve"> </w:t>
      </w:r>
      <w:r w:rsidRPr="00892602">
        <w:t>1e-15) (</w:t>
      </w:r>
      <w:r>
        <w:t xml:space="preserve">Supplementary </w:t>
      </w:r>
      <w:r w:rsidRPr="00892602">
        <w:t xml:space="preserve">Figure </w:t>
      </w:r>
      <w:r>
        <w:t>S12</w:t>
      </w:r>
      <w:r w:rsidRPr="00892602">
        <w:t xml:space="preserve">, upper panel), </w:t>
      </w:r>
      <w:r>
        <w:t>l</w:t>
      </w:r>
      <w:r w:rsidRPr="00892602">
        <w:t>ipopolysaccha</w:t>
      </w:r>
      <w:r>
        <w:t>ride biosynthesis proteins (p =</w:t>
      </w:r>
      <w:r w:rsidRPr="00892602">
        <w:t>&lt;</w:t>
      </w:r>
      <w:r>
        <w:t xml:space="preserve"> </w:t>
      </w:r>
      <w:r w:rsidRPr="00892602">
        <w:t>1e-15) and bacterial toxins (p= 3.4e-15)</w:t>
      </w:r>
      <w:r>
        <w:t xml:space="preserve">. </w:t>
      </w:r>
      <w:r w:rsidRPr="00892602">
        <w:t xml:space="preserve">Some of the outstanding genes showing differences (alpha = 0.05) between the normal/antrum chemical gastritis and </w:t>
      </w:r>
      <w:r w:rsidRPr="000E56EC">
        <w:rPr>
          <w:i/>
        </w:rPr>
        <w:t>H. pylori</w:t>
      </w:r>
      <w:r w:rsidRPr="00892602">
        <w:t xml:space="preserve"> gastritis/atrophic gastritis groups were</w:t>
      </w:r>
      <w:r>
        <w:t xml:space="preserve"> </w:t>
      </w:r>
      <w:proofErr w:type="spellStart"/>
      <w:r>
        <w:t>cytotoxin</w:t>
      </w:r>
      <w:proofErr w:type="spellEnd"/>
      <w:r>
        <w:t>-associated gene A</w:t>
      </w:r>
      <w:r w:rsidRPr="00892602">
        <w:t xml:space="preserve"> </w:t>
      </w:r>
      <w:r>
        <w:t>(</w:t>
      </w:r>
      <w:proofErr w:type="spellStart"/>
      <w:r>
        <w:t>CagA</w:t>
      </w:r>
      <w:proofErr w:type="spellEnd"/>
      <w:r>
        <w:t>)</w:t>
      </w:r>
      <w:r w:rsidRPr="00892602">
        <w:t xml:space="preserve"> pathogenicity proteins (</w:t>
      </w:r>
      <w:r>
        <w:t xml:space="preserve">Supplementary </w:t>
      </w:r>
      <w:r w:rsidRPr="00892602">
        <w:t xml:space="preserve">Figure </w:t>
      </w:r>
      <w:r>
        <w:t>S12</w:t>
      </w:r>
      <w:r w:rsidRPr="00892602">
        <w:t xml:space="preserve">, lower panel), </w:t>
      </w:r>
      <w:proofErr w:type="spellStart"/>
      <w:r w:rsidRPr="00892602">
        <w:t>vacuolating</w:t>
      </w:r>
      <w:proofErr w:type="spellEnd"/>
      <w:r w:rsidRPr="00892602">
        <w:t xml:space="preserve"> </w:t>
      </w:r>
      <w:proofErr w:type="spellStart"/>
      <w:r w:rsidRPr="00892602">
        <w:t>cytotoxin</w:t>
      </w:r>
      <w:proofErr w:type="spellEnd"/>
      <w:r w:rsidRPr="00892602">
        <w:t xml:space="preserve"> (</w:t>
      </w:r>
      <w:proofErr w:type="spellStart"/>
      <w:r w:rsidRPr="00892602">
        <w:t>Vac</w:t>
      </w:r>
      <w:proofErr w:type="spellEnd"/>
      <w:r w:rsidRPr="00892602">
        <w:t xml:space="preserve"> A) and urease genes. The full </w:t>
      </w:r>
      <w:r>
        <w:t xml:space="preserve">pathway and gene list </w:t>
      </w:r>
      <w:proofErr w:type="gramStart"/>
      <w:r>
        <w:t>are</w:t>
      </w:r>
      <w:r w:rsidRPr="00892602">
        <w:t xml:space="preserve"> provided</w:t>
      </w:r>
      <w:proofErr w:type="gramEnd"/>
      <w:r w:rsidRPr="00892602">
        <w:t xml:space="preserve"> in the Supplementary Table 3 sheet 1</w:t>
      </w:r>
      <w:r>
        <w:t xml:space="preserve"> and</w:t>
      </w:r>
      <w:r w:rsidRPr="00892602">
        <w:t xml:space="preserve"> sheet 2</w:t>
      </w:r>
      <w:r>
        <w:t xml:space="preserve"> respectively</w:t>
      </w:r>
      <w:r w:rsidRPr="00892602">
        <w:t>.</w:t>
      </w:r>
    </w:p>
    <w:p w:rsidR="007057F8" w:rsidRPr="00892602" w:rsidRDefault="007057F8" w:rsidP="007057F8">
      <w:r w:rsidRPr="00892602">
        <w:rPr>
          <w:noProof/>
        </w:rPr>
        <w:lastRenderedPageBreak/>
        <w:drawing>
          <wp:inline distT="0" distB="0" distL="0" distR="0" wp14:anchorId="6844A567" wp14:editId="2C8A5BC0">
            <wp:extent cx="4350622" cy="74738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pithelial_HP_pathway_n_cagA_gene.jpg"/>
                    <pic:cNvPicPr/>
                  </pic:nvPicPr>
                  <pic:blipFill>
                    <a:blip r:embed="rId19">
                      <a:extLst>
                        <a:ext uri="{28A0092B-C50C-407E-A947-70E740481C1C}">
                          <a14:useLocalDpi xmlns:a14="http://schemas.microsoft.com/office/drawing/2010/main" val="0"/>
                        </a:ext>
                      </a:extLst>
                    </a:blip>
                    <a:stretch>
                      <a:fillRect/>
                    </a:stretch>
                  </pic:blipFill>
                  <pic:spPr>
                    <a:xfrm>
                      <a:off x="0" y="0"/>
                      <a:ext cx="4368815" cy="7505059"/>
                    </a:xfrm>
                    <a:prstGeom prst="rect">
                      <a:avLst/>
                    </a:prstGeom>
                  </pic:spPr>
                </pic:pic>
              </a:graphicData>
            </a:graphic>
          </wp:inline>
        </w:drawing>
      </w:r>
    </w:p>
    <w:p w:rsidR="007057F8" w:rsidRDefault="007057F8" w:rsidP="007057F8">
      <w:pPr>
        <w:rPr>
          <w:sz w:val="18"/>
          <w:szCs w:val="18"/>
        </w:rPr>
      </w:pPr>
      <w:r>
        <w:rPr>
          <w:b/>
          <w:sz w:val="18"/>
          <w:szCs w:val="18"/>
        </w:rPr>
        <w:t>Figure S12</w:t>
      </w:r>
      <w:r w:rsidRPr="00892602">
        <w:rPr>
          <w:b/>
          <w:sz w:val="18"/>
          <w:szCs w:val="18"/>
        </w:rPr>
        <w:t>:</w:t>
      </w:r>
      <w:r w:rsidRPr="00892602">
        <w:rPr>
          <w:sz w:val="18"/>
          <w:szCs w:val="18"/>
        </w:rPr>
        <w:t xml:space="preserve"> Functional prediction of pathways (upper panel) and genes (lower panel) that </w:t>
      </w:r>
      <w:proofErr w:type="gramStart"/>
      <w:r w:rsidRPr="00892602">
        <w:rPr>
          <w:sz w:val="18"/>
          <w:szCs w:val="18"/>
        </w:rPr>
        <w:t>were found</w:t>
      </w:r>
      <w:proofErr w:type="gramEnd"/>
      <w:r w:rsidRPr="00892602">
        <w:rPr>
          <w:sz w:val="18"/>
          <w:szCs w:val="18"/>
        </w:rPr>
        <w:t xml:space="preserve"> to be statistically different between the normal/antrum chemical gastritis groups vs. </w:t>
      </w:r>
      <w:r w:rsidRPr="0083456F">
        <w:rPr>
          <w:i/>
          <w:sz w:val="18"/>
          <w:szCs w:val="18"/>
        </w:rPr>
        <w:t>H. pylori</w:t>
      </w:r>
      <w:r w:rsidRPr="00892602">
        <w:rPr>
          <w:sz w:val="18"/>
          <w:szCs w:val="18"/>
        </w:rPr>
        <w:t xml:space="preserve"> gastritis/atrophic gastritis </w:t>
      </w:r>
      <w:r w:rsidRPr="00892602">
        <w:rPr>
          <w:sz w:val="18"/>
          <w:szCs w:val="18"/>
        </w:rPr>
        <w:lastRenderedPageBreak/>
        <w:t>groups. For each panel the p-value (alpha = 0.05) of the box plots is shown at the top and the 95% confidence interval is shown at the bottom.</w:t>
      </w:r>
    </w:p>
    <w:p w:rsidR="0061004C" w:rsidRDefault="0061004C" w:rsidP="007057F8">
      <w:pPr>
        <w:rPr>
          <w:sz w:val="18"/>
          <w:szCs w:val="18"/>
        </w:rPr>
      </w:pPr>
    </w:p>
    <w:p w:rsidR="0061004C" w:rsidRDefault="00D15AAA" w:rsidP="007057F8">
      <w:pPr>
        <w:rPr>
          <w:sz w:val="18"/>
          <w:szCs w:val="18"/>
        </w:rPr>
      </w:pPr>
      <w:r>
        <w:rPr>
          <w:noProof/>
          <w:sz w:val="18"/>
          <w:szCs w:val="18"/>
        </w:rPr>
        <w:drawing>
          <wp:inline distT="0" distB="0" distL="0" distR="0">
            <wp:extent cx="5041127" cy="384145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GERD_Stomach_Grouping_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5534" cy="3882911"/>
                    </a:xfrm>
                    <a:prstGeom prst="rect">
                      <a:avLst/>
                    </a:prstGeom>
                  </pic:spPr>
                </pic:pic>
              </a:graphicData>
            </a:graphic>
          </wp:inline>
        </w:drawing>
      </w:r>
    </w:p>
    <w:p w:rsidR="0061004C" w:rsidRDefault="0061004C" w:rsidP="007057F8">
      <w:pPr>
        <w:rPr>
          <w:sz w:val="18"/>
          <w:szCs w:val="18"/>
        </w:rPr>
      </w:pPr>
      <w:r>
        <w:rPr>
          <w:b/>
          <w:sz w:val="18"/>
          <w:szCs w:val="18"/>
        </w:rPr>
        <w:t>Figure S13</w:t>
      </w:r>
      <w:r w:rsidRPr="00892602">
        <w:rPr>
          <w:b/>
          <w:sz w:val="18"/>
          <w:szCs w:val="18"/>
        </w:rPr>
        <w:t>:</w:t>
      </w:r>
      <w:r w:rsidR="00D15AAA">
        <w:rPr>
          <w:sz w:val="18"/>
          <w:szCs w:val="18"/>
        </w:rPr>
        <w:t xml:space="preserve"> Study participants</w:t>
      </w:r>
      <w:r>
        <w:rPr>
          <w:sz w:val="18"/>
          <w:szCs w:val="18"/>
        </w:rPr>
        <w:t xml:space="preserve"> grouping</w:t>
      </w:r>
      <w:r w:rsidR="00C33006">
        <w:rPr>
          <w:sz w:val="18"/>
          <w:szCs w:val="18"/>
        </w:rPr>
        <w:t xml:space="preserve"> for those with useable bacterial DNA sequences</w:t>
      </w:r>
      <w:r w:rsidR="00D15AAA">
        <w:rPr>
          <w:sz w:val="18"/>
          <w:szCs w:val="18"/>
        </w:rPr>
        <w:t xml:space="preserve">. NB: Groupings with red background </w:t>
      </w:r>
      <w:proofErr w:type="gramStart"/>
      <w:r w:rsidR="00D15AAA">
        <w:rPr>
          <w:sz w:val="18"/>
          <w:szCs w:val="18"/>
        </w:rPr>
        <w:t>were excluded</w:t>
      </w:r>
      <w:proofErr w:type="gramEnd"/>
      <w:r w:rsidR="00D15AAA">
        <w:rPr>
          <w:sz w:val="18"/>
          <w:szCs w:val="18"/>
        </w:rPr>
        <w:t xml:space="preserve"> from analysis while those with green background were included. </w:t>
      </w:r>
    </w:p>
    <w:p w:rsidR="005B1CCF" w:rsidRDefault="005B1CCF" w:rsidP="007057F8">
      <w:pPr>
        <w:rPr>
          <w:sz w:val="18"/>
          <w:szCs w:val="18"/>
        </w:rPr>
      </w:pPr>
    </w:p>
    <w:p w:rsidR="0096204D" w:rsidRDefault="0096204D" w:rsidP="007057F8">
      <w:pPr>
        <w:rPr>
          <w:sz w:val="18"/>
          <w:szCs w:val="18"/>
        </w:rPr>
      </w:pPr>
      <w:r>
        <w:rPr>
          <w:noProof/>
          <w:sz w:val="18"/>
          <w:szCs w:val="18"/>
        </w:rPr>
        <w:lastRenderedPageBreak/>
        <w:drawing>
          <wp:inline distT="0" distB="0" distL="0" distR="0">
            <wp:extent cx="6053591" cy="45401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S14_Normal_grpNetwk_n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6990" cy="4595244"/>
                    </a:xfrm>
                    <a:prstGeom prst="rect">
                      <a:avLst/>
                    </a:prstGeom>
                  </pic:spPr>
                </pic:pic>
              </a:graphicData>
            </a:graphic>
          </wp:inline>
        </w:drawing>
      </w:r>
    </w:p>
    <w:p w:rsidR="005B1CCF" w:rsidRDefault="005B1CCF" w:rsidP="007057F8">
      <w:pPr>
        <w:rPr>
          <w:sz w:val="18"/>
          <w:szCs w:val="18"/>
        </w:rPr>
      </w:pPr>
      <w:r>
        <w:rPr>
          <w:b/>
          <w:sz w:val="18"/>
          <w:szCs w:val="18"/>
        </w:rPr>
        <w:t>Figure S14</w:t>
      </w:r>
      <w:r w:rsidRPr="005B1CCF">
        <w:rPr>
          <w:b/>
          <w:sz w:val="18"/>
          <w:szCs w:val="18"/>
        </w:rPr>
        <w:t>:</w:t>
      </w:r>
      <w:r w:rsidRPr="005B1CCF">
        <w:rPr>
          <w:sz w:val="18"/>
          <w:szCs w:val="18"/>
        </w:rPr>
        <w:t xml:space="preserve"> </w:t>
      </w:r>
      <w:proofErr w:type="gramStart"/>
      <w:r w:rsidRPr="005B1CCF">
        <w:rPr>
          <w:sz w:val="18"/>
          <w:szCs w:val="18"/>
        </w:rPr>
        <w:t>Normal group co-occurrence networks</w:t>
      </w:r>
      <w:proofErr w:type="gramEnd"/>
      <w:r w:rsidRPr="005B1CCF">
        <w:rPr>
          <w:sz w:val="18"/>
          <w:szCs w:val="18"/>
        </w:rPr>
        <w:t xml:space="preserve"> generated by </w:t>
      </w:r>
      <w:proofErr w:type="spellStart"/>
      <w:r w:rsidRPr="005B1CCF">
        <w:rPr>
          <w:sz w:val="18"/>
          <w:szCs w:val="18"/>
        </w:rPr>
        <w:t>SparCC</w:t>
      </w:r>
      <w:proofErr w:type="spellEnd"/>
      <w:r w:rsidRPr="005B1CCF">
        <w:rPr>
          <w:sz w:val="18"/>
          <w:szCs w:val="18"/>
        </w:rPr>
        <w:t xml:space="preserve">. Nodes represent OTUs, with size reflecting the node’s degree (number of edges connected to a node), and node color corresponding to the communities to which the OTU belongs. Edges between nodes represent correlations between the nodes they connect, with edge width and shade indicating the correlation magnitude, and green and red colors indicating positive and negative correlations, respectively. Only edges corresponding to correlations whose magnitude is greater than 0.4 are </w:t>
      </w:r>
      <w:proofErr w:type="gramStart"/>
      <w:r w:rsidRPr="005B1CCF">
        <w:rPr>
          <w:sz w:val="18"/>
          <w:szCs w:val="18"/>
        </w:rPr>
        <w:t>drawn,</w:t>
      </w:r>
      <w:proofErr w:type="gramEnd"/>
      <w:r w:rsidRPr="005B1CCF">
        <w:rPr>
          <w:sz w:val="18"/>
          <w:szCs w:val="18"/>
        </w:rPr>
        <w:t xml:space="preserve"> and unconnected nodes are omitted</w:t>
      </w:r>
    </w:p>
    <w:p w:rsidR="005B1CCF" w:rsidRDefault="005B1CCF" w:rsidP="007057F8">
      <w:pPr>
        <w:rPr>
          <w:sz w:val="18"/>
          <w:szCs w:val="18"/>
        </w:rPr>
      </w:pPr>
    </w:p>
    <w:p w:rsidR="0096204D" w:rsidRDefault="0096204D" w:rsidP="007057F8">
      <w:pPr>
        <w:rPr>
          <w:sz w:val="18"/>
          <w:szCs w:val="18"/>
        </w:rPr>
      </w:pPr>
    </w:p>
    <w:p w:rsidR="0096204D" w:rsidRDefault="0096204D" w:rsidP="007057F8">
      <w:pPr>
        <w:rPr>
          <w:sz w:val="18"/>
          <w:szCs w:val="18"/>
        </w:rPr>
      </w:pPr>
    </w:p>
    <w:p w:rsidR="0096204D" w:rsidRDefault="0096204D" w:rsidP="007057F8">
      <w:pPr>
        <w:rPr>
          <w:sz w:val="18"/>
          <w:szCs w:val="18"/>
        </w:rPr>
      </w:pPr>
    </w:p>
    <w:p w:rsidR="0096204D" w:rsidRDefault="0096204D" w:rsidP="007057F8">
      <w:pPr>
        <w:rPr>
          <w:sz w:val="18"/>
          <w:szCs w:val="18"/>
        </w:rPr>
      </w:pPr>
    </w:p>
    <w:p w:rsidR="0096204D" w:rsidRDefault="0096204D" w:rsidP="007057F8">
      <w:pPr>
        <w:rPr>
          <w:sz w:val="18"/>
          <w:szCs w:val="18"/>
        </w:rPr>
      </w:pPr>
    </w:p>
    <w:p w:rsidR="0096204D" w:rsidRDefault="0096204D" w:rsidP="007057F8">
      <w:pPr>
        <w:rPr>
          <w:sz w:val="18"/>
          <w:szCs w:val="18"/>
        </w:rPr>
      </w:pPr>
    </w:p>
    <w:p w:rsidR="0096204D" w:rsidRDefault="0096204D" w:rsidP="007057F8">
      <w:pPr>
        <w:rPr>
          <w:sz w:val="18"/>
          <w:szCs w:val="18"/>
        </w:rPr>
      </w:pPr>
      <w:r>
        <w:rPr>
          <w:noProof/>
          <w:sz w:val="18"/>
          <w:szCs w:val="18"/>
        </w:rPr>
        <w:lastRenderedPageBreak/>
        <w:drawing>
          <wp:inline distT="0" distB="0" distL="0" distR="0">
            <wp:extent cx="6074796" cy="455609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15_HPgastr_grpNetwk_n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1908" cy="4591432"/>
                    </a:xfrm>
                    <a:prstGeom prst="rect">
                      <a:avLst/>
                    </a:prstGeom>
                  </pic:spPr>
                </pic:pic>
              </a:graphicData>
            </a:graphic>
          </wp:inline>
        </w:drawing>
      </w:r>
    </w:p>
    <w:p w:rsidR="005B1CCF" w:rsidRDefault="005B1CCF" w:rsidP="005B1CCF">
      <w:pPr>
        <w:rPr>
          <w:sz w:val="18"/>
          <w:szCs w:val="18"/>
        </w:rPr>
      </w:pPr>
      <w:r w:rsidRPr="005B1CCF">
        <w:rPr>
          <w:b/>
          <w:sz w:val="18"/>
          <w:szCs w:val="18"/>
        </w:rPr>
        <w:t>Figure S15:</w:t>
      </w:r>
      <w:r w:rsidRPr="005B1CCF">
        <w:rPr>
          <w:sz w:val="18"/>
          <w:szCs w:val="18"/>
        </w:rPr>
        <w:t xml:space="preserve"> </w:t>
      </w:r>
      <w:r w:rsidRPr="005B1CCF">
        <w:rPr>
          <w:i/>
          <w:sz w:val="18"/>
          <w:szCs w:val="18"/>
        </w:rPr>
        <w:t xml:space="preserve">H. </w:t>
      </w:r>
      <w:proofErr w:type="gramStart"/>
      <w:r w:rsidRPr="005B1CCF">
        <w:rPr>
          <w:i/>
          <w:sz w:val="18"/>
          <w:szCs w:val="18"/>
        </w:rPr>
        <w:t>pylori</w:t>
      </w:r>
      <w:r w:rsidRPr="005B1CCF">
        <w:rPr>
          <w:sz w:val="18"/>
          <w:szCs w:val="18"/>
        </w:rPr>
        <w:t xml:space="preserve"> gastritis group co-occurrence networks</w:t>
      </w:r>
      <w:proofErr w:type="gramEnd"/>
      <w:r w:rsidRPr="005B1CCF">
        <w:rPr>
          <w:sz w:val="18"/>
          <w:szCs w:val="18"/>
        </w:rPr>
        <w:t xml:space="preserve"> generated by </w:t>
      </w:r>
      <w:proofErr w:type="spellStart"/>
      <w:r w:rsidRPr="005B1CCF">
        <w:rPr>
          <w:sz w:val="18"/>
          <w:szCs w:val="18"/>
        </w:rPr>
        <w:t>SparCC</w:t>
      </w:r>
      <w:proofErr w:type="spellEnd"/>
      <w:r w:rsidRPr="005B1CCF">
        <w:rPr>
          <w:sz w:val="18"/>
          <w:szCs w:val="18"/>
        </w:rPr>
        <w:t xml:space="preserve">. Nodes represent OTUs, with size reflecting the node’s degree (number of edges connected to a node), and node color corresponding to the communities to which the OTU belongs. Edges between nodes represent correlations between the nodes they connect, with edge width and shade indicating the correlation magnitude, and green and red colors indicating positive and negative correlations, respectively. Only edges corresponding to correlations whose magnitude is greater than 0.4 are </w:t>
      </w:r>
      <w:proofErr w:type="gramStart"/>
      <w:r w:rsidRPr="005B1CCF">
        <w:rPr>
          <w:sz w:val="18"/>
          <w:szCs w:val="18"/>
        </w:rPr>
        <w:t>drawn,</w:t>
      </w:r>
      <w:proofErr w:type="gramEnd"/>
      <w:r w:rsidRPr="005B1CCF">
        <w:rPr>
          <w:sz w:val="18"/>
          <w:szCs w:val="18"/>
        </w:rPr>
        <w:t xml:space="preserve"> and unconnected nodes are omitted.</w:t>
      </w: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p>
    <w:p w:rsidR="0096204D" w:rsidRDefault="0096204D" w:rsidP="005B1CCF">
      <w:pPr>
        <w:rPr>
          <w:sz w:val="18"/>
          <w:szCs w:val="18"/>
        </w:rPr>
      </w:pPr>
      <w:r>
        <w:rPr>
          <w:noProof/>
          <w:sz w:val="18"/>
          <w:szCs w:val="18"/>
        </w:rPr>
        <w:lastRenderedPageBreak/>
        <w:drawing>
          <wp:inline distT="0" distB="0" distL="0" distR="0">
            <wp:extent cx="6000585" cy="450043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S16_AtrphGastr_Netwk_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3352" cy="4525014"/>
                    </a:xfrm>
                    <a:prstGeom prst="rect">
                      <a:avLst/>
                    </a:prstGeom>
                  </pic:spPr>
                </pic:pic>
              </a:graphicData>
            </a:graphic>
          </wp:inline>
        </w:drawing>
      </w:r>
    </w:p>
    <w:p w:rsidR="005B1CCF" w:rsidRDefault="005B1CCF" w:rsidP="005B1CCF">
      <w:pPr>
        <w:rPr>
          <w:sz w:val="18"/>
          <w:szCs w:val="18"/>
        </w:rPr>
      </w:pPr>
    </w:p>
    <w:p w:rsidR="005B1CCF" w:rsidRDefault="005B1CCF" w:rsidP="005B1CCF">
      <w:pPr>
        <w:rPr>
          <w:sz w:val="18"/>
          <w:szCs w:val="18"/>
        </w:rPr>
      </w:pPr>
      <w:r w:rsidRPr="005B1CCF">
        <w:rPr>
          <w:b/>
          <w:sz w:val="18"/>
          <w:szCs w:val="18"/>
        </w:rPr>
        <w:t>Figure S16:</w:t>
      </w:r>
      <w:r w:rsidRPr="005B1CCF">
        <w:rPr>
          <w:sz w:val="18"/>
          <w:szCs w:val="18"/>
        </w:rPr>
        <w:t xml:space="preserve"> Atrophic </w:t>
      </w:r>
      <w:proofErr w:type="gramStart"/>
      <w:r w:rsidRPr="005B1CCF">
        <w:rPr>
          <w:sz w:val="18"/>
          <w:szCs w:val="18"/>
        </w:rPr>
        <w:t>gastritis group co-occurrence networks</w:t>
      </w:r>
      <w:proofErr w:type="gramEnd"/>
      <w:r w:rsidRPr="005B1CCF">
        <w:rPr>
          <w:sz w:val="18"/>
          <w:szCs w:val="18"/>
        </w:rPr>
        <w:t xml:space="preserve"> generated by </w:t>
      </w:r>
      <w:proofErr w:type="spellStart"/>
      <w:r w:rsidRPr="005B1CCF">
        <w:rPr>
          <w:sz w:val="18"/>
          <w:szCs w:val="18"/>
        </w:rPr>
        <w:t>SparCC</w:t>
      </w:r>
      <w:proofErr w:type="spellEnd"/>
      <w:r w:rsidRPr="005B1CCF">
        <w:rPr>
          <w:sz w:val="18"/>
          <w:szCs w:val="18"/>
        </w:rPr>
        <w:t xml:space="preserve">. Nodes represent OTUs, with size reflecting the node’s degree (number of edges connected to a node), and node color corresponding to the communities to which the OTU belongs. Edges between nodes represent correlations between the nodes they connect, with edge width and shade indicating the correlation magnitude, and green and red colors indicating positive and negative correlations, respectively. Only edges corresponding to correlations whose magnitude is greater than 0.4 are </w:t>
      </w:r>
      <w:proofErr w:type="gramStart"/>
      <w:r w:rsidRPr="005B1CCF">
        <w:rPr>
          <w:sz w:val="18"/>
          <w:szCs w:val="18"/>
        </w:rPr>
        <w:t>drawn,</w:t>
      </w:r>
      <w:proofErr w:type="gramEnd"/>
      <w:r w:rsidRPr="005B1CCF">
        <w:rPr>
          <w:sz w:val="18"/>
          <w:szCs w:val="18"/>
        </w:rPr>
        <w:t xml:space="preserve"> and unconnected nodes are omitted.</w:t>
      </w:r>
    </w:p>
    <w:p w:rsidR="003902D6" w:rsidRDefault="003902D6" w:rsidP="005B1CCF">
      <w:pPr>
        <w:rPr>
          <w:sz w:val="18"/>
          <w:szCs w:val="18"/>
        </w:rPr>
      </w:pPr>
    </w:p>
    <w:p w:rsidR="003902D6" w:rsidRPr="005B1CCF" w:rsidRDefault="003902D6" w:rsidP="005B1CCF">
      <w:pPr>
        <w:rPr>
          <w:sz w:val="18"/>
          <w:szCs w:val="18"/>
        </w:rPr>
      </w:pPr>
      <w:r>
        <w:rPr>
          <w:noProof/>
          <w:sz w:val="18"/>
          <w:szCs w:val="18"/>
        </w:rPr>
        <w:lastRenderedPageBreak/>
        <w:drawing>
          <wp:inline distT="0" distB="0" distL="0" distR="0">
            <wp:extent cx="5972810" cy="4452620"/>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S17_DESeq_Olga_groups.jpeg"/>
                    <pic:cNvPicPr/>
                  </pic:nvPicPr>
                  <pic:blipFill>
                    <a:blip r:embed="rId24">
                      <a:extLst>
                        <a:ext uri="{28A0092B-C50C-407E-A947-70E740481C1C}">
                          <a14:useLocalDpi xmlns:a14="http://schemas.microsoft.com/office/drawing/2010/main" val="0"/>
                        </a:ext>
                      </a:extLst>
                    </a:blip>
                    <a:stretch>
                      <a:fillRect/>
                    </a:stretch>
                  </pic:blipFill>
                  <pic:spPr>
                    <a:xfrm>
                      <a:off x="0" y="0"/>
                      <a:ext cx="5972810" cy="4452620"/>
                    </a:xfrm>
                    <a:prstGeom prst="rect">
                      <a:avLst/>
                    </a:prstGeom>
                  </pic:spPr>
                </pic:pic>
              </a:graphicData>
            </a:graphic>
          </wp:inline>
        </w:drawing>
      </w:r>
    </w:p>
    <w:p w:rsidR="005B1CCF" w:rsidRPr="005B1CCF" w:rsidRDefault="003902D6" w:rsidP="005B1CCF">
      <w:pPr>
        <w:rPr>
          <w:sz w:val="18"/>
          <w:szCs w:val="18"/>
        </w:rPr>
      </w:pPr>
      <w:r>
        <w:rPr>
          <w:b/>
          <w:sz w:val="18"/>
          <w:szCs w:val="18"/>
        </w:rPr>
        <w:t>Figure S17</w:t>
      </w:r>
      <w:r w:rsidRPr="005B1CCF">
        <w:rPr>
          <w:b/>
          <w:sz w:val="18"/>
          <w:szCs w:val="18"/>
        </w:rPr>
        <w:t>:</w:t>
      </w:r>
      <w:r>
        <w:rPr>
          <w:sz w:val="18"/>
          <w:szCs w:val="18"/>
        </w:rPr>
        <w:t xml:space="preserve"> </w:t>
      </w:r>
      <w:r w:rsidRPr="003902D6">
        <w:rPr>
          <w:sz w:val="18"/>
          <w:szCs w:val="18"/>
        </w:rPr>
        <w:t xml:space="preserve">Differentially enriched OTUs between </w:t>
      </w:r>
      <w:r>
        <w:rPr>
          <w:sz w:val="18"/>
          <w:szCs w:val="18"/>
        </w:rPr>
        <w:t>Olga Stage 0</w:t>
      </w:r>
      <w:r w:rsidRPr="003902D6">
        <w:rPr>
          <w:sz w:val="18"/>
          <w:szCs w:val="18"/>
        </w:rPr>
        <w:t xml:space="preserve"> – </w:t>
      </w:r>
      <w:r>
        <w:rPr>
          <w:sz w:val="18"/>
          <w:szCs w:val="18"/>
        </w:rPr>
        <w:t>Olga Stage 1</w:t>
      </w:r>
      <w:r w:rsidRPr="003902D6">
        <w:rPr>
          <w:sz w:val="18"/>
          <w:szCs w:val="18"/>
        </w:rPr>
        <w:t xml:space="preserve"> at the genus and phylum level. These OTUs were among the most-significantly differentially abundant (alpha = 0.05, after multiple testing correction using </w:t>
      </w:r>
      <w:proofErr w:type="spellStart"/>
      <w:r w:rsidRPr="003902D6">
        <w:rPr>
          <w:sz w:val="18"/>
          <w:szCs w:val="18"/>
        </w:rPr>
        <w:t>Benjamini</w:t>
      </w:r>
      <w:proofErr w:type="spellEnd"/>
      <w:r w:rsidRPr="003902D6">
        <w:rPr>
          <w:sz w:val="18"/>
          <w:szCs w:val="18"/>
        </w:rPr>
        <w:t>-Hochberg method) between the groups shown in the title of the respective plot</w:t>
      </w:r>
    </w:p>
    <w:p w:rsidR="005B1CCF" w:rsidRPr="00A521B1" w:rsidRDefault="005B1CCF" w:rsidP="007057F8">
      <w:pPr>
        <w:rPr>
          <w:sz w:val="18"/>
          <w:szCs w:val="18"/>
        </w:rPr>
      </w:pPr>
    </w:p>
    <w:p w:rsidR="00A86549" w:rsidRDefault="00A86549"/>
    <w:sectPr w:rsidR="00A86549" w:rsidSect="00C36EC4">
      <w:footerReference w:type="default" r:id="rId25"/>
      <w:pgSz w:w="12240" w:h="15840"/>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824" w:rsidRDefault="00B97824" w:rsidP="00C36EC4">
      <w:pPr>
        <w:spacing w:after="0" w:line="240" w:lineRule="auto"/>
      </w:pPr>
      <w:r>
        <w:separator/>
      </w:r>
    </w:p>
  </w:endnote>
  <w:endnote w:type="continuationSeparator" w:id="0">
    <w:p w:rsidR="00B97824" w:rsidRDefault="00B97824" w:rsidP="00C3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114411"/>
      <w:docPartObj>
        <w:docPartGallery w:val="Page Numbers (Bottom of Page)"/>
        <w:docPartUnique/>
      </w:docPartObj>
    </w:sdtPr>
    <w:sdtEndPr>
      <w:rPr>
        <w:noProof/>
      </w:rPr>
    </w:sdtEndPr>
    <w:sdtContent>
      <w:p w:rsidR="00C36EC4" w:rsidRDefault="00C36EC4">
        <w:pPr>
          <w:pStyle w:val="Footer"/>
          <w:jc w:val="right"/>
        </w:pPr>
        <w:r>
          <w:fldChar w:fldCharType="begin"/>
        </w:r>
        <w:r>
          <w:instrText xml:space="preserve"> PAGE   \* MERGEFORMAT </w:instrText>
        </w:r>
        <w:r>
          <w:fldChar w:fldCharType="separate"/>
        </w:r>
        <w:r w:rsidR="00045084">
          <w:rPr>
            <w:noProof/>
          </w:rPr>
          <w:t>20</w:t>
        </w:r>
        <w:r>
          <w:rPr>
            <w:noProof/>
          </w:rPr>
          <w:fldChar w:fldCharType="end"/>
        </w:r>
      </w:p>
    </w:sdtContent>
  </w:sdt>
  <w:p w:rsidR="00C36EC4" w:rsidRDefault="00C36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824" w:rsidRDefault="00B97824" w:rsidP="00C36EC4">
      <w:pPr>
        <w:spacing w:after="0" w:line="240" w:lineRule="auto"/>
      </w:pPr>
      <w:r>
        <w:separator/>
      </w:r>
    </w:p>
  </w:footnote>
  <w:footnote w:type="continuationSeparator" w:id="0">
    <w:p w:rsidR="00B97824" w:rsidRDefault="00B97824" w:rsidP="00C36E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7F8"/>
    <w:rsid w:val="00045084"/>
    <w:rsid w:val="00282BCF"/>
    <w:rsid w:val="00345808"/>
    <w:rsid w:val="003902D6"/>
    <w:rsid w:val="003D7FB2"/>
    <w:rsid w:val="005768A9"/>
    <w:rsid w:val="005B1CCF"/>
    <w:rsid w:val="005F76C7"/>
    <w:rsid w:val="0061004C"/>
    <w:rsid w:val="007057F8"/>
    <w:rsid w:val="00711FE9"/>
    <w:rsid w:val="00817208"/>
    <w:rsid w:val="00912616"/>
    <w:rsid w:val="0096204D"/>
    <w:rsid w:val="00986386"/>
    <w:rsid w:val="00A5147E"/>
    <w:rsid w:val="00A86549"/>
    <w:rsid w:val="00B97824"/>
    <w:rsid w:val="00C33006"/>
    <w:rsid w:val="00C36EC4"/>
    <w:rsid w:val="00D15AAA"/>
    <w:rsid w:val="00F8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F728"/>
  <w15:chartTrackingRefBased/>
  <w15:docId w15:val="{CD88D236-C552-45AA-B3BC-8FD4704A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7F8"/>
    <w:pPr>
      <w:spacing w:after="200" w:line="360" w:lineRule="auto"/>
      <w:ind w:left="709" w:firstLine="284"/>
    </w:pPr>
    <w:rPr>
      <w:rFonts w:ascii="Times New Roman" w:eastAsia="Calibri" w:hAnsi="Times New Roman" w:cs="Times New Roman"/>
    </w:rPr>
  </w:style>
  <w:style w:type="paragraph" w:styleId="Heading1">
    <w:name w:val="heading 1"/>
    <w:basedOn w:val="Normal"/>
    <w:next w:val="Normal"/>
    <w:link w:val="Heading1Char"/>
    <w:uiPriority w:val="9"/>
    <w:qFormat/>
    <w:rsid w:val="00F812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57F8"/>
    <w:pPr>
      <w:keepNext/>
      <w:keepLines/>
      <w:spacing w:before="200" w:after="0" w:line="240" w:lineRule="auto"/>
      <w:ind w:left="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057F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57F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7057F8"/>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F81202"/>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C36EC4"/>
  </w:style>
  <w:style w:type="paragraph" w:styleId="Header">
    <w:name w:val="header"/>
    <w:basedOn w:val="Normal"/>
    <w:link w:val="HeaderChar"/>
    <w:uiPriority w:val="99"/>
    <w:unhideWhenUsed/>
    <w:rsid w:val="00C36EC4"/>
    <w:pPr>
      <w:tabs>
        <w:tab w:val="center" w:pos="4703"/>
        <w:tab w:val="right" w:pos="9406"/>
      </w:tabs>
      <w:spacing w:after="0" w:line="240" w:lineRule="auto"/>
    </w:pPr>
  </w:style>
  <w:style w:type="character" w:customStyle="1" w:styleId="HeaderChar">
    <w:name w:val="Header Char"/>
    <w:basedOn w:val="DefaultParagraphFont"/>
    <w:link w:val="Header"/>
    <w:uiPriority w:val="99"/>
    <w:rsid w:val="00C36EC4"/>
    <w:rPr>
      <w:rFonts w:ascii="Times New Roman" w:eastAsia="Calibri" w:hAnsi="Times New Roman" w:cs="Times New Roman"/>
    </w:rPr>
  </w:style>
  <w:style w:type="paragraph" w:styleId="Footer">
    <w:name w:val="footer"/>
    <w:basedOn w:val="Normal"/>
    <w:link w:val="FooterChar"/>
    <w:uiPriority w:val="99"/>
    <w:unhideWhenUsed/>
    <w:rsid w:val="00C36EC4"/>
    <w:pPr>
      <w:tabs>
        <w:tab w:val="center" w:pos="4703"/>
        <w:tab w:val="right" w:pos="9406"/>
      </w:tabs>
      <w:spacing w:after="0" w:line="240" w:lineRule="auto"/>
    </w:pPr>
  </w:style>
  <w:style w:type="character" w:customStyle="1" w:styleId="FooterChar">
    <w:name w:val="Footer Char"/>
    <w:basedOn w:val="DefaultParagraphFont"/>
    <w:link w:val="Footer"/>
    <w:uiPriority w:val="99"/>
    <w:rsid w:val="00C36EC4"/>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172DA-503B-4C46-B8AD-E389E373F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21</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MEB</Company>
  <LinksUpToDate>false</LinksUpToDate>
  <CharactersWithSpaces>24695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Ndegwa Gichora</dc:creator>
  <cp:keywords/>
  <dc:description/>
  <cp:lastModifiedBy>Nelson Ndegwa Gichora</cp:lastModifiedBy>
  <cp:revision>17</cp:revision>
  <dcterms:created xsi:type="dcterms:W3CDTF">2019-02-21T06:53:00Z</dcterms:created>
  <dcterms:modified xsi:type="dcterms:W3CDTF">2020-02-29T22:30:00Z</dcterms:modified>
</cp:coreProperties>
</file>