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26A" w:rsidRPr="00557BF0" w:rsidRDefault="00CF5E80" w:rsidP="00CF5E80">
      <w:pPr>
        <w:spacing w:line="360" w:lineRule="auto"/>
        <w:rPr>
          <w:rFonts w:ascii="Garamond" w:hAnsi="Garamond"/>
          <w:szCs w:val="24"/>
        </w:rPr>
      </w:pPr>
      <w:r w:rsidRPr="00557BF0">
        <w:rPr>
          <w:rFonts w:ascii="Garamond" w:hAnsi="Garamond"/>
          <w:b/>
          <w:szCs w:val="24"/>
        </w:rPr>
        <w:t xml:space="preserve">Supplementary </w:t>
      </w:r>
      <w:r w:rsidR="00557BF0" w:rsidRPr="00557BF0">
        <w:rPr>
          <w:rFonts w:ascii="Garamond" w:hAnsi="Garamond"/>
          <w:b/>
          <w:szCs w:val="24"/>
        </w:rPr>
        <w:t>t</w:t>
      </w:r>
      <w:r w:rsidR="0029626A" w:rsidRPr="00557BF0">
        <w:rPr>
          <w:rFonts w:ascii="Garamond" w:hAnsi="Garamond"/>
          <w:b/>
          <w:szCs w:val="24"/>
        </w:rPr>
        <w:t xml:space="preserve">able </w:t>
      </w:r>
      <w:r w:rsidRPr="00557BF0">
        <w:rPr>
          <w:rFonts w:ascii="Garamond" w:hAnsi="Garamond"/>
          <w:b/>
          <w:szCs w:val="24"/>
        </w:rPr>
        <w:t>1</w:t>
      </w:r>
      <w:r w:rsidR="0029626A" w:rsidRPr="00557BF0">
        <w:rPr>
          <w:rFonts w:ascii="Garamond" w:hAnsi="Garamond"/>
          <w:szCs w:val="24"/>
        </w:rPr>
        <w:t>. Logistic regression model performed to create the propensity score</w:t>
      </w:r>
      <w:r w:rsidR="00162CBB" w:rsidRPr="00557BF0">
        <w:rPr>
          <w:rFonts w:ascii="Garamond" w:hAnsi="Garamond"/>
          <w:szCs w:val="24"/>
        </w:rPr>
        <w:t>.</w:t>
      </w:r>
    </w:p>
    <w:tbl>
      <w:tblPr>
        <w:tblStyle w:val="Tablaconcuadrcula"/>
        <w:tblpPr w:leftFromText="141" w:rightFromText="141" w:vertAnchor="text" w:horzAnchor="margin" w:tblpX="-20" w:tblpY="170"/>
        <w:tblW w:w="83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28"/>
        <w:gridCol w:w="1843"/>
        <w:gridCol w:w="992"/>
      </w:tblGrid>
      <w:tr w:rsidR="0029626A" w:rsidRPr="00557BF0" w:rsidTr="00162CBB">
        <w:tc>
          <w:tcPr>
            <w:tcW w:w="552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9626A" w:rsidRPr="00557BF0" w:rsidRDefault="0029626A" w:rsidP="00162CBB">
            <w:pPr>
              <w:spacing w:after="160" w:line="360" w:lineRule="auto"/>
              <w:rPr>
                <w:rFonts w:ascii="Garamond" w:eastAsia="Calibri" w:hAnsi="Garamond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29626A" w:rsidRPr="00557BF0" w:rsidRDefault="0029626A" w:rsidP="00162CBB">
            <w:pPr>
              <w:spacing w:after="160" w:line="360" w:lineRule="auto"/>
              <w:jc w:val="center"/>
              <w:rPr>
                <w:rFonts w:ascii="Garamond" w:eastAsia="Calibri" w:hAnsi="Garamond" w:cs="Times New Roman"/>
                <w:b/>
                <w:szCs w:val="24"/>
              </w:rPr>
            </w:pPr>
            <w:r w:rsidRPr="00557BF0">
              <w:rPr>
                <w:rFonts w:ascii="Garamond" w:eastAsia="Calibri" w:hAnsi="Garamond" w:cs="Times New Roman"/>
                <w:b/>
                <w:szCs w:val="24"/>
              </w:rPr>
              <w:t>OR (95% CI)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:rsidR="0029626A" w:rsidRPr="00557BF0" w:rsidRDefault="0029626A" w:rsidP="00162CBB">
            <w:pPr>
              <w:spacing w:after="160" w:line="360" w:lineRule="auto"/>
              <w:jc w:val="center"/>
              <w:rPr>
                <w:rFonts w:ascii="Garamond" w:eastAsia="Calibri" w:hAnsi="Garamond" w:cs="Times New Roman"/>
                <w:b/>
                <w:szCs w:val="24"/>
              </w:rPr>
            </w:pPr>
            <w:r w:rsidRPr="00557BF0">
              <w:rPr>
                <w:rFonts w:ascii="Garamond" w:eastAsia="Calibri" w:hAnsi="Garamond" w:cs="Times New Roman"/>
                <w:b/>
                <w:szCs w:val="24"/>
              </w:rPr>
              <w:t>P value</w:t>
            </w:r>
          </w:p>
        </w:tc>
      </w:tr>
      <w:tr w:rsidR="0029626A" w:rsidRPr="00557BF0" w:rsidTr="00162CBB">
        <w:tc>
          <w:tcPr>
            <w:tcW w:w="552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29626A" w:rsidP="00162CBB">
            <w:pPr>
              <w:spacing w:after="160" w:line="360" w:lineRule="auto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Calibri" w:hAnsi="Garamond" w:cs="Times New Roman"/>
                <w:szCs w:val="24"/>
              </w:rPr>
              <w:t>Age, years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EF7C22" w:rsidP="00162CBB">
            <w:pPr>
              <w:spacing w:after="160" w:line="360" w:lineRule="auto"/>
              <w:jc w:val="center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Calibri" w:hAnsi="Garamond" w:cs="Times New Roman"/>
                <w:szCs w:val="24"/>
              </w:rPr>
              <w:t>1.02</w:t>
            </w:r>
            <w:r w:rsidR="0029626A" w:rsidRPr="00557BF0">
              <w:rPr>
                <w:rFonts w:ascii="Garamond" w:eastAsia="Calibri" w:hAnsi="Garamond" w:cs="Times New Roman"/>
                <w:szCs w:val="24"/>
              </w:rPr>
              <w:t xml:space="preserve"> (0.9</w:t>
            </w:r>
            <w:r w:rsidRPr="00557BF0">
              <w:rPr>
                <w:rFonts w:ascii="Garamond" w:eastAsia="Calibri" w:hAnsi="Garamond" w:cs="Times New Roman"/>
                <w:szCs w:val="24"/>
              </w:rPr>
              <w:t>9</w:t>
            </w:r>
            <w:r w:rsidR="0029626A" w:rsidRPr="00557BF0">
              <w:rPr>
                <w:rFonts w:ascii="Garamond" w:eastAsia="Calibri" w:hAnsi="Garamond" w:cs="Times New Roman"/>
                <w:szCs w:val="24"/>
              </w:rPr>
              <w:t>-1.0</w:t>
            </w:r>
            <w:r w:rsidRPr="00557BF0">
              <w:rPr>
                <w:rFonts w:ascii="Garamond" w:eastAsia="Calibri" w:hAnsi="Garamond" w:cs="Times New Roman"/>
                <w:szCs w:val="24"/>
              </w:rPr>
              <w:t>6</w:t>
            </w:r>
            <w:r w:rsidR="0029626A" w:rsidRPr="00557BF0">
              <w:rPr>
                <w:rFonts w:ascii="Garamond" w:eastAsia="Calibri" w:hAnsi="Garamond" w:cs="Times New Roman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29626A" w:rsidP="00162CBB">
            <w:pPr>
              <w:spacing w:after="160" w:line="360" w:lineRule="auto"/>
              <w:jc w:val="center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Calibri" w:hAnsi="Garamond" w:cs="Times New Roman"/>
                <w:szCs w:val="24"/>
              </w:rPr>
              <w:t>0.1</w:t>
            </w:r>
            <w:r w:rsidR="00EF7C22" w:rsidRPr="00557BF0">
              <w:rPr>
                <w:rFonts w:ascii="Garamond" w:eastAsia="Calibri" w:hAnsi="Garamond" w:cs="Times New Roman"/>
                <w:szCs w:val="24"/>
              </w:rPr>
              <w:t>12</w:t>
            </w:r>
          </w:p>
        </w:tc>
      </w:tr>
      <w:tr w:rsidR="0029626A" w:rsidRPr="00557BF0" w:rsidTr="00162CBB">
        <w:tc>
          <w:tcPr>
            <w:tcW w:w="5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29626A" w:rsidP="00162CBB">
            <w:pPr>
              <w:spacing w:after="160" w:line="360" w:lineRule="auto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Calibri" w:hAnsi="Garamond" w:cs="Times New Roman"/>
                <w:szCs w:val="24"/>
              </w:rPr>
              <w:t xml:space="preserve">Male gender 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EF7C22" w:rsidP="00162CBB">
            <w:pPr>
              <w:spacing w:after="160" w:line="360" w:lineRule="auto"/>
              <w:jc w:val="center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Calibri" w:hAnsi="Garamond" w:cs="Times New Roman"/>
                <w:szCs w:val="24"/>
              </w:rPr>
              <w:t>1.68</w:t>
            </w:r>
            <w:r w:rsidR="0029626A" w:rsidRPr="00557BF0">
              <w:rPr>
                <w:rFonts w:ascii="Garamond" w:eastAsia="Calibri" w:hAnsi="Garamond" w:cs="Times New Roman"/>
                <w:szCs w:val="24"/>
              </w:rPr>
              <w:t xml:space="preserve"> (0.</w:t>
            </w:r>
            <w:r w:rsidRPr="00557BF0">
              <w:rPr>
                <w:rFonts w:ascii="Garamond" w:eastAsia="Calibri" w:hAnsi="Garamond" w:cs="Times New Roman"/>
                <w:szCs w:val="24"/>
              </w:rPr>
              <w:t>82</w:t>
            </w:r>
            <w:r w:rsidR="0029626A" w:rsidRPr="00557BF0">
              <w:rPr>
                <w:rFonts w:ascii="Garamond" w:eastAsia="Calibri" w:hAnsi="Garamond" w:cs="Times New Roman"/>
                <w:szCs w:val="24"/>
              </w:rPr>
              <w:t>-</w:t>
            </w:r>
            <w:r w:rsidRPr="00557BF0">
              <w:rPr>
                <w:rFonts w:ascii="Garamond" w:eastAsia="Calibri" w:hAnsi="Garamond" w:cs="Times New Roman"/>
                <w:szCs w:val="24"/>
              </w:rPr>
              <w:t>3.42</w:t>
            </w:r>
            <w:r w:rsidR="0029626A" w:rsidRPr="00557BF0">
              <w:rPr>
                <w:rFonts w:ascii="Garamond" w:eastAsia="Calibri" w:hAnsi="Garamond" w:cs="Times New Roman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29626A" w:rsidP="00162CBB">
            <w:pPr>
              <w:spacing w:after="160" w:line="360" w:lineRule="auto"/>
              <w:jc w:val="center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Calibri" w:hAnsi="Garamond" w:cs="Times New Roman"/>
                <w:szCs w:val="24"/>
              </w:rPr>
              <w:t>0.</w:t>
            </w:r>
            <w:r w:rsidR="00EF7C22" w:rsidRPr="00557BF0">
              <w:rPr>
                <w:rFonts w:ascii="Garamond" w:eastAsia="Calibri" w:hAnsi="Garamond" w:cs="Times New Roman"/>
                <w:szCs w:val="24"/>
              </w:rPr>
              <w:t>155</w:t>
            </w:r>
          </w:p>
        </w:tc>
      </w:tr>
      <w:tr w:rsidR="0029626A" w:rsidRPr="00557BF0" w:rsidTr="00162CBB">
        <w:tc>
          <w:tcPr>
            <w:tcW w:w="5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29626A" w:rsidP="00162CBB">
            <w:pPr>
              <w:spacing w:after="160" w:line="360" w:lineRule="auto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Garamond" w:hAnsi="Garamond" w:cs="Garamond"/>
                <w:szCs w:val="24"/>
              </w:rPr>
              <w:t>Penetrating behavior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29626A" w:rsidP="00162CBB">
            <w:pPr>
              <w:spacing w:after="160" w:line="360" w:lineRule="auto"/>
              <w:jc w:val="center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Calibri" w:hAnsi="Garamond" w:cs="Times New Roman"/>
                <w:szCs w:val="24"/>
              </w:rPr>
              <w:t>0.</w:t>
            </w:r>
            <w:r w:rsidR="00EF7C22" w:rsidRPr="00557BF0">
              <w:rPr>
                <w:rFonts w:ascii="Garamond" w:eastAsia="Calibri" w:hAnsi="Garamond" w:cs="Times New Roman"/>
                <w:szCs w:val="24"/>
              </w:rPr>
              <w:t>74</w:t>
            </w:r>
            <w:r w:rsidRPr="00557BF0">
              <w:rPr>
                <w:rFonts w:ascii="Garamond" w:eastAsia="Calibri" w:hAnsi="Garamond" w:cs="Times New Roman"/>
                <w:szCs w:val="24"/>
              </w:rPr>
              <w:t xml:space="preserve"> (0.</w:t>
            </w:r>
            <w:r w:rsidR="00EF7C22" w:rsidRPr="00557BF0">
              <w:rPr>
                <w:rFonts w:ascii="Garamond" w:eastAsia="Calibri" w:hAnsi="Garamond" w:cs="Times New Roman"/>
                <w:szCs w:val="24"/>
              </w:rPr>
              <w:t>34</w:t>
            </w:r>
            <w:r w:rsidRPr="00557BF0">
              <w:rPr>
                <w:rFonts w:ascii="Garamond" w:eastAsia="Calibri" w:hAnsi="Garamond" w:cs="Times New Roman"/>
                <w:szCs w:val="24"/>
              </w:rPr>
              <w:t>-1.</w:t>
            </w:r>
            <w:r w:rsidR="00EF7C22" w:rsidRPr="00557BF0">
              <w:rPr>
                <w:rFonts w:ascii="Garamond" w:eastAsia="Calibri" w:hAnsi="Garamond" w:cs="Times New Roman"/>
                <w:szCs w:val="24"/>
              </w:rPr>
              <w:t>60</w:t>
            </w:r>
            <w:r w:rsidRPr="00557BF0">
              <w:rPr>
                <w:rFonts w:ascii="Garamond" w:eastAsia="Calibri" w:hAnsi="Garamond" w:cs="Times New Roman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29626A" w:rsidP="00162CBB">
            <w:pPr>
              <w:spacing w:after="160" w:line="360" w:lineRule="auto"/>
              <w:jc w:val="center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Calibri" w:hAnsi="Garamond" w:cs="Times New Roman"/>
                <w:szCs w:val="24"/>
              </w:rPr>
              <w:t>0.</w:t>
            </w:r>
            <w:r w:rsidR="00EF7C22" w:rsidRPr="00557BF0">
              <w:rPr>
                <w:rFonts w:ascii="Garamond" w:eastAsia="Calibri" w:hAnsi="Garamond" w:cs="Times New Roman"/>
                <w:szCs w:val="24"/>
              </w:rPr>
              <w:t>444</w:t>
            </w:r>
          </w:p>
        </w:tc>
      </w:tr>
      <w:tr w:rsidR="0029626A" w:rsidRPr="00557BF0" w:rsidTr="00162CBB">
        <w:tc>
          <w:tcPr>
            <w:tcW w:w="5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29626A" w:rsidP="00162CBB">
            <w:pPr>
              <w:spacing w:after="160" w:line="360" w:lineRule="auto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Garamond" w:hAnsi="Garamond" w:cs="Garamond"/>
                <w:szCs w:val="24"/>
              </w:rPr>
              <w:t>Perianal disease prior to surgery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EF7C22" w:rsidP="00162CBB">
            <w:pPr>
              <w:spacing w:after="160" w:line="360" w:lineRule="auto"/>
              <w:jc w:val="center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Calibri" w:hAnsi="Garamond" w:cs="Times New Roman"/>
                <w:szCs w:val="24"/>
              </w:rPr>
              <w:t>1.76</w:t>
            </w:r>
            <w:r w:rsidR="0029626A" w:rsidRPr="00557BF0">
              <w:rPr>
                <w:rFonts w:ascii="Garamond" w:eastAsia="Calibri" w:hAnsi="Garamond" w:cs="Times New Roman"/>
                <w:szCs w:val="24"/>
              </w:rPr>
              <w:t xml:space="preserve"> (0.7</w:t>
            </w:r>
            <w:r w:rsidRPr="00557BF0">
              <w:rPr>
                <w:rFonts w:ascii="Garamond" w:eastAsia="Calibri" w:hAnsi="Garamond" w:cs="Times New Roman"/>
                <w:szCs w:val="24"/>
              </w:rPr>
              <w:t>1</w:t>
            </w:r>
            <w:r w:rsidR="0029626A" w:rsidRPr="00557BF0">
              <w:rPr>
                <w:rFonts w:ascii="Garamond" w:eastAsia="Calibri" w:hAnsi="Garamond" w:cs="Times New Roman"/>
                <w:szCs w:val="24"/>
              </w:rPr>
              <w:t>-</w:t>
            </w:r>
            <w:r w:rsidRPr="00557BF0">
              <w:rPr>
                <w:rFonts w:ascii="Garamond" w:eastAsia="Calibri" w:hAnsi="Garamond" w:cs="Times New Roman"/>
                <w:szCs w:val="24"/>
              </w:rPr>
              <w:t>4.33</w:t>
            </w:r>
            <w:r w:rsidR="0029626A" w:rsidRPr="00557BF0">
              <w:rPr>
                <w:rFonts w:ascii="Garamond" w:eastAsia="Calibri" w:hAnsi="Garamond" w:cs="Times New Roman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29626A" w:rsidP="00162CBB">
            <w:pPr>
              <w:spacing w:after="160" w:line="360" w:lineRule="auto"/>
              <w:jc w:val="center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Calibri" w:hAnsi="Garamond" w:cs="Times New Roman"/>
                <w:szCs w:val="24"/>
              </w:rPr>
              <w:t>0.</w:t>
            </w:r>
            <w:r w:rsidR="00EF7C22" w:rsidRPr="00557BF0">
              <w:rPr>
                <w:rFonts w:ascii="Garamond" w:eastAsia="Calibri" w:hAnsi="Garamond" w:cs="Times New Roman"/>
                <w:szCs w:val="24"/>
              </w:rPr>
              <w:t>221</w:t>
            </w:r>
          </w:p>
        </w:tc>
      </w:tr>
      <w:tr w:rsidR="0029626A" w:rsidRPr="00557BF0" w:rsidTr="00162CBB">
        <w:tc>
          <w:tcPr>
            <w:tcW w:w="5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29626A" w:rsidP="00162CBB">
            <w:pPr>
              <w:spacing w:after="160" w:line="360" w:lineRule="auto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Extra</w:t>
            </w:r>
            <w:r w:rsidR="006D054F">
              <w:rPr>
                <w:rFonts w:ascii="Garamond" w:hAnsi="Garamond"/>
                <w:szCs w:val="24"/>
              </w:rPr>
              <w:t>-</w:t>
            </w:r>
            <w:r w:rsidRPr="00557BF0">
              <w:rPr>
                <w:rFonts w:ascii="Garamond" w:hAnsi="Garamond"/>
                <w:szCs w:val="24"/>
              </w:rPr>
              <w:t>intestinal manifestations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29626A" w:rsidP="00162CBB">
            <w:pPr>
              <w:spacing w:after="160" w:line="360" w:lineRule="auto"/>
              <w:jc w:val="center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Calibri" w:hAnsi="Garamond" w:cs="Times New Roman"/>
                <w:szCs w:val="24"/>
              </w:rPr>
              <w:t>0.</w:t>
            </w:r>
            <w:r w:rsidR="00EF7C22" w:rsidRPr="00557BF0">
              <w:rPr>
                <w:rFonts w:ascii="Garamond" w:eastAsia="Calibri" w:hAnsi="Garamond" w:cs="Times New Roman"/>
                <w:szCs w:val="24"/>
              </w:rPr>
              <w:t>85</w:t>
            </w:r>
            <w:r w:rsidRPr="00557BF0">
              <w:rPr>
                <w:rFonts w:ascii="Garamond" w:eastAsia="Calibri" w:hAnsi="Garamond" w:cs="Times New Roman"/>
                <w:szCs w:val="24"/>
              </w:rPr>
              <w:t xml:space="preserve"> (0.</w:t>
            </w:r>
            <w:r w:rsidR="00EF7C22" w:rsidRPr="00557BF0">
              <w:rPr>
                <w:rFonts w:ascii="Garamond" w:eastAsia="Calibri" w:hAnsi="Garamond" w:cs="Times New Roman"/>
                <w:szCs w:val="24"/>
              </w:rPr>
              <w:t>31</w:t>
            </w:r>
            <w:r w:rsidRPr="00557BF0">
              <w:rPr>
                <w:rFonts w:ascii="Garamond" w:eastAsia="Calibri" w:hAnsi="Garamond" w:cs="Times New Roman"/>
                <w:szCs w:val="24"/>
              </w:rPr>
              <w:t>-1.</w:t>
            </w:r>
            <w:r w:rsidR="00EF7C22" w:rsidRPr="00557BF0">
              <w:rPr>
                <w:rFonts w:ascii="Garamond" w:eastAsia="Calibri" w:hAnsi="Garamond" w:cs="Times New Roman"/>
                <w:szCs w:val="24"/>
              </w:rPr>
              <w:t>87</w:t>
            </w:r>
            <w:r w:rsidRPr="00557BF0">
              <w:rPr>
                <w:rFonts w:ascii="Garamond" w:eastAsia="Calibri" w:hAnsi="Garamond" w:cs="Times New Roman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29626A" w:rsidP="00162CBB">
            <w:pPr>
              <w:spacing w:after="160" w:line="360" w:lineRule="auto"/>
              <w:jc w:val="center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Calibri" w:hAnsi="Garamond" w:cs="Times New Roman"/>
                <w:szCs w:val="24"/>
              </w:rPr>
              <w:t>0.</w:t>
            </w:r>
            <w:r w:rsidR="00EF7C22" w:rsidRPr="00557BF0">
              <w:rPr>
                <w:rFonts w:ascii="Garamond" w:eastAsia="Calibri" w:hAnsi="Garamond" w:cs="Times New Roman"/>
                <w:szCs w:val="24"/>
              </w:rPr>
              <w:t>679</w:t>
            </w:r>
          </w:p>
        </w:tc>
      </w:tr>
      <w:tr w:rsidR="0029626A" w:rsidRPr="00557BF0" w:rsidTr="00162CBB">
        <w:tc>
          <w:tcPr>
            <w:tcW w:w="5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29626A" w:rsidP="00162CBB">
            <w:pPr>
              <w:spacing w:after="160" w:line="360" w:lineRule="auto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Garamond" w:hAnsi="Garamond" w:cs="Garamond"/>
                <w:szCs w:val="24"/>
              </w:rPr>
              <w:t>Active smokers at index surgery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EF7C22" w:rsidP="00162CBB">
            <w:pPr>
              <w:spacing w:after="160" w:line="360" w:lineRule="auto"/>
              <w:jc w:val="center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Calibri" w:hAnsi="Garamond" w:cs="Times New Roman"/>
                <w:szCs w:val="24"/>
              </w:rPr>
              <w:t>0.96</w:t>
            </w:r>
            <w:r w:rsidR="0029626A" w:rsidRPr="00557BF0">
              <w:rPr>
                <w:rFonts w:ascii="Garamond" w:eastAsia="Calibri" w:hAnsi="Garamond" w:cs="Times New Roman"/>
                <w:szCs w:val="24"/>
              </w:rPr>
              <w:t xml:space="preserve"> (</w:t>
            </w:r>
            <w:r w:rsidRPr="00557BF0">
              <w:rPr>
                <w:rFonts w:ascii="Garamond" w:eastAsia="Calibri" w:hAnsi="Garamond" w:cs="Times New Roman"/>
                <w:szCs w:val="24"/>
              </w:rPr>
              <w:t>0.69</w:t>
            </w:r>
            <w:r w:rsidR="0029626A" w:rsidRPr="00557BF0">
              <w:rPr>
                <w:rFonts w:ascii="Garamond" w:eastAsia="Calibri" w:hAnsi="Garamond" w:cs="Times New Roman"/>
                <w:szCs w:val="24"/>
              </w:rPr>
              <w:t>-</w:t>
            </w:r>
            <w:r w:rsidRPr="00557BF0">
              <w:rPr>
                <w:rFonts w:ascii="Garamond" w:eastAsia="Calibri" w:hAnsi="Garamond" w:cs="Times New Roman"/>
                <w:szCs w:val="24"/>
              </w:rPr>
              <w:t>1.34</w:t>
            </w:r>
            <w:r w:rsidR="0029626A" w:rsidRPr="00557BF0">
              <w:rPr>
                <w:rFonts w:ascii="Garamond" w:eastAsia="Calibri" w:hAnsi="Garamond" w:cs="Times New Roman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29626A" w:rsidP="00162CBB">
            <w:pPr>
              <w:spacing w:after="160" w:line="360" w:lineRule="auto"/>
              <w:jc w:val="center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Calibri" w:hAnsi="Garamond" w:cs="Times New Roman"/>
                <w:szCs w:val="24"/>
              </w:rPr>
              <w:t>0.</w:t>
            </w:r>
            <w:r w:rsidR="00EF7C22" w:rsidRPr="00557BF0">
              <w:rPr>
                <w:rFonts w:ascii="Garamond" w:eastAsia="Calibri" w:hAnsi="Garamond" w:cs="Times New Roman"/>
                <w:szCs w:val="24"/>
              </w:rPr>
              <w:t>814</w:t>
            </w:r>
          </w:p>
        </w:tc>
      </w:tr>
      <w:tr w:rsidR="0029626A" w:rsidRPr="00557BF0" w:rsidTr="00162CBB">
        <w:tc>
          <w:tcPr>
            <w:tcW w:w="5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29626A" w:rsidP="00162CBB">
            <w:pPr>
              <w:spacing w:after="160" w:line="360" w:lineRule="auto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Garamond" w:hAnsi="Garamond" w:cs="Garamond"/>
                <w:szCs w:val="24"/>
              </w:rPr>
              <w:t>Previous intestinal resections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EF7C22" w:rsidP="00162CBB">
            <w:pPr>
              <w:spacing w:after="160" w:line="360" w:lineRule="auto"/>
              <w:jc w:val="center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Calibri" w:hAnsi="Garamond" w:cs="Times New Roman"/>
                <w:szCs w:val="24"/>
              </w:rPr>
              <w:t>0.90</w:t>
            </w:r>
            <w:r w:rsidR="0029626A" w:rsidRPr="00557BF0">
              <w:rPr>
                <w:rFonts w:ascii="Garamond" w:eastAsia="Calibri" w:hAnsi="Garamond" w:cs="Times New Roman"/>
                <w:szCs w:val="24"/>
              </w:rPr>
              <w:t xml:space="preserve"> (0.</w:t>
            </w:r>
            <w:r w:rsidRPr="00557BF0">
              <w:rPr>
                <w:rFonts w:ascii="Garamond" w:eastAsia="Calibri" w:hAnsi="Garamond" w:cs="Times New Roman"/>
                <w:szCs w:val="24"/>
              </w:rPr>
              <w:t>34</w:t>
            </w:r>
            <w:r w:rsidR="0029626A" w:rsidRPr="00557BF0">
              <w:rPr>
                <w:rFonts w:ascii="Garamond" w:eastAsia="Calibri" w:hAnsi="Garamond" w:cs="Times New Roman"/>
                <w:szCs w:val="24"/>
              </w:rPr>
              <w:t>-</w:t>
            </w:r>
            <w:r w:rsidRPr="00557BF0">
              <w:rPr>
                <w:rFonts w:ascii="Garamond" w:eastAsia="Calibri" w:hAnsi="Garamond" w:cs="Times New Roman"/>
                <w:szCs w:val="24"/>
              </w:rPr>
              <w:t>2.33</w:t>
            </w:r>
            <w:r w:rsidR="0029626A" w:rsidRPr="00557BF0">
              <w:rPr>
                <w:rFonts w:ascii="Garamond" w:eastAsia="Calibri" w:hAnsi="Garamond" w:cs="Times New Roman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29626A" w:rsidP="00162CBB">
            <w:pPr>
              <w:spacing w:after="160" w:line="360" w:lineRule="auto"/>
              <w:jc w:val="center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Calibri" w:hAnsi="Garamond" w:cs="Times New Roman"/>
                <w:szCs w:val="24"/>
              </w:rPr>
              <w:t>0.</w:t>
            </w:r>
            <w:r w:rsidR="00EF7C22" w:rsidRPr="00557BF0">
              <w:rPr>
                <w:rFonts w:ascii="Garamond" w:eastAsia="Calibri" w:hAnsi="Garamond" w:cs="Times New Roman"/>
                <w:szCs w:val="24"/>
              </w:rPr>
              <w:t>821</w:t>
            </w:r>
          </w:p>
        </w:tc>
      </w:tr>
      <w:tr w:rsidR="0029626A" w:rsidRPr="00557BF0" w:rsidTr="00162CBB">
        <w:tc>
          <w:tcPr>
            <w:tcW w:w="5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29626A" w:rsidP="00162CBB">
            <w:pPr>
              <w:spacing w:after="160" w:line="360" w:lineRule="auto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Garamond" w:hAnsi="Garamond" w:cs="Garamond"/>
                <w:szCs w:val="24"/>
              </w:rPr>
              <w:t xml:space="preserve">Anti-TNF exposure prior </w:t>
            </w:r>
            <w:r w:rsidR="00557BF0" w:rsidRPr="00557BF0">
              <w:rPr>
                <w:rFonts w:ascii="Garamond" w:eastAsia="Garamond" w:hAnsi="Garamond" w:cs="Garamond"/>
                <w:szCs w:val="24"/>
              </w:rPr>
              <w:t>to the index</w:t>
            </w:r>
            <w:r w:rsidRPr="00557BF0">
              <w:rPr>
                <w:rFonts w:ascii="Garamond" w:eastAsia="Garamond" w:hAnsi="Garamond" w:cs="Garamond"/>
                <w:szCs w:val="24"/>
              </w:rPr>
              <w:t xml:space="preserve"> surgery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EF7C22" w:rsidP="00162CBB">
            <w:pPr>
              <w:spacing w:after="160" w:line="360" w:lineRule="auto"/>
              <w:jc w:val="center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Calibri" w:hAnsi="Garamond" w:cs="Times New Roman"/>
                <w:szCs w:val="24"/>
              </w:rPr>
              <w:t>0.69</w:t>
            </w:r>
            <w:r w:rsidR="0029626A" w:rsidRPr="00557BF0">
              <w:rPr>
                <w:rFonts w:ascii="Garamond" w:eastAsia="Calibri" w:hAnsi="Garamond" w:cs="Times New Roman"/>
                <w:szCs w:val="24"/>
              </w:rPr>
              <w:t xml:space="preserve"> (0.</w:t>
            </w:r>
            <w:r w:rsidRPr="00557BF0">
              <w:rPr>
                <w:rFonts w:ascii="Garamond" w:eastAsia="Calibri" w:hAnsi="Garamond" w:cs="Times New Roman"/>
                <w:szCs w:val="24"/>
              </w:rPr>
              <w:t>33</w:t>
            </w:r>
            <w:r w:rsidR="0029626A" w:rsidRPr="00557BF0">
              <w:rPr>
                <w:rFonts w:ascii="Garamond" w:eastAsia="Calibri" w:hAnsi="Garamond" w:cs="Times New Roman"/>
                <w:szCs w:val="24"/>
              </w:rPr>
              <w:t>-</w:t>
            </w:r>
            <w:r w:rsidRPr="00557BF0">
              <w:rPr>
                <w:rFonts w:ascii="Garamond" w:eastAsia="Calibri" w:hAnsi="Garamond" w:cs="Times New Roman"/>
                <w:szCs w:val="24"/>
              </w:rPr>
              <w:t>1.45</w:t>
            </w:r>
            <w:r w:rsidR="0029626A" w:rsidRPr="00557BF0">
              <w:rPr>
                <w:rFonts w:ascii="Garamond" w:eastAsia="Calibri" w:hAnsi="Garamond" w:cs="Times New Roman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29626A" w:rsidP="00162CBB">
            <w:pPr>
              <w:spacing w:after="160" w:line="360" w:lineRule="auto"/>
              <w:jc w:val="center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Calibri" w:hAnsi="Garamond" w:cs="Times New Roman"/>
                <w:szCs w:val="24"/>
              </w:rPr>
              <w:t>0.</w:t>
            </w:r>
            <w:r w:rsidR="00EF7C22" w:rsidRPr="00557BF0">
              <w:rPr>
                <w:rFonts w:ascii="Garamond" w:eastAsia="Calibri" w:hAnsi="Garamond" w:cs="Times New Roman"/>
                <w:szCs w:val="24"/>
              </w:rPr>
              <w:t>325</w:t>
            </w:r>
          </w:p>
        </w:tc>
      </w:tr>
      <w:tr w:rsidR="0029626A" w:rsidRPr="00557BF0" w:rsidTr="00162CBB">
        <w:tc>
          <w:tcPr>
            <w:tcW w:w="5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29626A" w:rsidP="00162CBB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At least 1 risk factor for POR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29626A" w:rsidP="00162CBB">
            <w:pPr>
              <w:spacing w:after="160" w:line="360" w:lineRule="auto"/>
              <w:jc w:val="center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Calibri" w:hAnsi="Garamond" w:cs="Times New Roman"/>
                <w:szCs w:val="24"/>
              </w:rPr>
              <w:t>1.0</w:t>
            </w:r>
            <w:r w:rsidR="00EF7C22" w:rsidRPr="00557BF0">
              <w:rPr>
                <w:rFonts w:ascii="Garamond" w:eastAsia="Calibri" w:hAnsi="Garamond" w:cs="Times New Roman"/>
                <w:szCs w:val="24"/>
              </w:rPr>
              <w:t>9</w:t>
            </w:r>
            <w:r w:rsidRPr="00557BF0">
              <w:rPr>
                <w:rFonts w:ascii="Garamond" w:eastAsia="Calibri" w:hAnsi="Garamond" w:cs="Times New Roman"/>
                <w:szCs w:val="24"/>
              </w:rPr>
              <w:t xml:space="preserve"> (</w:t>
            </w:r>
            <w:r w:rsidR="00EF7C22" w:rsidRPr="00557BF0">
              <w:rPr>
                <w:rFonts w:ascii="Garamond" w:eastAsia="Calibri" w:hAnsi="Garamond" w:cs="Times New Roman"/>
                <w:szCs w:val="24"/>
              </w:rPr>
              <w:t>0.42</w:t>
            </w:r>
            <w:r w:rsidRPr="00557BF0">
              <w:rPr>
                <w:rFonts w:ascii="Garamond" w:eastAsia="Calibri" w:hAnsi="Garamond" w:cs="Times New Roman"/>
                <w:szCs w:val="24"/>
              </w:rPr>
              <w:t>-</w:t>
            </w:r>
            <w:r w:rsidR="00EF7C22" w:rsidRPr="00557BF0">
              <w:rPr>
                <w:rFonts w:ascii="Garamond" w:eastAsia="Calibri" w:hAnsi="Garamond" w:cs="Times New Roman"/>
                <w:szCs w:val="24"/>
              </w:rPr>
              <w:t>2.85</w:t>
            </w:r>
            <w:r w:rsidRPr="00557BF0">
              <w:rPr>
                <w:rFonts w:ascii="Garamond" w:eastAsia="Calibri" w:hAnsi="Garamond" w:cs="Times New Roman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29626A" w:rsidP="00162CBB">
            <w:pPr>
              <w:spacing w:after="160" w:line="360" w:lineRule="auto"/>
              <w:jc w:val="center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Calibri" w:hAnsi="Garamond" w:cs="Times New Roman"/>
                <w:szCs w:val="24"/>
              </w:rPr>
              <w:t>0.</w:t>
            </w:r>
            <w:r w:rsidR="00EF7C22" w:rsidRPr="00557BF0">
              <w:rPr>
                <w:rFonts w:ascii="Garamond" w:eastAsia="Calibri" w:hAnsi="Garamond" w:cs="Times New Roman"/>
                <w:szCs w:val="24"/>
              </w:rPr>
              <w:t>85</w:t>
            </w:r>
            <w:r w:rsidRPr="00557BF0">
              <w:rPr>
                <w:rFonts w:ascii="Garamond" w:eastAsia="Calibri" w:hAnsi="Garamond" w:cs="Times New Roman"/>
                <w:szCs w:val="24"/>
              </w:rPr>
              <w:t>9</w:t>
            </w:r>
          </w:p>
        </w:tc>
      </w:tr>
      <w:tr w:rsidR="0029626A" w:rsidRPr="00557BF0" w:rsidTr="00162CBB">
        <w:tc>
          <w:tcPr>
            <w:tcW w:w="5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29626A" w:rsidP="00162CBB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eastAsia="Garamond" w:hAnsi="Garamond" w:cs="Garamond"/>
                <w:szCs w:val="24"/>
              </w:rPr>
              <w:t>Clinical POR at anti-TNF start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29626A" w:rsidP="00162CBB">
            <w:pPr>
              <w:spacing w:after="160" w:line="360" w:lineRule="auto"/>
              <w:jc w:val="center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Calibri" w:hAnsi="Garamond" w:cs="Times New Roman"/>
                <w:szCs w:val="24"/>
              </w:rPr>
              <w:t>0.9</w:t>
            </w:r>
            <w:r w:rsidR="00B46617" w:rsidRPr="00557BF0">
              <w:rPr>
                <w:rFonts w:ascii="Garamond" w:eastAsia="Calibri" w:hAnsi="Garamond" w:cs="Times New Roman"/>
                <w:szCs w:val="24"/>
              </w:rPr>
              <w:t>8</w:t>
            </w:r>
            <w:r w:rsidRPr="00557BF0">
              <w:rPr>
                <w:rFonts w:ascii="Garamond" w:eastAsia="Calibri" w:hAnsi="Garamond" w:cs="Times New Roman"/>
                <w:szCs w:val="24"/>
              </w:rPr>
              <w:t xml:space="preserve"> (0.</w:t>
            </w:r>
            <w:r w:rsidR="00B46617" w:rsidRPr="00557BF0">
              <w:rPr>
                <w:rFonts w:ascii="Garamond" w:eastAsia="Calibri" w:hAnsi="Garamond" w:cs="Times New Roman"/>
                <w:szCs w:val="24"/>
              </w:rPr>
              <w:t>45</w:t>
            </w:r>
            <w:r w:rsidRPr="00557BF0">
              <w:rPr>
                <w:rFonts w:ascii="Garamond" w:eastAsia="Calibri" w:hAnsi="Garamond" w:cs="Times New Roman"/>
                <w:szCs w:val="24"/>
              </w:rPr>
              <w:t>-</w:t>
            </w:r>
            <w:r w:rsidR="00B46617" w:rsidRPr="00557BF0">
              <w:rPr>
                <w:rFonts w:ascii="Garamond" w:eastAsia="Calibri" w:hAnsi="Garamond" w:cs="Times New Roman"/>
                <w:szCs w:val="24"/>
              </w:rPr>
              <w:t>2.14</w:t>
            </w:r>
            <w:r w:rsidRPr="00557BF0">
              <w:rPr>
                <w:rFonts w:ascii="Garamond" w:eastAsia="Calibri" w:hAnsi="Garamond" w:cs="Times New Roman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29626A" w:rsidP="00162CBB">
            <w:pPr>
              <w:spacing w:after="160" w:line="360" w:lineRule="auto"/>
              <w:jc w:val="center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Calibri" w:hAnsi="Garamond" w:cs="Times New Roman"/>
                <w:szCs w:val="24"/>
              </w:rPr>
              <w:t>0.</w:t>
            </w:r>
            <w:r w:rsidR="00B46617" w:rsidRPr="00557BF0">
              <w:rPr>
                <w:rFonts w:ascii="Garamond" w:eastAsia="Calibri" w:hAnsi="Garamond" w:cs="Times New Roman"/>
                <w:szCs w:val="24"/>
              </w:rPr>
              <w:t>962</w:t>
            </w:r>
          </w:p>
        </w:tc>
      </w:tr>
      <w:tr w:rsidR="0029626A" w:rsidRPr="00557BF0" w:rsidTr="00162CBB">
        <w:tc>
          <w:tcPr>
            <w:tcW w:w="5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29626A" w:rsidP="00162CBB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Time from index surgery to anti-TNF start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B46617" w:rsidP="00162CBB">
            <w:pPr>
              <w:spacing w:after="160" w:line="360" w:lineRule="auto"/>
              <w:jc w:val="center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Calibri" w:hAnsi="Garamond" w:cs="Times New Roman"/>
                <w:szCs w:val="24"/>
              </w:rPr>
              <w:t>1.00</w:t>
            </w:r>
            <w:r w:rsidR="0029626A" w:rsidRPr="00557BF0">
              <w:rPr>
                <w:rFonts w:ascii="Garamond" w:eastAsia="Calibri" w:hAnsi="Garamond" w:cs="Times New Roman"/>
                <w:szCs w:val="24"/>
              </w:rPr>
              <w:t xml:space="preserve"> (</w:t>
            </w:r>
            <w:r w:rsidRPr="00557BF0">
              <w:rPr>
                <w:rFonts w:ascii="Garamond" w:eastAsia="Calibri" w:hAnsi="Garamond" w:cs="Times New Roman"/>
                <w:szCs w:val="24"/>
              </w:rPr>
              <w:t>1.00</w:t>
            </w:r>
            <w:r w:rsidR="0029626A" w:rsidRPr="00557BF0">
              <w:rPr>
                <w:rFonts w:ascii="Garamond" w:eastAsia="Calibri" w:hAnsi="Garamond" w:cs="Times New Roman"/>
                <w:szCs w:val="24"/>
              </w:rPr>
              <w:t>-</w:t>
            </w:r>
            <w:r w:rsidRPr="00557BF0">
              <w:rPr>
                <w:rFonts w:ascii="Garamond" w:eastAsia="Calibri" w:hAnsi="Garamond" w:cs="Times New Roman"/>
                <w:szCs w:val="24"/>
              </w:rPr>
              <w:t>1.0</w:t>
            </w:r>
            <w:r w:rsidR="0029626A" w:rsidRPr="00557BF0">
              <w:rPr>
                <w:rFonts w:ascii="Garamond" w:eastAsia="Calibri" w:hAnsi="Garamond" w:cs="Times New Roman"/>
                <w:szCs w:val="24"/>
              </w:rPr>
              <w:t>1)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29626A" w:rsidP="00162CBB">
            <w:pPr>
              <w:spacing w:after="160" w:line="360" w:lineRule="auto"/>
              <w:jc w:val="center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Calibri" w:hAnsi="Garamond" w:cs="Times New Roman"/>
                <w:szCs w:val="24"/>
              </w:rPr>
              <w:t>0.</w:t>
            </w:r>
            <w:r w:rsidR="00B46617" w:rsidRPr="00557BF0">
              <w:rPr>
                <w:rFonts w:ascii="Garamond" w:eastAsia="Calibri" w:hAnsi="Garamond" w:cs="Times New Roman"/>
                <w:szCs w:val="24"/>
              </w:rPr>
              <w:t>46</w:t>
            </w:r>
            <w:r w:rsidRPr="00557BF0">
              <w:rPr>
                <w:rFonts w:ascii="Garamond" w:eastAsia="Calibri" w:hAnsi="Garamond" w:cs="Times New Roman"/>
                <w:szCs w:val="24"/>
              </w:rPr>
              <w:t>6</w:t>
            </w:r>
          </w:p>
        </w:tc>
      </w:tr>
      <w:tr w:rsidR="0029626A" w:rsidRPr="00557BF0" w:rsidTr="00162CBB">
        <w:tc>
          <w:tcPr>
            <w:tcW w:w="5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29626A" w:rsidP="00162CBB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 xml:space="preserve">Time from </w:t>
            </w:r>
            <w:r w:rsidR="00172F59" w:rsidRPr="00557BF0">
              <w:rPr>
                <w:rFonts w:ascii="Garamond" w:hAnsi="Garamond"/>
                <w:szCs w:val="24"/>
              </w:rPr>
              <w:t xml:space="preserve">Crohn’s disease </w:t>
            </w:r>
            <w:r w:rsidRPr="00557BF0">
              <w:rPr>
                <w:rFonts w:ascii="Garamond" w:hAnsi="Garamond"/>
                <w:szCs w:val="24"/>
              </w:rPr>
              <w:t>diagnosis to index surgery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29626A" w:rsidP="00162CBB">
            <w:pPr>
              <w:spacing w:after="160" w:line="360" w:lineRule="auto"/>
              <w:jc w:val="center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Calibri" w:hAnsi="Garamond" w:cs="Times New Roman"/>
                <w:szCs w:val="24"/>
              </w:rPr>
              <w:t>1.</w:t>
            </w:r>
            <w:r w:rsidR="00B46617" w:rsidRPr="00557BF0">
              <w:rPr>
                <w:rFonts w:ascii="Garamond" w:eastAsia="Calibri" w:hAnsi="Garamond" w:cs="Times New Roman"/>
                <w:szCs w:val="24"/>
              </w:rPr>
              <w:t>00</w:t>
            </w:r>
            <w:r w:rsidRPr="00557BF0">
              <w:rPr>
                <w:rFonts w:ascii="Garamond" w:eastAsia="Calibri" w:hAnsi="Garamond" w:cs="Times New Roman"/>
                <w:szCs w:val="24"/>
              </w:rPr>
              <w:t xml:space="preserve"> (</w:t>
            </w:r>
            <w:r w:rsidR="00B46617" w:rsidRPr="00557BF0">
              <w:rPr>
                <w:rFonts w:ascii="Garamond" w:eastAsia="Calibri" w:hAnsi="Garamond" w:cs="Times New Roman"/>
                <w:szCs w:val="24"/>
              </w:rPr>
              <w:t>0.99</w:t>
            </w:r>
            <w:r w:rsidRPr="00557BF0">
              <w:rPr>
                <w:rFonts w:ascii="Garamond" w:eastAsia="Calibri" w:hAnsi="Garamond" w:cs="Times New Roman"/>
                <w:szCs w:val="24"/>
              </w:rPr>
              <w:t>-</w:t>
            </w:r>
            <w:r w:rsidR="00B46617" w:rsidRPr="00557BF0">
              <w:rPr>
                <w:rFonts w:ascii="Garamond" w:eastAsia="Calibri" w:hAnsi="Garamond" w:cs="Times New Roman"/>
                <w:szCs w:val="24"/>
              </w:rPr>
              <w:t>1.00</w:t>
            </w:r>
            <w:r w:rsidRPr="00557BF0">
              <w:rPr>
                <w:rFonts w:ascii="Garamond" w:eastAsia="Calibri" w:hAnsi="Garamond" w:cs="Times New Roman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29626A" w:rsidP="00162CBB">
            <w:pPr>
              <w:spacing w:after="160" w:line="360" w:lineRule="auto"/>
              <w:jc w:val="center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Calibri" w:hAnsi="Garamond" w:cs="Times New Roman"/>
                <w:szCs w:val="24"/>
              </w:rPr>
              <w:t>0.8</w:t>
            </w:r>
            <w:r w:rsidR="00B46617" w:rsidRPr="00557BF0">
              <w:rPr>
                <w:rFonts w:ascii="Garamond" w:eastAsia="Calibri" w:hAnsi="Garamond" w:cs="Times New Roman"/>
                <w:szCs w:val="24"/>
              </w:rPr>
              <w:t>7</w:t>
            </w:r>
            <w:r w:rsidRPr="00557BF0">
              <w:rPr>
                <w:rFonts w:ascii="Garamond" w:eastAsia="Calibri" w:hAnsi="Garamond" w:cs="Times New Roman"/>
                <w:szCs w:val="24"/>
              </w:rPr>
              <w:t>3</w:t>
            </w:r>
          </w:p>
        </w:tc>
      </w:tr>
      <w:tr w:rsidR="0029626A" w:rsidRPr="00557BF0" w:rsidTr="00557BF0">
        <w:tc>
          <w:tcPr>
            <w:tcW w:w="5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CF5E80" w:rsidP="00162CBB">
            <w:pPr>
              <w:spacing w:after="160" w:line="360" w:lineRule="auto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hAnsi="Garamond"/>
              </w:rPr>
              <w:t>Median (IQR) follow-up time on anti-TNF (</w:t>
            </w:r>
            <w:r w:rsidRPr="00557BF0">
              <w:rPr>
                <w:rFonts w:ascii="Garamond" w:hAnsi="Garamond"/>
                <w:i/>
              </w:rPr>
              <w:t>months</w:t>
            </w:r>
            <w:r w:rsidRPr="00557BF0">
              <w:rPr>
                <w:rFonts w:ascii="Garamond" w:hAnsi="Garamond"/>
              </w:rPr>
              <w:t>)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29626A" w:rsidP="00162CBB">
            <w:pPr>
              <w:spacing w:after="160" w:line="360" w:lineRule="auto"/>
              <w:jc w:val="center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Calibri" w:hAnsi="Garamond" w:cs="Times New Roman"/>
                <w:szCs w:val="24"/>
              </w:rPr>
              <w:t>1.</w:t>
            </w:r>
            <w:r w:rsidR="00B46617" w:rsidRPr="00557BF0">
              <w:rPr>
                <w:rFonts w:ascii="Garamond" w:eastAsia="Calibri" w:hAnsi="Garamond" w:cs="Times New Roman"/>
                <w:szCs w:val="24"/>
              </w:rPr>
              <w:t>01</w:t>
            </w:r>
            <w:r w:rsidRPr="00557BF0">
              <w:rPr>
                <w:rFonts w:ascii="Garamond" w:eastAsia="Calibri" w:hAnsi="Garamond" w:cs="Times New Roman"/>
                <w:szCs w:val="24"/>
              </w:rPr>
              <w:t xml:space="preserve"> (</w:t>
            </w:r>
            <w:r w:rsidR="00B46617" w:rsidRPr="00557BF0">
              <w:rPr>
                <w:rFonts w:ascii="Garamond" w:eastAsia="Calibri" w:hAnsi="Garamond" w:cs="Times New Roman"/>
                <w:szCs w:val="24"/>
              </w:rPr>
              <w:t>1.00</w:t>
            </w:r>
            <w:r w:rsidRPr="00557BF0">
              <w:rPr>
                <w:rFonts w:ascii="Garamond" w:eastAsia="Calibri" w:hAnsi="Garamond" w:cs="Times New Roman"/>
                <w:szCs w:val="24"/>
              </w:rPr>
              <w:t>-</w:t>
            </w:r>
            <w:r w:rsidR="00B46617" w:rsidRPr="00557BF0">
              <w:rPr>
                <w:rFonts w:ascii="Garamond" w:eastAsia="Calibri" w:hAnsi="Garamond" w:cs="Times New Roman"/>
                <w:szCs w:val="24"/>
              </w:rPr>
              <w:t>1.02</w:t>
            </w:r>
            <w:r w:rsidRPr="00557BF0">
              <w:rPr>
                <w:rFonts w:ascii="Garamond" w:eastAsia="Calibri" w:hAnsi="Garamond" w:cs="Times New Roman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9626A" w:rsidRPr="00557BF0" w:rsidRDefault="0029626A" w:rsidP="00162CBB">
            <w:pPr>
              <w:spacing w:after="160" w:line="360" w:lineRule="auto"/>
              <w:jc w:val="center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Calibri" w:hAnsi="Garamond" w:cs="Times New Roman"/>
                <w:szCs w:val="24"/>
              </w:rPr>
              <w:t>0.</w:t>
            </w:r>
            <w:r w:rsidR="00B46617" w:rsidRPr="00557BF0">
              <w:rPr>
                <w:rFonts w:ascii="Garamond" w:eastAsia="Calibri" w:hAnsi="Garamond" w:cs="Times New Roman"/>
                <w:szCs w:val="24"/>
              </w:rPr>
              <w:t>013</w:t>
            </w:r>
          </w:p>
        </w:tc>
      </w:tr>
      <w:tr w:rsidR="00557BF0" w:rsidRPr="00557BF0" w:rsidTr="00557BF0">
        <w:tc>
          <w:tcPr>
            <w:tcW w:w="5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BF0" w:rsidRPr="00557BF0" w:rsidRDefault="00557BF0" w:rsidP="00557BF0">
            <w:pPr>
              <w:spacing w:after="160" w:line="360" w:lineRule="auto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Advanced endoscopic POR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BF0" w:rsidRPr="00557BF0" w:rsidRDefault="00557BF0" w:rsidP="00557BF0">
            <w:pPr>
              <w:spacing w:after="160" w:line="360" w:lineRule="auto"/>
              <w:jc w:val="center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Calibri" w:hAnsi="Garamond" w:cs="Times New Roman"/>
                <w:szCs w:val="24"/>
              </w:rPr>
              <w:t>0.82 (0.42-1.60)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BF0" w:rsidRPr="00557BF0" w:rsidRDefault="00557BF0" w:rsidP="00557BF0">
            <w:pPr>
              <w:spacing w:after="160" w:line="360" w:lineRule="auto"/>
              <w:jc w:val="center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Calibri" w:hAnsi="Garamond" w:cs="Times New Roman"/>
                <w:szCs w:val="24"/>
              </w:rPr>
              <w:t>0.555</w:t>
            </w:r>
          </w:p>
        </w:tc>
      </w:tr>
      <w:tr w:rsidR="00557BF0" w:rsidRPr="00557BF0" w:rsidTr="00557BF0">
        <w:tc>
          <w:tcPr>
            <w:tcW w:w="5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BF0" w:rsidRPr="00557BF0" w:rsidRDefault="00557BF0" w:rsidP="00557BF0">
            <w:pPr>
              <w:spacing w:after="160" w:line="360" w:lineRule="auto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Garamond" w:hAnsi="Garamond" w:cs="Garamond"/>
                <w:szCs w:val="24"/>
              </w:rPr>
              <w:t>Postoperative prevention with thiopurines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BF0" w:rsidRPr="00557BF0" w:rsidRDefault="00557BF0" w:rsidP="00557BF0">
            <w:pPr>
              <w:spacing w:after="160" w:line="360" w:lineRule="auto"/>
              <w:jc w:val="center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Calibri" w:hAnsi="Garamond" w:cs="Times New Roman"/>
                <w:szCs w:val="24"/>
              </w:rPr>
              <w:t>1.51 (0.75-3.05)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BF0" w:rsidRPr="00557BF0" w:rsidRDefault="00557BF0" w:rsidP="00557BF0">
            <w:pPr>
              <w:spacing w:after="160" w:line="360" w:lineRule="auto"/>
              <w:jc w:val="center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Calibri" w:hAnsi="Garamond" w:cs="Times New Roman"/>
                <w:szCs w:val="24"/>
              </w:rPr>
              <w:t>0.253</w:t>
            </w:r>
          </w:p>
        </w:tc>
      </w:tr>
      <w:tr w:rsidR="00557BF0" w:rsidRPr="00557BF0" w:rsidTr="00162CBB">
        <w:tc>
          <w:tcPr>
            <w:tcW w:w="552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557BF0" w:rsidRPr="00557BF0" w:rsidRDefault="00557BF0" w:rsidP="00557BF0">
            <w:pPr>
              <w:spacing w:after="160" w:line="360" w:lineRule="auto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Garamond" w:hAnsi="Garamond" w:cs="Garamond"/>
                <w:szCs w:val="24"/>
              </w:rPr>
              <w:t>Concomitant thiopurines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557BF0" w:rsidRPr="00557BF0" w:rsidRDefault="00557BF0" w:rsidP="00557BF0">
            <w:pPr>
              <w:spacing w:after="160" w:line="360" w:lineRule="auto"/>
              <w:jc w:val="center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Calibri" w:hAnsi="Garamond" w:cs="Times New Roman"/>
                <w:szCs w:val="24"/>
              </w:rPr>
              <w:t>1.47 (0.70-3.10)</w:t>
            </w: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557BF0" w:rsidRPr="00557BF0" w:rsidRDefault="00557BF0" w:rsidP="00557BF0">
            <w:pPr>
              <w:spacing w:after="160" w:line="360" w:lineRule="auto"/>
              <w:jc w:val="center"/>
              <w:rPr>
                <w:rFonts w:ascii="Garamond" w:eastAsia="Calibri" w:hAnsi="Garamond" w:cs="Times New Roman"/>
                <w:szCs w:val="24"/>
              </w:rPr>
            </w:pPr>
            <w:r w:rsidRPr="00557BF0">
              <w:rPr>
                <w:rFonts w:ascii="Garamond" w:eastAsia="Calibri" w:hAnsi="Garamond" w:cs="Times New Roman"/>
                <w:szCs w:val="24"/>
              </w:rPr>
              <w:t>0.308</w:t>
            </w:r>
          </w:p>
        </w:tc>
      </w:tr>
    </w:tbl>
    <w:p w:rsidR="00EB26B3" w:rsidRPr="00557BF0" w:rsidRDefault="00EB26B3" w:rsidP="00CF5E80">
      <w:pPr>
        <w:spacing w:line="360" w:lineRule="auto"/>
        <w:rPr>
          <w:rFonts w:ascii="Garamond" w:hAnsi="Garamond"/>
          <w:szCs w:val="24"/>
        </w:rPr>
      </w:pPr>
    </w:p>
    <w:p w:rsidR="00EB26B3" w:rsidRPr="00557BF0" w:rsidRDefault="00EB26B3" w:rsidP="00CF5E80">
      <w:pPr>
        <w:spacing w:line="360" w:lineRule="auto"/>
        <w:rPr>
          <w:rFonts w:ascii="Garamond" w:hAnsi="Garamond"/>
          <w:szCs w:val="24"/>
        </w:rPr>
      </w:pPr>
    </w:p>
    <w:p w:rsidR="00EB26B3" w:rsidRPr="00557BF0" w:rsidRDefault="00EB26B3" w:rsidP="00CF5E80">
      <w:pPr>
        <w:spacing w:line="360" w:lineRule="auto"/>
        <w:rPr>
          <w:rFonts w:ascii="Garamond" w:hAnsi="Garamond"/>
          <w:szCs w:val="24"/>
        </w:rPr>
      </w:pPr>
    </w:p>
    <w:p w:rsidR="00EB26B3" w:rsidRPr="00557BF0" w:rsidRDefault="00EB26B3" w:rsidP="00CF5E80">
      <w:pPr>
        <w:spacing w:line="360" w:lineRule="auto"/>
        <w:rPr>
          <w:rFonts w:ascii="Garamond" w:hAnsi="Garamond"/>
          <w:szCs w:val="24"/>
        </w:rPr>
      </w:pPr>
    </w:p>
    <w:p w:rsidR="00EB26B3" w:rsidRPr="00557BF0" w:rsidRDefault="00EB26B3" w:rsidP="00CF5E80">
      <w:pPr>
        <w:spacing w:line="360" w:lineRule="auto"/>
        <w:rPr>
          <w:rFonts w:ascii="Garamond" w:hAnsi="Garamond"/>
          <w:szCs w:val="24"/>
        </w:rPr>
      </w:pPr>
    </w:p>
    <w:p w:rsidR="00EB26B3" w:rsidRPr="00557BF0" w:rsidRDefault="00EB26B3" w:rsidP="00CF5E80">
      <w:pPr>
        <w:spacing w:line="360" w:lineRule="auto"/>
        <w:rPr>
          <w:rFonts w:ascii="Garamond" w:hAnsi="Garamond"/>
          <w:szCs w:val="24"/>
        </w:rPr>
      </w:pPr>
    </w:p>
    <w:p w:rsidR="00EB26B3" w:rsidRPr="00557BF0" w:rsidRDefault="00EB26B3" w:rsidP="00CF5E80">
      <w:pPr>
        <w:spacing w:line="360" w:lineRule="auto"/>
        <w:rPr>
          <w:rFonts w:ascii="Garamond" w:hAnsi="Garamond"/>
          <w:szCs w:val="24"/>
        </w:rPr>
      </w:pPr>
    </w:p>
    <w:p w:rsidR="00EB26B3" w:rsidRPr="00557BF0" w:rsidRDefault="00EB26B3" w:rsidP="00CF5E80">
      <w:pPr>
        <w:spacing w:line="360" w:lineRule="auto"/>
        <w:rPr>
          <w:rFonts w:ascii="Garamond" w:hAnsi="Garamond"/>
          <w:szCs w:val="24"/>
        </w:rPr>
      </w:pPr>
    </w:p>
    <w:p w:rsidR="00CF5E80" w:rsidRPr="00557BF0" w:rsidRDefault="00CF5E80" w:rsidP="00CF5E80">
      <w:pPr>
        <w:spacing w:line="360" w:lineRule="auto"/>
        <w:rPr>
          <w:rFonts w:ascii="Garamond" w:hAnsi="Garamond"/>
          <w:szCs w:val="24"/>
        </w:rPr>
      </w:pPr>
    </w:p>
    <w:p w:rsidR="00CF5E80" w:rsidRPr="00557BF0" w:rsidRDefault="00CF5E80" w:rsidP="00CF5E80">
      <w:pPr>
        <w:spacing w:line="360" w:lineRule="auto"/>
        <w:rPr>
          <w:rFonts w:ascii="Garamond" w:hAnsi="Garamond"/>
          <w:szCs w:val="24"/>
        </w:rPr>
      </w:pPr>
    </w:p>
    <w:p w:rsidR="00CF5E80" w:rsidRPr="00557BF0" w:rsidRDefault="00CF5E80" w:rsidP="00CF5E80">
      <w:pPr>
        <w:spacing w:line="360" w:lineRule="auto"/>
        <w:rPr>
          <w:rFonts w:ascii="Garamond" w:hAnsi="Garamond"/>
          <w:szCs w:val="24"/>
        </w:rPr>
      </w:pPr>
    </w:p>
    <w:p w:rsidR="00C060EA" w:rsidRPr="00557BF0" w:rsidRDefault="00C060EA" w:rsidP="00CF5E80">
      <w:pPr>
        <w:spacing w:line="360" w:lineRule="auto"/>
        <w:rPr>
          <w:rFonts w:ascii="Garamond" w:hAnsi="Garamond"/>
          <w:szCs w:val="24"/>
        </w:rPr>
      </w:pPr>
    </w:p>
    <w:p w:rsidR="00C060EA" w:rsidRPr="00557BF0" w:rsidRDefault="00C060EA" w:rsidP="00CF5E80">
      <w:pPr>
        <w:spacing w:line="360" w:lineRule="auto"/>
        <w:rPr>
          <w:rFonts w:ascii="Garamond" w:hAnsi="Garamond"/>
          <w:szCs w:val="24"/>
        </w:rPr>
      </w:pPr>
    </w:p>
    <w:p w:rsidR="00CF5E80" w:rsidRPr="00557BF0" w:rsidRDefault="00CF5E80" w:rsidP="00CF5E80">
      <w:pPr>
        <w:spacing w:line="360" w:lineRule="auto"/>
        <w:jc w:val="both"/>
        <w:rPr>
          <w:rFonts w:ascii="Garamond" w:hAnsi="Garamond"/>
          <w:szCs w:val="24"/>
        </w:rPr>
      </w:pPr>
    </w:p>
    <w:p w:rsidR="00EB26B3" w:rsidRPr="00557BF0" w:rsidRDefault="00EB26B3" w:rsidP="00CF5E80">
      <w:pPr>
        <w:spacing w:line="360" w:lineRule="auto"/>
        <w:rPr>
          <w:rFonts w:ascii="Garamond" w:hAnsi="Garamond"/>
          <w:szCs w:val="24"/>
        </w:rPr>
      </w:pPr>
      <w:r w:rsidRPr="00557BF0">
        <w:rPr>
          <w:rFonts w:ascii="Garamond" w:hAnsi="Garamond"/>
          <w:b/>
          <w:szCs w:val="24"/>
        </w:rPr>
        <w:lastRenderedPageBreak/>
        <w:t xml:space="preserve">Supplementary </w:t>
      </w:r>
      <w:r w:rsidR="00557BF0" w:rsidRPr="00557BF0">
        <w:rPr>
          <w:rFonts w:ascii="Garamond" w:hAnsi="Garamond"/>
          <w:b/>
          <w:szCs w:val="24"/>
        </w:rPr>
        <w:t>t</w:t>
      </w:r>
      <w:r w:rsidRPr="00557BF0">
        <w:rPr>
          <w:rFonts w:ascii="Garamond" w:hAnsi="Garamond"/>
          <w:b/>
          <w:szCs w:val="24"/>
        </w:rPr>
        <w:t xml:space="preserve">able </w:t>
      </w:r>
      <w:r w:rsidR="00CF5E80" w:rsidRPr="00557BF0">
        <w:rPr>
          <w:rFonts w:ascii="Garamond" w:hAnsi="Garamond"/>
          <w:b/>
          <w:szCs w:val="24"/>
        </w:rPr>
        <w:t>2</w:t>
      </w:r>
      <w:r w:rsidRPr="00557BF0">
        <w:rPr>
          <w:rFonts w:ascii="Garamond" w:hAnsi="Garamond"/>
          <w:b/>
          <w:szCs w:val="24"/>
        </w:rPr>
        <w:t>.</w:t>
      </w:r>
      <w:r w:rsidRPr="00557BF0">
        <w:rPr>
          <w:rFonts w:ascii="Garamond" w:hAnsi="Garamond"/>
          <w:szCs w:val="24"/>
        </w:rPr>
        <w:t xml:space="preserve"> Baseline characteristics of patients in the propensity-score</w:t>
      </w:r>
      <w:r w:rsidR="00CF5E80" w:rsidRPr="00557BF0">
        <w:rPr>
          <w:rFonts w:ascii="Garamond" w:hAnsi="Garamond"/>
          <w:szCs w:val="24"/>
        </w:rPr>
        <w:t xml:space="preserve"> </w:t>
      </w:r>
      <w:r w:rsidRPr="00557BF0">
        <w:rPr>
          <w:rFonts w:ascii="Garamond" w:hAnsi="Garamond"/>
          <w:szCs w:val="24"/>
        </w:rPr>
        <w:t>matching cohort.</w:t>
      </w:r>
    </w:p>
    <w:p w:rsidR="00557BF0" w:rsidRPr="00557BF0" w:rsidRDefault="00557BF0" w:rsidP="00CF5E80">
      <w:pPr>
        <w:spacing w:line="360" w:lineRule="auto"/>
        <w:rPr>
          <w:rFonts w:ascii="Garamond" w:hAnsi="Garamond"/>
          <w:szCs w:val="24"/>
        </w:rPr>
      </w:pPr>
    </w:p>
    <w:tbl>
      <w:tblPr>
        <w:tblStyle w:val="Tablaconcuadrcula"/>
        <w:tblW w:w="864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8"/>
        <w:gridCol w:w="1559"/>
        <w:gridCol w:w="992"/>
      </w:tblGrid>
      <w:tr w:rsidR="00EB26B3" w:rsidRPr="00557BF0" w:rsidTr="00557BF0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557BF0">
              <w:rPr>
                <w:rFonts w:ascii="Garamond" w:hAnsi="Garamond"/>
                <w:b/>
                <w:szCs w:val="24"/>
              </w:rPr>
              <w:t>Infliximab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557BF0">
              <w:rPr>
                <w:rFonts w:ascii="Garamond" w:hAnsi="Garamond"/>
                <w:b/>
                <w:szCs w:val="24"/>
              </w:rPr>
              <w:t>(n=63)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557BF0">
              <w:rPr>
                <w:rFonts w:ascii="Garamond" w:hAnsi="Garamond"/>
                <w:b/>
                <w:szCs w:val="24"/>
              </w:rPr>
              <w:t>Adalimumab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557BF0">
              <w:rPr>
                <w:rFonts w:ascii="Garamond" w:hAnsi="Garamond"/>
                <w:b/>
                <w:szCs w:val="24"/>
              </w:rPr>
              <w:t>(n=63)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557BF0">
              <w:rPr>
                <w:rFonts w:ascii="Garamond" w:hAnsi="Garamond"/>
                <w:b/>
                <w:szCs w:val="24"/>
              </w:rPr>
              <w:t>p value</w:t>
            </w:r>
          </w:p>
        </w:tc>
      </w:tr>
      <w:tr w:rsidR="00EB26B3" w:rsidRPr="00557BF0" w:rsidTr="00557BF0">
        <w:tc>
          <w:tcPr>
            <w:tcW w:w="4678" w:type="dxa"/>
            <w:tcBorders>
              <w:top w:val="single" w:sz="4" w:space="0" w:color="auto"/>
            </w:tcBorders>
          </w:tcPr>
          <w:p w:rsidR="00EB26B3" w:rsidRPr="00557BF0" w:rsidRDefault="00EB26B3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 xml:space="preserve">Male gender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35 (56)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32 (51)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bCs/>
                <w:szCs w:val="24"/>
              </w:rPr>
            </w:pPr>
            <w:r w:rsidRPr="00557BF0">
              <w:rPr>
                <w:rFonts w:ascii="Garamond" w:hAnsi="Garamond"/>
                <w:bCs/>
                <w:szCs w:val="24"/>
              </w:rPr>
              <w:t>0.59</w:t>
            </w:r>
          </w:p>
        </w:tc>
      </w:tr>
      <w:tr w:rsidR="00EB26B3" w:rsidRPr="00557BF0" w:rsidTr="00557BF0">
        <w:tc>
          <w:tcPr>
            <w:tcW w:w="4678" w:type="dxa"/>
          </w:tcPr>
          <w:p w:rsidR="00EB26B3" w:rsidRPr="00557BF0" w:rsidRDefault="00EB26B3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Familial with inflammatory bowel disease</w:t>
            </w:r>
          </w:p>
        </w:tc>
        <w:tc>
          <w:tcPr>
            <w:tcW w:w="1418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7 (11)</w:t>
            </w:r>
          </w:p>
        </w:tc>
        <w:tc>
          <w:tcPr>
            <w:tcW w:w="1559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6 (10)</w:t>
            </w:r>
          </w:p>
        </w:tc>
        <w:tc>
          <w:tcPr>
            <w:tcW w:w="992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0.77</w:t>
            </w:r>
          </w:p>
        </w:tc>
      </w:tr>
      <w:tr w:rsidR="00EB26B3" w:rsidRPr="00557BF0" w:rsidTr="00557BF0">
        <w:tc>
          <w:tcPr>
            <w:tcW w:w="4678" w:type="dxa"/>
          </w:tcPr>
          <w:p w:rsidR="00EB26B3" w:rsidRPr="00557BF0" w:rsidRDefault="00EB26B3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Active smoking at Crohn’s disease diagnosis</w:t>
            </w:r>
          </w:p>
        </w:tc>
        <w:tc>
          <w:tcPr>
            <w:tcW w:w="1418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36 (57)</w:t>
            </w:r>
          </w:p>
        </w:tc>
        <w:tc>
          <w:tcPr>
            <w:tcW w:w="1559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35 (56)</w:t>
            </w:r>
          </w:p>
        </w:tc>
        <w:tc>
          <w:tcPr>
            <w:tcW w:w="992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0.86</w:t>
            </w:r>
          </w:p>
        </w:tc>
      </w:tr>
      <w:tr w:rsidR="00EB26B3" w:rsidRPr="00557BF0" w:rsidTr="00557BF0">
        <w:tc>
          <w:tcPr>
            <w:tcW w:w="4678" w:type="dxa"/>
          </w:tcPr>
          <w:p w:rsidR="00EB26B3" w:rsidRPr="00557BF0" w:rsidRDefault="00EB26B3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Disease location</w:t>
            </w:r>
          </w:p>
          <w:p w:rsidR="00EB26B3" w:rsidRPr="00557BF0" w:rsidRDefault="00EB26B3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 xml:space="preserve">       Ileal </w:t>
            </w:r>
          </w:p>
          <w:p w:rsidR="00EB26B3" w:rsidRPr="00557BF0" w:rsidRDefault="00EB26B3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 xml:space="preserve">       Ileocolonic</w:t>
            </w:r>
          </w:p>
          <w:p w:rsidR="00EB26B3" w:rsidRPr="00557BF0" w:rsidRDefault="00EB26B3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 xml:space="preserve">       Upper gastrointestinal involvement</w:t>
            </w:r>
          </w:p>
        </w:tc>
        <w:tc>
          <w:tcPr>
            <w:tcW w:w="1418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37 (59)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26 (41)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1 (2)</w:t>
            </w:r>
          </w:p>
        </w:tc>
        <w:tc>
          <w:tcPr>
            <w:tcW w:w="1559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36 (57)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24 (38)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3 (5)</w:t>
            </w:r>
          </w:p>
        </w:tc>
        <w:tc>
          <w:tcPr>
            <w:tcW w:w="992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0.86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0.72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0.31</w:t>
            </w:r>
          </w:p>
        </w:tc>
      </w:tr>
      <w:tr w:rsidR="00EB26B3" w:rsidRPr="00557BF0" w:rsidTr="00557BF0">
        <w:tc>
          <w:tcPr>
            <w:tcW w:w="4678" w:type="dxa"/>
          </w:tcPr>
          <w:p w:rsidR="00EB26B3" w:rsidRPr="00557BF0" w:rsidRDefault="00EB26B3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 xml:space="preserve"> Disease </w:t>
            </w:r>
            <w:r w:rsidR="00557BF0">
              <w:rPr>
                <w:rFonts w:ascii="Garamond" w:hAnsi="Garamond"/>
                <w:szCs w:val="24"/>
              </w:rPr>
              <w:t>b</w:t>
            </w:r>
            <w:r w:rsidRPr="00557BF0">
              <w:rPr>
                <w:rFonts w:ascii="Garamond" w:hAnsi="Garamond"/>
                <w:szCs w:val="24"/>
              </w:rPr>
              <w:t>ehavior</w:t>
            </w:r>
          </w:p>
          <w:p w:rsidR="00EB26B3" w:rsidRPr="00557BF0" w:rsidRDefault="00EB26B3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 xml:space="preserve">       Inflammatory</w:t>
            </w:r>
          </w:p>
          <w:p w:rsidR="00EB26B3" w:rsidRPr="00557BF0" w:rsidRDefault="00EB26B3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 xml:space="preserve">       Stricturing</w:t>
            </w:r>
          </w:p>
          <w:p w:rsidR="00EB26B3" w:rsidRPr="00557BF0" w:rsidRDefault="00EB26B3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 xml:space="preserve">       Penetrating</w:t>
            </w:r>
          </w:p>
        </w:tc>
        <w:tc>
          <w:tcPr>
            <w:tcW w:w="1418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3 (5)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30 (48)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30 (48)</w:t>
            </w:r>
          </w:p>
        </w:tc>
        <w:tc>
          <w:tcPr>
            <w:tcW w:w="1559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4 (6)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30 (48)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29 (46)</w:t>
            </w:r>
          </w:p>
        </w:tc>
        <w:tc>
          <w:tcPr>
            <w:tcW w:w="992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0.70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1.00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0.86</w:t>
            </w:r>
          </w:p>
        </w:tc>
      </w:tr>
      <w:tr w:rsidR="00EB26B3" w:rsidRPr="00557BF0" w:rsidTr="00557BF0">
        <w:tc>
          <w:tcPr>
            <w:tcW w:w="4678" w:type="dxa"/>
          </w:tcPr>
          <w:p w:rsidR="00EB26B3" w:rsidRPr="00557BF0" w:rsidRDefault="00EB26B3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Extra</w:t>
            </w:r>
            <w:r w:rsidR="00557BF0">
              <w:rPr>
                <w:rFonts w:ascii="Garamond" w:hAnsi="Garamond"/>
                <w:szCs w:val="24"/>
              </w:rPr>
              <w:t>-</w:t>
            </w:r>
            <w:r w:rsidRPr="00557BF0">
              <w:rPr>
                <w:rFonts w:ascii="Garamond" w:hAnsi="Garamond"/>
                <w:szCs w:val="24"/>
              </w:rPr>
              <w:t>intestinal manifestations</w:t>
            </w:r>
          </w:p>
          <w:p w:rsidR="00EB26B3" w:rsidRPr="00557BF0" w:rsidRDefault="00EB26B3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 xml:space="preserve">       Rheumatologic</w:t>
            </w:r>
          </w:p>
          <w:p w:rsidR="00EB26B3" w:rsidRPr="00557BF0" w:rsidRDefault="00EB26B3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 xml:space="preserve">       Cutaneous</w:t>
            </w:r>
          </w:p>
          <w:p w:rsidR="00EB26B3" w:rsidRPr="00557BF0" w:rsidRDefault="00EB26B3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 xml:space="preserve">       Ocular</w:t>
            </w:r>
          </w:p>
          <w:p w:rsidR="00EB26B3" w:rsidRPr="00557BF0" w:rsidRDefault="00EB26B3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 xml:space="preserve">       Thrombotic</w:t>
            </w:r>
          </w:p>
        </w:tc>
        <w:tc>
          <w:tcPr>
            <w:tcW w:w="1418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17 (27)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14 (22)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4 (6)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4 (6)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1 (2)</w:t>
            </w:r>
          </w:p>
        </w:tc>
        <w:tc>
          <w:tcPr>
            <w:tcW w:w="1559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15 (24)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13 (21)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3 (5)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1 (2)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0</w:t>
            </w:r>
          </w:p>
        </w:tc>
        <w:tc>
          <w:tcPr>
            <w:tcW w:w="992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0.68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0.83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0.50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0.18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0.50</w:t>
            </w:r>
          </w:p>
        </w:tc>
      </w:tr>
      <w:tr w:rsidR="00EB26B3" w:rsidRPr="00557BF0" w:rsidTr="00557BF0">
        <w:trPr>
          <w:trHeight w:val="1041"/>
        </w:trPr>
        <w:tc>
          <w:tcPr>
            <w:tcW w:w="4678" w:type="dxa"/>
          </w:tcPr>
          <w:p w:rsidR="00EB26B3" w:rsidRPr="00557BF0" w:rsidRDefault="00EB26B3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Age group at diagnosis</w:t>
            </w:r>
          </w:p>
          <w:p w:rsidR="00EB26B3" w:rsidRPr="00557BF0" w:rsidRDefault="00EB26B3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 xml:space="preserve">       &lt;18 years</w:t>
            </w:r>
          </w:p>
          <w:p w:rsidR="00EB26B3" w:rsidRPr="00557BF0" w:rsidRDefault="00EB26B3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 xml:space="preserve">       18-40 years</w:t>
            </w:r>
          </w:p>
          <w:p w:rsidR="00EB26B3" w:rsidRPr="00557BF0" w:rsidRDefault="00EB26B3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 xml:space="preserve">       &gt;40 years</w:t>
            </w:r>
          </w:p>
        </w:tc>
        <w:tc>
          <w:tcPr>
            <w:tcW w:w="1418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7 (11)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47 (75)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9 (14)</w:t>
            </w:r>
          </w:p>
        </w:tc>
        <w:tc>
          <w:tcPr>
            <w:tcW w:w="1559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9 (14)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46 (68)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11 (17)</w:t>
            </w:r>
          </w:p>
        </w:tc>
        <w:tc>
          <w:tcPr>
            <w:tcW w:w="992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0.59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0.43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0.62</w:t>
            </w:r>
          </w:p>
        </w:tc>
      </w:tr>
      <w:tr w:rsidR="00EB26B3" w:rsidRPr="00557BF0" w:rsidTr="00557BF0">
        <w:trPr>
          <w:trHeight w:val="1422"/>
        </w:trPr>
        <w:tc>
          <w:tcPr>
            <w:tcW w:w="4678" w:type="dxa"/>
          </w:tcPr>
          <w:p w:rsidR="00EB26B3" w:rsidRPr="00557BF0" w:rsidRDefault="00EB26B3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Indication of index surgery</w:t>
            </w:r>
          </w:p>
          <w:p w:rsidR="00EB26B3" w:rsidRPr="00557BF0" w:rsidRDefault="00EB26B3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 xml:space="preserve">       Intestinal stenosis</w:t>
            </w:r>
          </w:p>
          <w:p w:rsidR="00857118" w:rsidRPr="00557BF0" w:rsidRDefault="00EB26B3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 xml:space="preserve">       Intraabdominal penetrating </w:t>
            </w:r>
            <w:r w:rsidR="00857118" w:rsidRPr="00557BF0">
              <w:rPr>
                <w:rFonts w:ascii="Garamond" w:hAnsi="Garamond"/>
                <w:szCs w:val="24"/>
              </w:rPr>
              <w:t xml:space="preserve">   </w:t>
            </w:r>
          </w:p>
          <w:p w:rsidR="00EB26B3" w:rsidRPr="00557BF0" w:rsidRDefault="00857118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 xml:space="preserve">       </w:t>
            </w:r>
            <w:r w:rsidR="00EB26B3" w:rsidRPr="00557BF0">
              <w:rPr>
                <w:rFonts w:ascii="Garamond" w:hAnsi="Garamond"/>
                <w:szCs w:val="24"/>
              </w:rPr>
              <w:t>complication</w:t>
            </w:r>
          </w:p>
          <w:p w:rsidR="00857118" w:rsidRPr="00557BF0" w:rsidRDefault="00EB26B3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 xml:space="preserve">       Refractoriness to medical </w:t>
            </w:r>
          </w:p>
          <w:p w:rsidR="00EB26B3" w:rsidRPr="00557BF0" w:rsidRDefault="00857118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 xml:space="preserve">       </w:t>
            </w:r>
            <w:r w:rsidR="00EB26B3" w:rsidRPr="00557BF0">
              <w:rPr>
                <w:rFonts w:ascii="Garamond" w:hAnsi="Garamond"/>
                <w:szCs w:val="24"/>
              </w:rPr>
              <w:t>therapy</w:t>
            </w:r>
          </w:p>
        </w:tc>
        <w:tc>
          <w:tcPr>
            <w:tcW w:w="1418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37 (59)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20 (32)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6 (10)</w:t>
            </w:r>
          </w:p>
        </w:tc>
        <w:tc>
          <w:tcPr>
            <w:tcW w:w="1559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32 (51)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25 (40)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6 (10)</w:t>
            </w:r>
          </w:p>
        </w:tc>
        <w:tc>
          <w:tcPr>
            <w:tcW w:w="992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0.37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0.35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1.00</w:t>
            </w:r>
          </w:p>
        </w:tc>
      </w:tr>
      <w:tr w:rsidR="00EB26B3" w:rsidRPr="00557BF0" w:rsidTr="00557BF0">
        <w:trPr>
          <w:trHeight w:val="425"/>
        </w:trPr>
        <w:tc>
          <w:tcPr>
            <w:tcW w:w="4678" w:type="dxa"/>
          </w:tcPr>
          <w:p w:rsidR="00EB26B3" w:rsidRPr="00557BF0" w:rsidRDefault="00EB26B3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Thiopurines exposure prior to index surgery</w:t>
            </w:r>
          </w:p>
        </w:tc>
        <w:tc>
          <w:tcPr>
            <w:tcW w:w="1418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41 (65)</w:t>
            </w:r>
          </w:p>
        </w:tc>
        <w:tc>
          <w:tcPr>
            <w:tcW w:w="1559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34 (54)</w:t>
            </w:r>
          </w:p>
        </w:tc>
        <w:tc>
          <w:tcPr>
            <w:tcW w:w="992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0.20</w:t>
            </w:r>
          </w:p>
        </w:tc>
      </w:tr>
      <w:tr w:rsidR="00EB26B3" w:rsidRPr="00557BF0" w:rsidTr="00557BF0">
        <w:trPr>
          <w:trHeight w:val="333"/>
        </w:trPr>
        <w:tc>
          <w:tcPr>
            <w:tcW w:w="4678" w:type="dxa"/>
          </w:tcPr>
          <w:p w:rsidR="00EB26B3" w:rsidRPr="00557BF0" w:rsidRDefault="00EB26B3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Anti-TNF exposure prior to index surgery</w:t>
            </w:r>
          </w:p>
        </w:tc>
        <w:tc>
          <w:tcPr>
            <w:tcW w:w="1418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19 (30)</w:t>
            </w:r>
          </w:p>
        </w:tc>
        <w:tc>
          <w:tcPr>
            <w:tcW w:w="1559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 xml:space="preserve">16 (25) </w:t>
            </w:r>
          </w:p>
        </w:tc>
        <w:tc>
          <w:tcPr>
            <w:tcW w:w="992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0.55</w:t>
            </w:r>
          </w:p>
        </w:tc>
      </w:tr>
      <w:tr w:rsidR="00EB26B3" w:rsidRPr="00557BF0" w:rsidTr="00557BF0">
        <w:trPr>
          <w:trHeight w:val="333"/>
        </w:trPr>
        <w:tc>
          <w:tcPr>
            <w:tcW w:w="4678" w:type="dxa"/>
          </w:tcPr>
          <w:p w:rsidR="00EB26B3" w:rsidRPr="00557BF0" w:rsidRDefault="00EB26B3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Active smoking at index surgery</w:t>
            </w:r>
          </w:p>
        </w:tc>
        <w:tc>
          <w:tcPr>
            <w:tcW w:w="1418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31 (49)</w:t>
            </w:r>
          </w:p>
        </w:tc>
        <w:tc>
          <w:tcPr>
            <w:tcW w:w="1559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31 (49)</w:t>
            </w:r>
          </w:p>
        </w:tc>
        <w:tc>
          <w:tcPr>
            <w:tcW w:w="992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1.00</w:t>
            </w:r>
          </w:p>
        </w:tc>
      </w:tr>
      <w:tr w:rsidR="00EB26B3" w:rsidRPr="00557BF0" w:rsidTr="00557BF0">
        <w:trPr>
          <w:trHeight w:val="333"/>
        </w:trPr>
        <w:tc>
          <w:tcPr>
            <w:tcW w:w="4678" w:type="dxa"/>
          </w:tcPr>
          <w:p w:rsidR="00EB26B3" w:rsidRPr="00557BF0" w:rsidRDefault="00EB26B3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lastRenderedPageBreak/>
              <w:t xml:space="preserve">Penetrating behavior </w:t>
            </w:r>
          </w:p>
        </w:tc>
        <w:tc>
          <w:tcPr>
            <w:tcW w:w="1418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 xml:space="preserve">30 (48) </w:t>
            </w:r>
          </w:p>
        </w:tc>
        <w:tc>
          <w:tcPr>
            <w:tcW w:w="1559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29 (46)</w:t>
            </w:r>
          </w:p>
        </w:tc>
        <w:tc>
          <w:tcPr>
            <w:tcW w:w="992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0.85</w:t>
            </w:r>
          </w:p>
        </w:tc>
      </w:tr>
      <w:tr w:rsidR="00EB26B3" w:rsidRPr="00557BF0" w:rsidTr="00557BF0">
        <w:trPr>
          <w:trHeight w:val="333"/>
        </w:trPr>
        <w:tc>
          <w:tcPr>
            <w:tcW w:w="4678" w:type="dxa"/>
          </w:tcPr>
          <w:p w:rsidR="00EB26B3" w:rsidRPr="00557BF0" w:rsidRDefault="00EB26B3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Perianal disease before index surgery</w:t>
            </w:r>
          </w:p>
        </w:tc>
        <w:tc>
          <w:tcPr>
            <w:tcW w:w="1418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9 (14)</w:t>
            </w:r>
          </w:p>
        </w:tc>
        <w:tc>
          <w:tcPr>
            <w:tcW w:w="1559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10 (16)</w:t>
            </w:r>
          </w:p>
        </w:tc>
        <w:tc>
          <w:tcPr>
            <w:tcW w:w="992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0.80</w:t>
            </w:r>
          </w:p>
        </w:tc>
      </w:tr>
      <w:tr w:rsidR="00EB26B3" w:rsidRPr="00557BF0" w:rsidTr="00557BF0">
        <w:trPr>
          <w:trHeight w:val="333"/>
        </w:trPr>
        <w:tc>
          <w:tcPr>
            <w:tcW w:w="4678" w:type="dxa"/>
          </w:tcPr>
          <w:p w:rsidR="00EB26B3" w:rsidRPr="00557BF0" w:rsidRDefault="00EB26B3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Intestinal resections prior to index surgery</w:t>
            </w:r>
          </w:p>
        </w:tc>
        <w:tc>
          <w:tcPr>
            <w:tcW w:w="1418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8 (13)</w:t>
            </w:r>
          </w:p>
        </w:tc>
        <w:tc>
          <w:tcPr>
            <w:tcW w:w="1559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13 (21)</w:t>
            </w:r>
          </w:p>
        </w:tc>
        <w:tc>
          <w:tcPr>
            <w:tcW w:w="992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0.23</w:t>
            </w:r>
          </w:p>
        </w:tc>
      </w:tr>
      <w:tr w:rsidR="00EB26B3" w:rsidRPr="00557BF0" w:rsidTr="00557BF0">
        <w:trPr>
          <w:trHeight w:val="333"/>
        </w:trPr>
        <w:tc>
          <w:tcPr>
            <w:tcW w:w="4678" w:type="dxa"/>
          </w:tcPr>
          <w:p w:rsidR="00EB26B3" w:rsidRPr="00557BF0" w:rsidRDefault="00EB26B3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At least 1 risk factor for POR</w:t>
            </w:r>
          </w:p>
          <w:p w:rsidR="00EB26B3" w:rsidRPr="00557BF0" w:rsidRDefault="00EB26B3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&gt;1 known risk factor for POR</w:t>
            </w:r>
          </w:p>
        </w:tc>
        <w:tc>
          <w:tcPr>
            <w:tcW w:w="1418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48 (76)</w:t>
            </w:r>
          </w:p>
          <w:p w:rsidR="00EB26B3" w:rsidRPr="00557BF0" w:rsidRDefault="00DC67F7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22 (35)</w:t>
            </w:r>
          </w:p>
        </w:tc>
        <w:tc>
          <w:tcPr>
            <w:tcW w:w="1559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50 (79)</w:t>
            </w:r>
          </w:p>
          <w:p w:rsidR="00EB26B3" w:rsidRPr="00557BF0" w:rsidRDefault="00DC67F7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25</w:t>
            </w:r>
            <w:r w:rsidR="00EB26B3" w:rsidRPr="00557BF0">
              <w:rPr>
                <w:rFonts w:ascii="Garamond" w:hAnsi="Garamond"/>
                <w:szCs w:val="24"/>
              </w:rPr>
              <w:t xml:space="preserve"> (3</w:t>
            </w:r>
            <w:r w:rsidRPr="00557BF0">
              <w:rPr>
                <w:rFonts w:ascii="Garamond" w:hAnsi="Garamond"/>
                <w:szCs w:val="24"/>
              </w:rPr>
              <w:t>9</w:t>
            </w:r>
            <w:r w:rsidR="00EB26B3" w:rsidRPr="00557BF0">
              <w:rPr>
                <w:rFonts w:ascii="Garamond" w:hAnsi="Garamond"/>
                <w:szCs w:val="24"/>
              </w:rPr>
              <w:t>)</w:t>
            </w:r>
          </w:p>
        </w:tc>
        <w:tc>
          <w:tcPr>
            <w:tcW w:w="992" w:type="dxa"/>
          </w:tcPr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0.69</w:t>
            </w:r>
          </w:p>
          <w:p w:rsidR="00EB26B3" w:rsidRPr="00557BF0" w:rsidRDefault="00EB26B3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0.</w:t>
            </w:r>
            <w:r w:rsidR="00DC67F7" w:rsidRPr="00557BF0">
              <w:rPr>
                <w:rFonts w:ascii="Garamond" w:hAnsi="Garamond"/>
                <w:szCs w:val="24"/>
              </w:rPr>
              <w:t>58</w:t>
            </w:r>
          </w:p>
        </w:tc>
      </w:tr>
      <w:tr w:rsidR="00857118" w:rsidRPr="00557BF0" w:rsidTr="00557BF0">
        <w:trPr>
          <w:trHeight w:val="333"/>
        </w:trPr>
        <w:tc>
          <w:tcPr>
            <w:tcW w:w="4678" w:type="dxa"/>
          </w:tcPr>
          <w:p w:rsidR="00857118" w:rsidRPr="00557BF0" w:rsidRDefault="00857118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Time from index surgery to index ileocolonoscopy (</w:t>
            </w:r>
            <w:r w:rsidRPr="00557BF0">
              <w:rPr>
                <w:rFonts w:ascii="Garamond" w:hAnsi="Garamond"/>
                <w:i/>
                <w:szCs w:val="24"/>
              </w:rPr>
              <w:t>months</w:t>
            </w:r>
            <w:r w:rsidRPr="00557BF0">
              <w:rPr>
                <w:rFonts w:ascii="Garamond" w:hAnsi="Garamond"/>
                <w:szCs w:val="24"/>
              </w:rPr>
              <w:t>)</w:t>
            </w:r>
          </w:p>
        </w:tc>
        <w:tc>
          <w:tcPr>
            <w:tcW w:w="1418" w:type="dxa"/>
          </w:tcPr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16 (7-46)</w:t>
            </w:r>
          </w:p>
        </w:tc>
        <w:tc>
          <w:tcPr>
            <w:tcW w:w="1559" w:type="dxa"/>
          </w:tcPr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15 (7-47)</w:t>
            </w:r>
          </w:p>
        </w:tc>
        <w:tc>
          <w:tcPr>
            <w:tcW w:w="992" w:type="dxa"/>
          </w:tcPr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0.99</w:t>
            </w:r>
          </w:p>
        </w:tc>
      </w:tr>
      <w:tr w:rsidR="00857118" w:rsidRPr="00557BF0" w:rsidTr="00557BF0">
        <w:trPr>
          <w:trHeight w:val="333"/>
        </w:trPr>
        <w:tc>
          <w:tcPr>
            <w:tcW w:w="4678" w:type="dxa"/>
          </w:tcPr>
          <w:p w:rsidR="00857118" w:rsidRPr="00557BF0" w:rsidRDefault="00857118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bookmarkStart w:id="0" w:name="_GoBack"/>
            <w:bookmarkEnd w:id="0"/>
            <w:r w:rsidRPr="00557BF0">
              <w:rPr>
                <w:rFonts w:ascii="Garamond" w:hAnsi="Garamond"/>
                <w:szCs w:val="24"/>
              </w:rPr>
              <w:t>Rutgeerts score at the beginning of anti-TNF</w:t>
            </w:r>
          </w:p>
          <w:p w:rsidR="00857118" w:rsidRPr="00557BF0" w:rsidRDefault="00857118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 xml:space="preserve">       Rutgeerts i2</w:t>
            </w:r>
          </w:p>
          <w:p w:rsidR="00857118" w:rsidRPr="00557BF0" w:rsidRDefault="00857118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 xml:space="preserve">       Rutgeerts i3</w:t>
            </w:r>
          </w:p>
          <w:p w:rsidR="00857118" w:rsidRPr="00557BF0" w:rsidRDefault="00857118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 xml:space="preserve">       Rutgeerts i4</w:t>
            </w:r>
          </w:p>
        </w:tc>
        <w:tc>
          <w:tcPr>
            <w:tcW w:w="1418" w:type="dxa"/>
          </w:tcPr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</w:p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26 (41)</w:t>
            </w:r>
          </w:p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17 (27)</w:t>
            </w:r>
          </w:p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20 (32)</w:t>
            </w:r>
          </w:p>
        </w:tc>
        <w:tc>
          <w:tcPr>
            <w:tcW w:w="1559" w:type="dxa"/>
          </w:tcPr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</w:p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27 (43)</w:t>
            </w:r>
          </w:p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15 (24)</w:t>
            </w:r>
          </w:p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21 (33)</w:t>
            </w:r>
          </w:p>
        </w:tc>
        <w:tc>
          <w:tcPr>
            <w:tcW w:w="992" w:type="dxa"/>
          </w:tcPr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</w:p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0.86</w:t>
            </w:r>
          </w:p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0.68</w:t>
            </w:r>
          </w:p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0.85</w:t>
            </w:r>
          </w:p>
        </w:tc>
      </w:tr>
      <w:tr w:rsidR="00857118" w:rsidRPr="00557BF0" w:rsidTr="00557BF0">
        <w:trPr>
          <w:trHeight w:val="333"/>
        </w:trPr>
        <w:tc>
          <w:tcPr>
            <w:tcW w:w="4678" w:type="dxa"/>
          </w:tcPr>
          <w:p w:rsidR="00857118" w:rsidRPr="00557BF0" w:rsidRDefault="00857118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Median time (IQR) from surgery to anti-TNF (</w:t>
            </w:r>
            <w:r w:rsidRPr="00557BF0">
              <w:rPr>
                <w:rFonts w:ascii="Garamond" w:hAnsi="Garamond"/>
                <w:i/>
                <w:szCs w:val="24"/>
              </w:rPr>
              <w:t>months</w:t>
            </w:r>
            <w:r w:rsidRPr="00557BF0">
              <w:rPr>
                <w:rFonts w:ascii="Garamond" w:hAnsi="Garamond"/>
                <w:szCs w:val="24"/>
              </w:rPr>
              <w:t>)</w:t>
            </w:r>
          </w:p>
        </w:tc>
        <w:tc>
          <w:tcPr>
            <w:tcW w:w="1418" w:type="dxa"/>
          </w:tcPr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40 (20-74)</w:t>
            </w:r>
          </w:p>
        </w:tc>
        <w:tc>
          <w:tcPr>
            <w:tcW w:w="1559" w:type="dxa"/>
          </w:tcPr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37 (12-78)</w:t>
            </w:r>
          </w:p>
        </w:tc>
        <w:tc>
          <w:tcPr>
            <w:tcW w:w="992" w:type="dxa"/>
          </w:tcPr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0.37</w:t>
            </w:r>
          </w:p>
        </w:tc>
      </w:tr>
      <w:tr w:rsidR="00857118" w:rsidRPr="00557BF0" w:rsidTr="00557BF0">
        <w:trPr>
          <w:trHeight w:val="333"/>
        </w:trPr>
        <w:tc>
          <w:tcPr>
            <w:tcW w:w="4678" w:type="dxa"/>
          </w:tcPr>
          <w:p w:rsidR="00857118" w:rsidRPr="00557BF0" w:rsidRDefault="00857118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Clinical POR at anti-TNF start</w:t>
            </w:r>
          </w:p>
        </w:tc>
        <w:tc>
          <w:tcPr>
            <w:tcW w:w="1418" w:type="dxa"/>
          </w:tcPr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14 (22)</w:t>
            </w:r>
          </w:p>
        </w:tc>
        <w:tc>
          <w:tcPr>
            <w:tcW w:w="1559" w:type="dxa"/>
          </w:tcPr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15 (24)</w:t>
            </w:r>
          </w:p>
        </w:tc>
        <w:tc>
          <w:tcPr>
            <w:tcW w:w="992" w:type="dxa"/>
          </w:tcPr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0.83</w:t>
            </w:r>
          </w:p>
        </w:tc>
      </w:tr>
      <w:tr w:rsidR="00857118" w:rsidRPr="00557BF0" w:rsidTr="00557BF0">
        <w:trPr>
          <w:trHeight w:val="333"/>
        </w:trPr>
        <w:tc>
          <w:tcPr>
            <w:tcW w:w="4678" w:type="dxa"/>
          </w:tcPr>
          <w:p w:rsidR="00857118" w:rsidRPr="00557BF0" w:rsidRDefault="00857118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eastAsia="Garamond" w:hAnsi="Garamond" w:cs="Garamond"/>
                <w:szCs w:val="24"/>
              </w:rPr>
              <w:t xml:space="preserve">Anti-TNF induction schedule </w:t>
            </w:r>
          </w:p>
        </w:tc>
        <w:tc>
          <w:tcPr>
            <w:tcW w:w="1418" w:type="dxa"/>
          </w:tcPr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62 (98)</w:t>
            </w:r>
          </w:p>
        </w:tc>
        <w:tc>
          <w:tcPr>
            <w:tcW w:w="1559" w:type="dxa"/>
          </w:tcPr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62 (98)</w:t>
            </w:r>
          </w:p>
        </w:tc>
        <w:tc>
          <w:tcPr>
            <w:tcW w:w="992" w:type="dxa"/>
          </w:tcPr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1.00</w:t>
            </w:r>
          </w:p>
        </w:tc>
      </w:tr>
      <w:tr w:rsidR="00857118" w:rsidRPr="00557BF0" w:rsidTr="00557BF0">
        <w:trPr>
          <w:trHeight w:val="333"/>
        </w:trPr>
        <w:tc>
          <w:tcPr>
            <w:tcW w:w="4678" w:type="dxa"/>
          </w:tcPr>
          <w:p w:rsidR="00857118" w:rsidRPr="00557BF0" w:rsidRDefault="00857118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Concomitant immunosuppressants</w:t>
            </w:r>
          </w:p>
          <w:p w:rsidR="00857118" w:rsidRPr="00557BF0" w:rsidRDefault="00857118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 xml:space="preserve">       Thiopurines </w:t>
            </w:r>
          </w:p>
          <w:p w:rsidR="00857118" w:rsidRPr="00557BF0" w:rsidRDefault="00857118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 xml:space="preserve">       Methotrexate</w:t>
            </w:r>
          </w:p>
        </w:tc>
        <w:tc>
          <w:tcPr>
            <w:tcW w:w="1418" w:type="dxa"/>
          </w:tcPr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</w:p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44 (70)</w:t>
            </w:r>
          </w:p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6 (9)</w:t>
            </w:r>
          </w:p>
        </w:tc>
        <w:tc>
          <w:tcPr>
            <w:tcW w:w="1559" w:type="dxa"/>
          </w:tcPr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</w:p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43 (68)</w:t>
            </w:r>
          </w:p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1 (2)</w:t>
            </w:r>
          </w:p>
        </w:tc>
        <w:tc>
          <w:tcPr>
            <w:tcW w:w="992" w:type="dxa"/>
          </w:tcPr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</w:p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bCs/>
                <w:szCs w:val="24"/>
              </w:rPr>
            </w:pPr>
            <w:r w:rsidRPr="00557BF0">
              <w:rPr>
                <w:rFonts w:ascii="Garamond" w:hAnsi="Garamond"/>
                <w:bCs/>
                <w:szCs w:val="24"/>
              </w:rPr>
              <w:t>0.85</w:t>
            </w:r>
          </w:p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0.06</w:t>
            </w:r>
          </w:p>
        </w:tc>
      </w:tr>
      <w:tr w:rsidR="00857118" w:rsidRPr="00557BF0" w:rsidTr="00557BF0">
        <w:trPr>
          <w:trHeight w:val="333"/>
        </w:trPr>
        <w:tc>
          <w:tcPr>
            <w:tcW w:w="4678" w:type="dxa"/>
          </w:tcPr>
          <w:p w:rsidR="00857118" w:rsidRPr="00557BF0" w:rsidRDefault="00857118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C-reactive protein &gt;5 mg/L</w:t>
            </w:r>
          </w:p>
        </w:tc>
        <w:tc>
          <w:tcPr>
            <w:tcW w:w="1418" w:type="dxa"/>
          </w:tcPr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16 (30)</w:t>
            </w:r>
          </w:p>
        </w:tc>
        <w:tc>
          <w:tcPr>
            <w:tcW w:w="1559" w:type="dxa"/>
          </w:tcPr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20 (32)</w:t>
            </w:r>
          </w:p>
        </w:tc>
        <w:tc>
          <w:tcPr>
            <w:tcW w:w="992" w:type="dxa"/>
          </w:tcPr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0.85</w:t>
            </w:r>
          </w:p>
        </w:tc>
      </w:tr>
      <w:tr w:rsidR="00857118" w:rsidRPr="00557BF0" w:rsidTr="00557BF0">
        <w:trPr>
          <w:trHeight w:val="333"/>
        </w:trPr>
        <w:tc>
          <w:tcPr>
            <w:tcW w:w="4678" w:type="dxa"/>
            <w:tcBorders>
              <w:bottom w:val="single" w:sz="4" w:space="0" w:color="auto"/>
            </w:tcBorders>
          </w:tcPr>
          <w:p w:rsidR="00857118" w:rsidRPr="00557BF0" w:rsidRDefault="00857118" w:rsidP="00CF5E80">
            <w:pPr>
              <w:spacing w:line="360" w:lineRule="auto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 xml:space="preserve">Hemoglobin &lt; 12 g/dL (men) </w:t>
            </w:r>
            <w:proofErr w:type="gramStart"/>
            <w:r w:rsidRPr="00557BF0">
              <w:rPr>
                <w:rFonts w:ascii="Garamond" w:hAnsi="Garamond"/>
                <w:szCs w:val="24"/>
              </w:rPr>
              <w:t>or</w:t>
            </w:r>
            <w:r w:rsidR="00F80554" w:rsidRPr="00557BF0">
              <w:rPr>
                <w:rFonts w:ascii="Garamond" w:hAnsi="Garamond"/>
                <w:szCs w:val="24"/>
              </w:rPr>
              <w:t xml:space="preserve"> </w:t>
            </w:r>
            <w:r w:rsidRPr="00557BF0">
              <w:rPr>
                <w:rFonts w:ascii="Garamond" w:hAnsi="Garamond"/>
                <w:szCs w:val="24"/>
              </w:rPr>
              <w:t xml:space="preserve"> &lt;</w:t>
            </w:r>
            <w:proofErr w:type="gramEnd"/>
            <w:r w:rsidRPr="00557BF0">
              <w:rPr>
                <w:rFonts w:ascii="Garamond" w:hAnsi="Garamond"/>
                <w:szCs w:val="24"/>
              </w:rPr>
              <w:t xml:space="preserve">11 g/dL (women)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7 (11)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8 (13)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7118" w:rsidRPr="00557BF0" w:rsidRDefault="00857118" w:rsidP="00CF5E80">
            <w:pPr>
              <w:spacing w:line="360" w:lineRule="auto"/>
              <w:jc w:val="center"/>
              <w:rPr>
                <w:rFonts w:ascii="Garamond" w:hAnsi="Garamond"/>
                <w:szCs w:val="24"/>
              </w:rPr>
            </w:pPr>
            <w:r w:rsidRPr="00557BF0">
              <w:rPr>
                <w:rFonts w:ascii="Garamond" w:hAnsi="Garamond"/>
                <w:szCs w:val="24"/>
              </w:rPr>
              <w:t>0.78</w:t>
            </w:r>
          </w:p>
        </w:tc>
      </w:tr>
    </w:tbl>
    <w:p w:rsidR="00EB26B3" w:rsidRPr="00557BF0" w:rsidRDefault="00EB26B3" w:rsidP="00CF5E80">
      <w:pPr>
        <w:spacing w:line="360" w:lineRule="auto"/>
        <w:rPr>
          <w:rFonts w:ascii="Garamond" w:hAnsi="Garamond"/>
          <w:szCs w:val="24"/>
        </w:rPr>
      </w:pPr>
    </w:p>
    <w:sectPr w:rsidR="00EB26B3" w:rsidRPr="00557B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CE"/>
    <w:rsid w:val="000E2A50"/>
    <w:rsid w:val="00162CBB"/>
    <w:rsid w:val="0016782C"/>
    <w:rsid w:val="00172F59"/>
    <w:rsid w:val="001E3550"/>
    <w:rsid w:val="0029626A"/>
    <w:rsid w:val="00557BF0"/>
    <w:rsid w:val="006D054F"/>
    <w:rsid w:val="00857118"/>
    <w:rsid w:val="00A0611F"/>
    <w:rsid w:val="00B46617"/>
    <w:rsid w:val="00C060EA"/>
    <w:rsid w:val="00CF5E80"/>
    <w:rsid w:val="00DC67F7"/>
    <w:rsid w:val="00E62FCE"/>
    <w:rsid w:val="00EB26B3"/>
    <w:rsid w:val="00EF7C22"/>
    <w:rsid w:val="00F8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6086E-37FB-48B1-A1AD-DBB67432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6A"/>
    <w:p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62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E80"/>
    <w:pPr>
      <w:spacing w:line="240" w:lineRule="auto"/>
    </w:pPr>
    <w:rPr>
      <w:rFonts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E80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Germán Cediel</dc:creator>
  <cp:keywords/>
  <dc:description/>
  <cp:lastModifiedBy>Germán Cediel</cp:lastModifiedBy>
  <cp:revision>14</cp:revision>
  <dcterms:created xsi:type="dcterms:W3CDTF">2019-08-16T09:33:00Z</dcterms:created>
  <dcterms:modified xsi:type="dcterms:W3CDTF">2019-11-07T15:35:00Z</dcterms:modified>
</cp:coreProperties>
</file>