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4A" w:rsidRDefault="0066654A" w:rsidP="0066654A">
      <w:pPr>
        <w:spacing w:after="0" w:line="480" w:lineRule="auto"/>
        <w:rPr>
          <w:rFonts w:eastAsia="Arial Unicode MS"/>
          <w:b/>
          <w:bCs/>
          <w:color w:val="000000" w:themeColor="text1"/>
          <w:kern w:val="2"/>
          <w:sz w:val="24"/>
          <w:szCs w:val="24"/>
          <w:lang w:eastAsia="ja-JP"/>
        </w:rPr>
      </w:pPr>
      <w:r>
        <w:rPr>
          <w:rFonts w:eastAsia="Arial Unicode MS"/>
          <w:b/>
          <w:bCs/>
          <w:color w:val="000000" w:themeColor="text1"/>
          <w:kern w:val="2"/>
          <w:sz w:val="24"/>
          <w:szCs w:val="24"/>
          <w:lang w:eastAsia="ja-JP"/>
        </w:rPr>
        <w:t>Supplementary Table 4: Plasma ammonia AUC</w:t>
      </w:r>
      <w:r>
        <w:rPr>
          <w:rFonts w:eastAsia="Arial Unicode MS"/>
          <w:b/>
          <w:bCs/>
          <w:color w:val="000000" w:themeColor="text1"/>
          <w:kern w:val="2"/>
          <w:sz w:val="24"/>
          <w:szCs w:val="24"/>
          <w:vertAlign w:val="subscript"/>
          <w:lang w:eastAsia="ja-JP"/>
        </w:rPr>
        <w:t>0–5 h</w:t>
      </w:r>
      <w:r>
        <w:rPr>
          <w:rFonts w:eastAsia="Arial Unicode MS"/>
          <w:b/>
          <w:bCs/>
          <w:color w:val="000000" w:themeColor="text1"/>
          <w:kern w:val="2"/>
          <w:sz w:val="24"/>
          <w:szCs w:val="24"/>
          <w:lang w:eastAsia="ja-JP"/>
        </w:rPr>
        <w:t xml:space="preserve"> and </w:t>
      </w:r>
      <w:proofErr w:type="spellStart"/>
      <w:r>
        <w:rPr>
          <w:rFonts w:eastAsia="Arial Unicode MS"/>
          <w:b/>
          <w:bCs/>
          <w:color w:val="000000" w:themeColor="text1"/>
          <w:kern w:val="2"/>
          <w:sz w:val="24"/>
          <w:szCs w:val="24"/>
          <w:lang w:eastAsia="ja-JP"/>
        </w:rPr>
        <w:t>C</w:t>
      </w:r>
      <w:r>
        <w:rPr>
          <w:rFonts w:eastAsia="Arial Unicode MS"/>
          <w:b/>
          <w:bCs/>
          <w:color w:val="000000" w:themeColor="text1"/>
          <w:kern w:val="2"/>
          <w:sz w:val="24"/>
          <w:szCs w:val="24"/>
          <w:vertAlign w:val="subscript"/>
          <w:lang w:eastAsia="ja-JP"/>
        </w:rPr>
        <w:t>max</w:t>
      </w:r>
      <w:proofErr w:type="spellEnd"/>
      <w:r>
        <w:rPr>
          <w:rFonts w:eastAsia="Arial Unicode MS"/>
          <w:b/>
          <w:bCs/>
          <w:color w:val="000000" w:themeColor="text1"/>
          <w:kern w:val="2"/>
          <w:sz w:val="24"/>
          <w:szCs w:val="24"/>
          <w:lang w:eastAsia="ja-JP"/>
        </w:rPr>
        <w:t xml:space="preserve"> on Day 1 and Day 15 of Part 2.</w:t>
      </w:r>
    </w:p>
    <w:p w:rsidR="0066654A" w:rsidRDefault="0066654A" w:rsidP="0066654A">
      <w:pPr>
        <w:pStyle w:val="GlobalSubmitFigureFootnote"/>
        <w:rPr>
          <w:sz w:val="18"/>
          <w:szCs w:val="18"/>
        </w:rPr>
      </w:pPr>
    </w:p>
    <w:tbl>
      <w:tblPr>
        <w:tblW w:w="12325" w:type="dxa"/>
        <w:tblLook w:val="04A0" w:firstRow="1" w:lastRow="0" w:firstColumn="1" w:lastColumn="0" w:noHBand="0" w:noVBand="1"/>
      </w:tblPr>
      <w:tblGrid>
        <w:gridCol w:w="1343"/>
        <w:gridCol w:w="360"/>
        <w:gridCol w:w="1169"/>
        <w:gridCol w:w="1170"/>
        <w:gridCol w:w="450"/>
        <w:gridCol w:w="1260"/>
        <w:gridCol w:w="1170"/>
        <w:gridCol w:w="360"/>
        <w:gridCol w:w="1170"/>
        <w:gridCol w:w="1169"/>
        <w:gridCol w:w="360"/>
        <w:gridCol w:w="1170"/>
        <w:gridCol w:w="1174"/>
      </w:tblGrid>
      <w:tr w:rsidR="0066654A" w:rsidTr="007A00F6">
        <w:trPr>
          <w:trHeight w:val="260"/>
        </w:trPr>
        <w:tc>
          <w:tcPr>
            <w:tcW w:w="1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Plasma ammonia (µM)</w:t>
            </w:r>
          </w:p>
        </w:tc>
      </w:tr>
      <w:tr w:rsidR="0066654A" w:rsidTr="007A00F6">
        <w:trPr>
          <w:trHeight w:val="31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rPr>
                <w:sz w:val="18"/>
                <w:szCs w:val="18"/>
              </w:rPr>
            </w:pPr>
          </w:p>
        </w:tc>
        <w:tc>
          <w:tcPr>
            <w:tcW w:w="5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  <w:szCs w:val="16"/>
              </w:rPr>
              <w:t>AXA</w:t>
            </w:r>
            <w:r>
              <w:rPr>
                <w:b/>
                <w:sz w:val="18"/>
                <w:szCs w:val="16"/>
                <w:vertAlign w:val="subscript"/>
              </w:rPr>
              <w:t>high</w:t>
            </w:r>
            <w:proofErr w:type="spellEnd"/>
            <w:r>
              <w:rPr>
                <w:b/>
                <w:sz w:val="18"/>
                <w:szCs w:val="16"/>
                <w:vertAlign w:val="superscript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+ </w:t>
            </w:r>
            <w:proofErr w:type="spellStart"/>
            <w:r>
              <w:rPr>
                <w:b/>
                <w:sz w:val="18"/>
                <w:szCs w:val="16"/>
              </w:rPr>
              <w:t>SOC</w:t>
            </w:r>
            <w:r>
              <w:rPr>
                <w:rFonts w:ascii="Wingdings" w:eastAsia="Wingdings" w:hAnsi="Wingdings" w:cs="Wingdings"/>
                <w:b/>
                <w:sz w:val="18"/>
                <w:szCs w:val="16"/>
              </w:rPr>
              <w:t></w:t>
            </w:r>
            <w:r>
              <w:rPr>
                <w:b/>
                <w:sz w:val="18"/>
                <w:szCs w:val="16"/>
              </w:rPr>
              <w:t>control</w:t>
            </w:r>
            <w:proofErr w:type="spellEnd"/>
            <w:r>
              <w:rPr>
                <w:b/>
                <w:sz w:val="18"/>
                <w:szCs w:val="16"/>
              </w:rPr>
              <w:t xml:space="preserve"> + SOC</w:t>
            </w:r>
          </w:p>
          <w:p w:rsidR="0066654A" w:rsidRDefault="0066654A" w:rsidP="007A00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(group 1)</w:t>
            </w:r>
          </w:p>
        </w:tc>
        <w:tc>
          <w:tcPr>
            <w:tcW w:w="5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Control + </w:t>
            </w:r>
            <w:proofErr w:type="spellStart"/>
            <w:r>
              <w:rPr>
                <w:b/>
                <w:sz w:val="18"/>
                <w:szCs w:val="16"/>
              </w:rPr>
              <w:t>SOC</w:t>
            </w:r>
            <w:r>
              <w:rPr>
                <w:rFonts w:ascii="Wingdings" w:eastAsia="Wingdings" w:hAnsi="Wingdings" w:cs="Wingdings"/>
                <w:b/>
                <w:sz w:val="18"/>
                <w:szCs w:val="16"/>
              </w:rPr>
              <w:t></w:t>
            </w:r>
            <w:r>
              <w:rPr>
                <w:b/>
                <w:sz w:val="18"/>
                <w:szCs w:val="16"/>
              </w:rPr>
              <w:t>AXA</w:t>
            </w:r>
            <w:r>
              <w:rPr>
                <w:b/>
                <w:sz w:val="18"/>
                <w:szCs w:val="16"/>
                <w:vertAlign w:val="subscript"/>
              </w:rPr>
              <w:t>low</w:t>
            </w:r>
            <w:proofErr w:type="spellEnd"/>
            <w:r>
              <w:rPr>
                <w:b/>
                <w:sz w:val="18"/>
                <w:szCs w:val="16"/>
                <w:vertAlign w:val="subscript"/>
              </w:rPr>
              <w:t xml:space="preserve"> </w:t>
            </w:r>
            <w:r>
              <w:rPr>
                <w:b/>
                <w:sz w:val="18"/>
                <w:szCs w:val="16"/>
              </w:rPr>
              <w:t>+ SOC</w:t>
            </w:r>
          </w:p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(group 2)</w:t>
            </w:r>
          </w:p>
        </w:tc>
      </w:tr>
      <w:tr w:rsidR="0066654A" w:rsidTr="007A00F6">
        <w:trPr>
          <w:trHeight w:val="31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AXA1665 14.7 g TID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 TID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 TID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AXA1665 4.9 g TID</w:t>
            </w:r>
          </w:p>
        </w:tc>
      </w:tr>
      <w:tr w:rsidR="0066654A" w:rsidTr="007A00F6">
        <w:trPr>
          <w:trHeight w:val="31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Time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AUC</w:t>
            </w:r>
            <w:r>
              <w:rPr>
                <w:b/>
                <w:bCs/>
                <w:sz w:val="18"/>
                <w:szCs w:val="18"/>
                <w:vertAlign w:val="subscript"/>
              </w:rPr>
              <w:t>0–5 h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μM</w:t>
            </w:r>
            <w:proofErr w:type="spellEnd"/>
            <w:r>
              <w:rPr>
                <w:b/>
                <w:bCs/>
                <w:sz w:val="18"/>
                <w:szCs w:val="18"/>
              </w:rPr>
              <w:t>*h)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μM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AUC</w:t>
            </w:r>
            <w:r>
              <w:rPr>
                <w:b/>
                <w:bCs/>
                <w:sz w:val="18"/>
                <w:szCs w:val="18"/>
                <w:vertAlign w:val="subscript"/>
              </w:rPr>
              <w:t xml:space="preserve">0–5 h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μM</w:t>
            </w:r>
            <w:proofErr w:type="spellEnd"/>
            <w:r>
              <w:rPr>
                <w:b/>
                <w:bCs/>
                <w:sz w:val="18"/>
                <w:szCs w:val="18"/>
              </w:rPr>
              <w:t>*h)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μM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AUC</w:t>
            </w:r>
            <w:r>
              <w:rPr>
                <w:b/>
                <w:bCs/>
                <w:sz w:val="18"/>
                <w:szCs w:val="18"/>
                <w:vertAlign w:val="subscript"/>
              </w:rPr>
              <w:t>0–5 h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μM</w:t>
            </w:r>
            <w:proofErr w:type="spellEnd"/>
            <w:r>
              <w:rPr>
                <w:b/>
                <w:bCs/>
                <w:sz w:val="18"/>
                <w:szCs w:val="18"/>
              </w:rPr>
              <w:t>*h)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μM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AUC</w:t>
            </w:r>
            <w:r>
              <w:rPr>
                <w:b/>
                <w:bCs/>
                <w:sz w:val="18"/>
                <w:szCs w:val="18"/>
                <w:vertAlign w:val="subscript"/>
              </w:rPr>
              <w:t>0–5 h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μM</w:t>
            </w:r>
            <w:proofErr w:type="spellEnd"/>
            <w:r>
              <w:rPr>
                <w:b/>
                <w:bCs/>
                <w:sz w:val="18"/>
                <w:szCs w:val="18"/>
              </w:rPr>
              <w:t>*h)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μM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6654A" w:rsidTr="007A00F6">
        <w:trPr>
          <w:trHeight w:val="31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± 203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 ± 47.8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 ± 218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± 66.5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 ± 258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 ± 57.2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 ± 112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 ± 25.3</w:t>
            </w:r>
          </w:p>
        </w:tc>
      </w:tr>
      <w:tr w:rsidR="0066654A" w:rsidTr="007A00F6">
        <w:trPr>
          <w:trHeight w:val="31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± 246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77.4 ± 65.6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 ± 225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 ± 54.6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 ± 75.1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78.3 ± 27.4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± 45.5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 ± 12.0</w:t>
            </w:r>
          </w:p>
        </w:tc>
      </w:tr>
      <w:tr w:rsidR="0066654A" w:rsidTr="007A00F6">
        <w:trPr>
          <w:trHeight w:val="31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Ratio: </w:t>
            </w:r>
          </w:p>
          <w:p w:rsidR="0066654A" w:rsidRDefault="0066654A" w:rsidP="007A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15 to </w:t>
            </w:r>
            <w:r>
              <w:rPr>
                <w:sz w:val="18"/>
                <w:szCs w:val="18"/>
              </w:rPr>
              <w:br/>
              <w:t>Day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0.85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0.72</w:t>
            </w:r>
          </w:p>
        </w:tc>
      </w:tr>
      <w:tr w:rsidR="0066654A" w:rsidTr="007A00F6">
        <w:trPr>
          <w:trHeight w:val="310"/>
        </w:trPr>
        <w:tc>
          <w:tcPr>
            <w:tcW w:w="12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4A" w:rsidRDefault="0066654A" w:rsidP="007A00F6">
            <w:pPr>
              <w:spacing w:after="0" w:line="360" w:lineRule="auto"/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 xml:space="preserve">Data are presented as mean </w:t>
            </w:r>
            <w:r>
              <w:rPr>
                <w:sz w:val="18"/>
                <w:szCs w:val="18"/>
              </w:rPr>
              <w:t xml:space="preserve">± </w:t>
            </w:r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 xml:space="preserve">SD unless otherwise stated. </w:t>
            </w:r>
          </w:p>
          <w:p w:rsidR="0066654A" w:rsidRDefault="0066654A" w:rsidP="007A00F6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included 30–40 minutes of mandatory and supervised physical activity, standardized meals, and a daily late evening snack.</w:t>
            </w:r>
          </w:p>
          <w:p w:rsidR="0066654A" w:rsidRDefault="0066654A" w:rsidP="007A00F6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>AUC</w:t>
            </w:r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vertAlign w:val="subscript"/>
                <w:lang w:eastAsia="ja-JP"/>
              </w:rPr>
              <w:t>0–5 h</w:t>
            </w:r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 xml:space="preserve">, area under the plasma concentration-time curve from time 0 to 5 hours; </w:t>
            </w:r>
            <w:proofErr w:type="spellStart"/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>AXA</w:t>
            </w:r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vertAlign w:val="subscript"/>
                <w:lang w:eastAsia="ja-JP"/>
              </w:rPr>
              <w:t>high</w:t>
            </w:r>
            <w:proofErr w:type="spellEnd"/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 xml:space="preserve">, AXA1665 14.7 g TID; </w:t>
            </w:r>
            <w:proofErr w:type="spellStart"/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>AXA</w:t>
            </w:r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vertAlign w:val="subscript"/>
                <w:lang w:eastAsia="ja-JP"/>
              </w:rPr>
              <w:t>low</w:t>
            </w:r>
            <w:proofErr w:type="spellEnd"/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 xml:space="preserve">, AXA1665 4.9 g TID; </w:t>
            </w:r>
            <w:proofErr w:type="spellStart"/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>C</w:t>
            </w:r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vertAlign w:val="subscript"/>
                <w:lang w:eastAsia="ja-JP"/>
              </w:rPr>
              <w:t>max</w:t>
            </w:r>
            <w:proofErr w:type="spellEnd"/>
            <w:r>
              <w:rPr>
                <w:rFonts w:eastAsia="Arial Unicode MS"/>
                <w:bCs/>
                <w:color w:val="000000" w:themeColor="text1"/>
                <w:kern w:val="2"/>
                <w:sz w:val="18"/>
                <w:szCs w:val="18"/>
                <w:lang w:eastAsia="ja-JP"/>
              </w:rPr>
              <w:t>, peak plasma concentration; SD, standard deviation; SOC, standard of care; TID, 3 times a day.</w:t>
            </w:r>
          </w:p>
        </w:tc>
      </w:tr>
    </w:tbl>
    <w:p w:rsidR="0066654A" w:rsidRDefault="0066654A" w:rsidP="0066654A">
      <w:pPr>
        <w:sectPr w:rsidR="0066654A">
          <w:headerReference w:type="default" r:id="rId5"/>
          <w:footerReference w:type="default" r:id="rId6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formProt w:val="0"/>
          <w:docGrid w:linePitch="360" w:charSpace="4096"/>
        </w:sectPr>
      </w:pPr>
    </w:p>
    <w:p w:rsidR="006A1C26" w:rsidRDefault="006A1C26">
      <w:bookmarkStart w:id="0" w:name="_GoBack"/>
      <w:bookmarkEnd w:id="0"/>
    </w:p>
    <w:sectPr w:rsidR="006A1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72" w:rsidRDefault="0066654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13915"/>
      <w:docPartObj>
        <w:docPartGallery w:val="Page Numbers (Top of Page)"/>
        <w:docPartUnique/>
      </w:docPartObj>
    </w:sdtPr>
    <w:sdtEndPr/>
    <w:sdtContent>
      <w:p w:rsidR="00366F72" w:rsidRDefault="0066654A">
        <w:pPr>
          <w:pStyle w:val="Head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366F72" w:rsidRDefault="0066654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4A"/>
    <w:rsid w:val="0066654A"/>
    <w:rsid w:val="006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4A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6654A"/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654A"/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54A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1">
    <w:name w:val="Header Char1"/>
    <w:basedOn w:val="DefaultParagraphFont"/>
    <w:uiPriority w:val="99"/>
    <w:semiHidden/>
    <w:rsid w:val="0066654A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654A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FooterChar1">
    <w:name w:val="Footer Char1"/>
    <w:basedOn w:val="DefaultParagraphFont"/>
    <w:uiPriority w:val="99"/>
    <w:semiHidden/>
    <w:rsid w:val="0066654A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GlobalSubmitFigureFootnote">
    <w:name w:val="GlobalSubmit Figure Footnote"/>
    <w:basedOn w:val="Normal"/>
    <w:qFormat/>
    <w:rsid w:val="0066654A"/>
    <w:pPr>
      <w:tabs>
        <w:tab w:val="left" w:pos="360"/>
      </w:tabs>
      <w:spacing w:after="0" w:line="240" w:lineRule="auto"/>
      <w:ind w:left="360" w:hanging="360"/>
    </w:pPr>
    <w:rPr>
      <w:rFonts w:eastAsia="Arial Unicode MS"/>
      <w:sz w:val="2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6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4A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6654A"/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654A"/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54A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1">
    <w:name w:val="Header Char1"/>
    <w:basedOn w:val="DefaultParagraphFont"/>
    <w:uiPriority w:val="99"/>
    <w:semiHidden/>
    <w:rsid w:val="0066654A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654A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FooterChar1">
    <w:name w:val="Footer Char1"/>
    <w:basedOn w:val="DefaultParagraphFont"/>
    <w:uiPriority w:val="99"/>
    <w:semiHidden/>
    <w:rsid w:val="0066654A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GlobalSubmitFigureFootnote">
    <w:name w:val="GlobalSubmit Figure Footnote"/>
    <w:basedOn w:val="Normal"/>
    <w:qFormat/>
    <w:rsid w:val="0066654A"/>
    <w:pPr>
      <w:tabs>
        <w:tab w:val="left" w:pos="360"/>
      </w:tabs>
      <w:spacing w:after="0" w:line="240" w:lineRule="auto"/>
      <w:ind w:left="360" w:hanging="360"/>
    </w:pPr>
    <w:rPr>
      <w:rFonts w:eastAsia="Arial Unicode MS"/>
      <w:sz w:val="2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6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2020-09-21T14:26:00Z</dcterms:created>
  <dcterms:modified xsi:type="dcterms:W3CDTF">2020-09-21T14:27:00Z</dcterms:modified>
</cp:coreProperties>
</file>