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8AA1" w14:textId="77777777" w:rsidR="00ED1F86" w:rsidRPr="0013204C" w:rsidRDefault="00ED1F86" w:rsidP="00ED1F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Table 2.  </w:t>
      </w:r>
      <w:r w:rsidRPr="0013204C">
        <w:rPr>
          <w:b/>
          <w:bCs/>
          <w:sz w:val="24"/>
          <w:szCs w:val="24"/>
        </w:rPr>
        <w:t>Univariate and multivariate</w:t>
      </w:r>
      <w:r w:rsidRPr="0013204C">
        <w:rPr>
          <w:b/>
          <w:bCs/>
          <w:sz w:val="24"/>
          <w:szCs w:val="24"/>
          <w:vertAlign w:val="superscript"/>
        </w:rPr>
        <w:t>1</w:t>
      </w:r>
      <w:r w:rsidRPr="0013204C">
        <w:rPr>
          <w:b/>
          <w:bCs/>
          <w:sz w:val="24"/>
          <w:szCs w:val="24"/>
        </w:rPr>
        <w:t xml:space="preserve"> analysis for determinants of secondary loss of response in infliximab treated patients.</w:t>
      </w:r>
    </w:p>
    <w:tbl>
      <w:tblPr>
        <w:tblW w:w="109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01"/>
        <w:gridCol w:w="1878"/>
        <w:gridCol w:w="867"/>
        <w:gridCol w:w="1733"/>
        <w:gridCol w:w="1011"/>
        <w:gridCol w:w="1733"/>
        <w:gridCol w:w="1157"/>
      </w:tblGrid>
      <w:tr w:rsidR="00ED1F86" w:rsidRPr="0013204C" w14:paraId="0971DAD0" w14:textId="77777777" w:rsidTr="0064633F">
        <w:trPr>
          <w:trHeight w:val="456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D3D25" w14:textId="77777777" w:rsidR="00ED1F86" w:rsidRPr="0013204C" w:rsidRDefault="00ED1F86" w:rsidP="0064633F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 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F9B9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Infliximab (n=44)</w:t>
            </w:r>
          </w:p>
        </w:tc>
      </w:tr>
      <w:tr w:rsidR="00ED1F86" w:rsidRPr="0013204C" w14:paraId="288A4045" w14:textId="77777777" w:rsidTr="0064633F">
        <w:trPr>
          <w:trHeight w:val="252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BF1" w14:textId="77777777" w:rsidR="00ED1F86" w:rsidRPr="0013204C" w:rsidRDefault="00ED1F86" w:rsidP="0064633F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B071A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Unadjusted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C2F50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p-value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FD2BF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Age- and gender-adjusted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DC8D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p-value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DEE07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Multivariate regression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17676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p-value</w:t>
            </w:r>
          </w:p>
        </w:tc>
      </w:tr>
      <w:tr w:rsidR="00ED1F86" w:rsidRPr="0013204C" w14:paraId="018295F9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61C5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Abdominal Circumference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3A015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1.02 (0.99, 1.06)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ED1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672C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1.03 (0.99, 1.07)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E391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E10B0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0.995 (0.952, 1.041)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EFB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0.84</w:t>
            </w:r>
          </w:p>
        </w:tc>
      </w:tr>
      <w:tr w:rsidR="00ED1F86" w:rsidRPr="0013204C" w14:paraId="0DE92350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332C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Visceral Fat Area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7DDED" w14:textId="77777777" w:rsidR="00ED1F86" w:rsidRPr="00525856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highlight w:val="lightGray"/>
                <w:lang w:eastAsia="en-AU"/>
              </w:rPr>
            </w:pPr>
            <w:r w:rsidRPr="00525856">
              <w:rPr>
                <w:rFonts w:eastAsia="Times New Roman" w:cs="Calibri"/>
                <w:b/>
                <w:bCs/>
                <w:highlight w:val="lightGray"/>
                <w:lang w:eastAsia="en-AU"/>
              </w:rPr>
              <w:t>1.005 (1.000, 1.009)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89A240" w14:textId="77777777" w:rsidR="00ED1F86" w:rsidRPr="00525856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highlight w:val="lightGray"/>
                <w:lang w:eastAsia="en-AU"/>
              </w:rPr>
            </w:pPr>
            <w:r w:rsidRPr="00525856">
              <w:rPr>
                <w:rFonts w:eastAsia="Times New Roman" w:cs="Calibri"/>
                <w:b/>
                <w:bCs/>
                <w:highlight w:val="lightGray"/>
                <w:lang w:eastAsia="en-AU"/>
              </w:rPr>
              <w:t>0.03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226EF1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1.007 (1.002, 1.013)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06F51B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5F9A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1.001 (0.996, 1.007)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5F3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0.64</w:t>
            </w:r>
          </w:p>
        </w:tc>
      </w:tr>
      <w:tr w:rsidR="00ED1F86" w:rsidRPr="0013204C" w14:paraId="7D3D8F63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6A3C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Subcutaneous Fat Area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46626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1.001 (0.997, 1.006)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F9E4B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85899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1.001 (0.997, 1.006)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BA5A6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A766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1.000 (0.993, 1.006)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8C294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0.89</w:t>
            </w:r>
          </w:p>
        </w:tc>
      </w:tr>
      <w:tr w:rsidR="00ED1F86" w:rsidRPr="0013204C" w14:paraId="33E0B52C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143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Total fat area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BA67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1.003 (1.000, 1.006)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5CAB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E013A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1.003 (1.000, 1.006)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203DD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D71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1.001 (0.996, 1.005)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F108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0.79</w:t>
            </w:r>
          </w:p>
        </w:tc>
      </w:tr>
      <w:tr w:rsidR="00ED1F86" w:rsidRPr="0013204C" w14:paraId="4AECABD8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16CD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Skeletal Muscle Area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E8AB0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1.003 (0.993, 1.012)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8870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E5F6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1.016 (0.999, 1.033)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BEDD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FA139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1.002 (0.992, 1.012)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054A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0.70</w:t>
            </w:r>
          </w:p>
        </w:tc>
      </w:tr>
      <w:tr w:rsidR="00ED1F86" w:rsidRPr="0013204C" w14:paraId="0F25D7B7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DA4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Visceral Fat Area corrected for Stature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4740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1.015 (1.001, 1.028)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51114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D1DDB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1.020 (1.004, 1.037)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2F427D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6666B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1.004 (0.986, 1.021)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3C267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0.69</w:t>
            </w:r>
          </w:p>
        </w:tc>
      </w:tr>
      <w:tr w:rsidR="00ED1F86" w:rsidRPr="0013204C" w14:paraId="1AD3B9A2" w14:textId="77777777" w:rsidTr="0064633F">
        <w:trPr>
          <w:trHeight w:val="4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4958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VFI (&lt;30)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781D9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233F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DF150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Reference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8A90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3A3EF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Reference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D7B2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-</w:t>
            </w:r>
          </w:p>
        </w:tc>
      </w:tr>
      <w:tr w:rsidR="00ED1F86" w:rsidRPr="0013204C" w14:paraId="18C286C9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39F8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VFI (30-60)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0DA8D2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2.36 (0.80, 7.00)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2764C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14509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3.17 (0.93, 120.81)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234D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1523B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2.14 (0.55, 8.39)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512B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0.28</w:t>
            </w:r>
          </w:p>
        </w:tc>
      </w:tr>
      <w:tr w:rsidR="00ED1F86" w:rsidRPr="0013204C" w14:paraId="35FE18B6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E47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VFI (&gt;60)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4420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3.59 (1.08, 11.90)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54F9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BC5B21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5.36 (1.30, 22.16)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0EF34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5A582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1.58 (0.39, 6.51)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B63BD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0.53</w:t>
            </w:r>
          </w:p>
        </w:tc>
      </w:tr>
      <w:tr w:rsidR="00ED1F86" w:rsidRPr="0013204C" w14:paraId="3C7817F2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C9CB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Skeletal Muscle Area corrected for Stature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5C1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1.01 (0.98, 1.04)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2CFFA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184E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1.04 (0.99, 1.08)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599DE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B9B5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1.01 (0.97, 1.05)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2959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0.68</w:t>
            </w:r>
          </w:p>
        </w:tc>
      </w:tr>
      <w:tr w:rsidR="00ED1F86" w:rsidRPr="0013204C" w14:paraId="7D266BB0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65DF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VFA/SMA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FF661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2.67 (1.13, 6.29)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B9CF6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16C46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3.24 (1.17, 8.96)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38A48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9F41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1.40 (0.48, 4.08)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67C2B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0.54</w:t>
            </w:r>
          </w:p>
        </w:tc>
      </w:tr>
      <w:tr w:rsidR="00ED1F86" w:rsidRPr="0013204C" w14:paraId="60F3B30C" w14:textId="77777777" w:rsidTr="0064633F">
        <w:trPr>
          <w:trHeight w:val="2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389F" w14:textId="77777777" w:rsidR="00ED1F86" w:rsidRPr="0013204C" w:rsidRDefault="00ED1F86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vertAlign w:val="superscript"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Body Mass Index kg/m</w:t>
            </w:r>
            <w:r w:rsidRPr="0013204C">
              <w:rPr>
                <w:rFonts w:eastAsia="Times New Roman" w:cs="Calibri"/>
                <w:b/>
                <w:bCs/>
                <w:vertAlign w:val="superscript"/>
                <w:lang w:eastAsia="en-AU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F0500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1.08 (0.99, 1.17)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FB7A7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3555A9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1.091 (1.003, 1.187)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2425FD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13204C">
              <w:rPr>
                <w:rFonts w:eastAsia="Times New Roman" w:cs="Calibri"/>
                <w:b/>
                <w:bCs/>
                <w:lang w:eastAsia="en-AU"/>
              </w:rPr>
              <w:t>0.04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21C79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1.06 (0.97, 1.17)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2553" w14:textId="77777777" w:rsidR="00ED1F86" w:rsidRPr="0013204C" w:rsidRDefault="00ED1F86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13204C">
              <w:rPr>
                <w:rFonts w:eastAsia="Times New Roman" w:cs="Calibri"/>
                <w:lang w:eastAsia="en-AU"/>
              </w:rPr>
              <w:t>0.19</w:t>
            </w:r>
          </w:p>
        </w:tc>
      </w:tr>
      <w:tr w:rsidR="00ED1F86" w:rsidRPr="0013204C" w14:paraId="369A0BE5" w14:textId="77777777" w:rsidTr="0064633F">
        <w:trPr>
          <w:trHeight w:val="25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C1A8" w14:textId="77777777" w:rsidR="00ED1F86" w:rsidRPr="00FC1AFA" w:rsidRDefault="00ED1F86" w:rsidP="006463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FC1AFA">
              <w:rPr>
                <w:rFonts w:eastAsia="Times New Roman" w:cs="Calibri"/>
                <w:sz w:val="20"/>
                <w:szCs w:val="20"/>
                <w:vertAlign w:val="superscript"/>
                <w:lang w:eastAsia="en-AU"/>
              </w:rPr>
              <w:t>1</w:t>
            </w:r>
            <w:r w:rsidRPr="00FC1AFA">
              <w:rPr>
                <w:rFonts w:eastAsia="Times New Roman" w:cs="Calibri"/>
                <w:sz w:val="20"/>
                <w:szCs w:val="20"/>
                <w:lang w:eastAsia="en-AU"/>
              </w:rPr>
              <w:t>Multivariate regression adjustment for Montreal age groups (A1≤16, A2=17-40, A3&gt;40), trough level, smoking status (active/ inactive) at the time of CT/ MRI, antibody seropositivity (&gt;100 IU/ml), concurrent immunomodulator use (thiopurines or methotrexate)</w:t>
            </w:r>
          </w:p>
        </w:tc>
      </w:tr>
    </w:tbl>
    <w:p w14:paraId="4EC71D12" w14:textId="77777777" w:rsidR="00ED1F86" w:rsidRDefault="00ED1F86" w:rsidP="00ED1F86">
      <w:pPr>
        <w:spacing w:line="360" w:lineRule="auto"/>
        <w:rPr>
          <w:rFonts w:cs="Calibri"/>
          <w:sz w:val="24"/>
          <w:szCs w:val="24"/>
        </w:rPr>
      </w:pPr>
    </w:p>
    <w:p w14:paraId="47B30B56" w14:textId="77777777" w:rsidR="00ED1F86" w:rsidRDefault="00ED1F86" w:rsidP="00ED1F86">
      <w:pPr>
        <w:spacing w:line="360" w:lineRule="auto"/>
        <w:jc w:val="both"/>
        <w:rPr>
          <w:rFonts w:cs="Calibri"/>
          <w:sz w:val="24"/>
          <w:szCs w:val="24"/>
        </w:rPr>
      </w:pPr>
    </w:p>
    <w:p w14:paraId="3AC6CD3E" w14:textId="77777777" w:rsidR="00ED1F86" w:rsidRPr="00737CE5" w:rsidRDefault="00ED1F86" w:rsidP="00ED1F86">
      <w:pPr>
        <w:rPr>
          <w:b/>
          <w:bCs/>
        </w:rPr>
      </w:pPr>
    </w:p>
    <w:p w14:paraId="77BC85AF" w14:textId="77777777" w:rsidR="00ED1F86" w:rsidRDefault="00ED1F86" w:rsidP="00ED1F86">
      <w:pPr>
        <w:spacing w:line="360" w:lineRule="auto"/>
        <w:jc w:val="both"/>
        <w:rPr>
          <w:rFonts w:cs="Calibri"/>
          <w:sz w:val="24"/>
          <w:szCs w:val="24"/>
        </w:rPr>
      </w:pPr>
    </w:p>
    <w:p w14:paraId="168CF4BA" w14:textId="77777777" w:rsidR="00EF41F3" w:rsidRDefault="00EF41F3">
      <w:bookmarkStart w:id="0" w:name="_GoBack"/>
      <w:bookmarkEnd w:id="0"/>
    </w:p>
    <w:sectPr w:rsidR="00EF4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86"/>
    <w:rsid w:val="00ED1F86"/>
    <w:rsid w:val="00E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0E39"/>
  <w15:chartTrackingRefBased/>
  <w15:docId w15:val="{7149D7AF-4E5B-42E8-B6A0-BB2C31F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86"/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lenathin lenathin</dc:creator>
  <cp:keywords/>
  <dc:description/>
  <cp:lastModifiedBy>lenathin lenathin</cp:lastModifiedBy>
  <cp:revision>1</cp:revision>
  <dcterms:created xsi:type="dcterms:W3CDTF">2020-04-07T01:28:00Z</dcterms:created>
  <dcterms:modified xsi:type="dcterms:W3CDTF">2020-04-07T01:28:00Z</dcterms:modified>
</cp:coreProperties>
</file>