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0" w:type="dxa"/>
        <w:tblLayout w:type="fixed"/>
        <w:tblLook w:val="04A0" w:firstRow="1" w:lastRow="0" w:firstColumn="1" w:lastColumn="0" w:noHBand="0" w:noVBand="1"/>
      </w:tblPr>
      <w:tblGrid>
        <w:gridCol w:w="1549"/>
        <w:gridCol w:w="997"/>
        <w:gridCol w:w="997"/>
        <w:gridCol w:w="997"/>
        <w:gridCol w:w="997"/>
        <w:gridCol w:w="997"/>
        <w:gridCol w:w="997"/>
        <w:gridCol w:w="2243"/>
        <w:gridCol w:w="6"/>
      </w:tblGrid>
      <w:tr w:rsidR="00276242" w14:paraId="5B28AC79" w14:textId="77777777" w:rsidTr="00C01AD8">
        <w:trPr>
          <w:trHeight w:val="680"/>
        </w:trPr>
        <w:tc>
          <w:tcPr>
            <w:tcW w:w="9780" w:type="dxa"/>
            <w:gridSpan w:val="9"/>
            <w:vAlign w:val="center"/>
          </w:tcPr>
          <w:p w14:paraId="6831D797" w14:textId="65392D18" w:rsidR="00276242" w:rsidRPr="00C01AD8" w:rsidRDefault="00276242" w:rsidP="0003093F">
            <w:pPr>
              <w:autoSpaceDE w:val="0"/>
              <w:autoSpaceDN w:val="0"/>
              <w:adjustRightInd w:val="0"/>
              <w:rPr>
                <w:rFonts w:ascii="Arial" w:hAnsi="Arial" w:cs="Arial"/>
                <w:b/>
                <w:bCs/>
                <w:lang w:val="en-GB"/>
              </w:rPr>
            </w:pPr>
            <w:r w:rsidRPr="00C01AD8">
              <w:rPr>
                <w:rFonts w:ascii="Arial" w:hAnsi="Arial" w:cs="Arial"/>
                <w:b/>
                <w:bCs/>
                <w:lang w:val="en-GB"/>
              </w:rPr>
              <w:t>Table S</w:t>
            </w:r>
            <w:r w:rsidR="00F51B70">
              <w:rPr>
                <w:rFonts w:ascii="Arial" w:hAnsi="Arial" w:cs="Arial"/>
                <w:b/>
                <w:bCs/>
                <w:lang w:val="en-GB"/>
              </w:rPr>
              <w:t>2</w:t>
            </w:r>
            <w:r w:rsidRPr="00C01AD8">
              <w:rPr>
                <w:rFonts w:ascii="Arial" w:hAnsi="Arial" w:cs="Arial"/>
                <w:b/>
                <w:bCs/>
                <w:lang w:val="en-GB"/>
              </w:rPr>
              <w:t>. Spatial and Temporal Variation in Risk Scores</w:t>
            </w:r>
          </w:p>
        </w:tc>
      </w:tr>
      <w:tr w:rsidR="00276242" w14:paraId="2D2D7E94" w14:textId="77777777" w:rsidTr="00C01AD8">
        <w:trPr>
          <w:gridAfter w:val="1"/>
          <w:wAfter w:w="6" w:type="dxa"/>
          <w:trHeight w:val="329"/>
        </w:trPr>
        <w:tc>
          <w:tcPr>
            <w:tcW w:w="1549" w:type="dxa"/>
            <w:vAlign w:val="center"/>
          </w:tcPr>
          <w:p w14:paraId="426D7805" w14:textId="77777777" w:rsidR="00276242" w:rsidRPr="00C01AD8" w:rsidRDefault="00276242" w:rsidP="0003093F">
            <w:pPr>
              <w:autoSpaceDE w:val="0"/>
              <w:autoSpaceDN w:val="0"/>
              <w:adjustRightInd w:val="0"/>
              <w:rPr>
                <w:rFonts w:ascii="Arial" w:hAnsi="Arial" w:cs="Arial"/>
                <w:lang w:val="en-GB"/>
              </w:rPr>
            </w:pPr>
          </w:p>
        </w:tc>
        <w:tc>
          <w:tcPr>
            <w:tcW w:w="997" w:type="dxa"/>
            <w:vAlign w:val="center"/>
          </w:tcPr>
          <w:p w14:paraId="7CA23E64" w14:textId="77777777" w:rsidR="00276242" w:rsidRDefault="00276242" w:rsidP="0003093F">
            <w:pPr>
              <w:autoSpaceDE w:val="0"/>
              <w:autoSpaceDN w:val="0"/>
              <w:adjustRightInd w:val="0"/>
              <w:jc w:val="center"/>
              <w:rPr>
                <w:rFonts w:ascii="Arial" w:hAnsi="Arial" w:cs="Arial"/>
              </w:rPr>
            </w:pPr>
            <w:r w:rsidRPr="00CD5831">
              <w:rPr>
                <w:rFonts w:ascii="Arial" w:hAnsi="Arial" w:cs="Arial"/>
                <w:b/>
                <w:bCs/>
              </w:rPr>
              <w:t>Min</w:t>
            </w:r>
          </w:p>
        </w:tc>
        <w:tc>
          <w:tcPr>
            <w:tcW w:w="997" w:type="dxa"/>
            <w:vAlign w:val="center"/>
          </w:tcPr>
          <w:p w14:paraId="774075B7" w14:textId="77777777" w:rsidR="00276242" w:rsidRDefault="00276242" w:rsidP="0003093F">
            <w:pPr>
              <w:autoSpaceDE w:val="0"/>
              <w:autoSpaceDN w:val="0"/>
              <w:adjustRightInd w:val="0"/>
              <w:jc w:val="center"/>
              <w:rPr>
                <w:rFonts w:ascii="Arial" w:hAnsi="Arial" w:cs="Arial"/>
              </w:rPr>
            </w:pPr>
            <w:r w:rsidRPr="00CD5831">
              <w:rPr>
                <w:rFonts w:ascii="Arial" w:hAnsi="Arial" w:cs="Arial"/>
                <w:b/>
                <w:bCs/>
              </w:rPr>
              <w:t>25th</w:t>
            </w:r>
          </w:p>
        </w:tc>
        <w:tc>
          <w:tcPr>
            <w:tcW w:w="997" w:type="dxa"/>
            <w:vAlign w:val="center"/>
          </w:tcPr>
          <w:p w14:paraId="7EF0E330" w14:textId="77777777" w:rsidR="00276242" w:rsidRDefault="00276242" w:rsidP="0003093F">
            <w:pPr>
              <w:autoSpaceDE w:val="0"/>
              <w:autoSpaceDN w:val="0"/>
              <w:adjustRightInd w:val="0"/>
              <w:jc w:val="center"/>
              <w:rPr>
                <w:rFonts w:ascii="Arial" w:hAnsi="Arial" w:cs="Arial"/>
              </w:rPr>
            </w:pPr>
            <w:proofErr w:type="spellStart"/>
            <w:r w:rsidRPr="00CD5831">
              <w:rPr>
                <w:rFonts w:ascii="Arial" w:hAnsi="Arial" w:cs="Arial"/>
                <w:b/>
                <w:bCs/>
              </w:rPr>
              <w:t>Median</w:t>
            </w:r>
            <w:proofErr w:type="spellEnd"/>
          </w:p>
        </w:tc>
        <w:tc>
          <w:tcPr>
            <w:tcW w:w="997" w:type="dxa"/>
            <w:vAlign w:val="center"/>
          </w:tcPr>
          <w:p w14:paraId="7A48B66C" w14:textId="77777777" w:rsidR="00276242" w:rsidRDefault="00276242" w:rsidP="0003093F">
            <w:pPr>
              <w:autoSpaceDE w:val="0"/>
              <w:autoSpaceDN w:val="0"/>
              <w:adjustRightInd w:val="0"/>
              <w:jc w:val="center"/>
              <w:rPr>
                <w:rFonts w:ascii="Arial" w:hAnsi="Arial" w:cs="Arial"/>
              </w:rPr>
            </w:pPr>
            <w:proofErr w:type="spellStart"/>
            <w:r w:rsidRPr="00CD5831">
              <w:rPr>
                <w:rFonts w:ascii="Arial" w:hAnsi="Arial" w:cs="Arial"/>
                <w:b/>
                <w:bCs/>
              </w:rPr>
              <w:t>Mean</w:t>
            </w:r>
            <w:proofErr w:type="spellEnd"/>
          </w:p>
        </w:tc>
        <w:tc>
          <w:tcPr>
            <w:tcW w:w="997" w:type="dxa"/>
            <w:vAlign w:val="center"/>
          </w:tcPr>
          <w:p w14:paraId="528B5587" w14:textId="77777777" w:rsidR="00276242" w:rsidRDefault="00276242" w:rsidP="0003093F">
            <w:pPr>
              <w:autoSpaceDE w:val="0"/>
              <w:autoSpaceDN w:val="0"/>
              <w:adjustRightInd w:val="0"/>
              <w:jc w:val="center"/>
              <w:rPr>
                <w:rFonts w:ascii="Arial" w:hAnsi="Arial" w:cs="Arial"/>
              </w:rPr>
            </w:pPr>
            <w:r w:rsidRPr="00CD5831">
              <w:rPr>
                <w:rFonts w:ascii="Arial" w:hAnsi="Arial" w:cs="Arial"/>
                <w:b/>
                <w:bCs/>
              </w:rPr>
              <w:t>75th</w:t>
            </w:r>
          </w:p>
        </w:tc>
        <w:tc>
          <w:tcPr>
            <w:tcW w:w="997" w:type="dxa"/>
            <w:vAlign w:val="center"/>
          </w:tcPr>
          <w:p w14:paraId="465D0578" w14:textId="77777777" w:rsidR="00276242" w:rsidRDefault="00276242" w:rsidP="0003093F">
            <w:pPr>
              <w:autoSpaceDE w:val="0"/>
              <w:autoSpaceDN w:val="0"/>
              <w:adjustRightInd w:val="0"/>
              <w:jc w:val="center"/>
              <w:rPr>
                <w:rFonts w:ascii="Arial" w:hAnsi="Arial" w:cs="Arial"/>
              </w:rPr>
            </w:pPr>
            <w:r w:rsidRPr="00CD5831">
              <w:rPr>
                <w:rFonts w:ascii="Arial" w:hAnsi="Arial" w:cs="Arial"/>
                <w:b/>
                <w:bCs/>
              </w:rPr>
              <w:t>Max</w:t>
            </w:r>
          </w:p>
        </w:tc>
        <w:tc>
          <w:tcPr>
            <w:tcW w:w="2243" w:type="dxa"/>
            <w:vAlign w:val="center"/>
          </w:tcPr>
          <w:p w14:paraId="79A795DF" w14:textId="77777777" w:rsidR="00276242" w:rsidRDefault="00276242" w:rsidP="0003093F">
            <w:pPr>
              <w:autoSpaceDE w:val="0"/>
              <w:autoSpaceDN w:val="0"/>
              <w:adjustRightInd w:val="0"/>
              <w:jc w:val="center"/>
              <w:rPr>
                <w:rFonts w:ascii="Arial" w:hAnsi="Arial" w:cs="Arial"/>
              </w:rPr>
            </w:pPr>
            <w:proofErr w:type="spellStart"/>
            <w:r w:rsidRPr="00CD5831">
              <w:rPr>
                <w:rFonts w:ascii="Arial" w:hAnsi="Arial" w:cs="Arial"/>
                <w:b/>
                <w:bCs/>
              </w:rPr>
              <w:t>StandardDeviation</w:t>
            </w:r>
            <w:proofErr w:type="spellEnd"/>
          </w:p>
        </w:tc>
      </w:tr>
      <w:tr w:rsidR="00276242" w14:paraId="42E5B4E6" w14:textId="77777777" w:rsidTr="00C01AD8">
        <w:trPr>
          <w:gridAfter w:val="1"/>
          <w:wAfter w:w="6" w:type="dxa"/>
          <w:trHeight w:val="658"/>
        </w:trPr>
        <w:tc>
          <w:tcPr>
            <w:tcW w:w="1549" w:type="dxa"/>
            <w:vAlign w:val="center"/>
          </w:tcPr>
          <w:p w14:paraId="455DC344" w14:textId="77777777" w:rsidR="00276242" w:rsidRPr="00CD5831" w:rsidRDefault="00276242" w:rsidP="0003093F">
            <w:pPr>
              <w:autoSpaceDE w:val="0"/>
              <w:autoSpaceDN w:val="0"/>
              <w:adjustRightInd w:val="0"/>
              <w:rPr>
                <w:rFonts w:ascii="Arial" w:hAnsi="Arial" w:cs="Arial"/>
                <w:b/>
                <w:bCs/>
              </w:rPr>
            </w:pPr>
            <w:proofErr w:type="spellStart"/>
            <w:r w:rsidRPr="00CD5831">
              <w:rPr>
                <w:rFonts w:ascii="Arial" w:hAnsi="Arial" w:cs="Arial"/>
                <w:b/>
                <w:bCs/>
              </w:rPr>
              <w:t>Spatial</w:t>
            </w:r>
            <w:proofErr w:type="spellEnd"/>
            <w:r w:rsidRPr="00CD5831">
              <w:rPr>
                <w:rFonts w:ascii="Arial" w:hAnsi="Arial" w:cs="Arial"/>
                <w:b/>
                <w:bCs/>
              </w:rPr>
              <w:t xml:space="preserve"> </w:t>
            </w:r>
            <w:proofErr w:type="spellStart"/>
            <w:r w:rsidRPr="00CD5831">
              <w:rPr>
                <w:rFonts w:ascii="Arial" w:hAnsi="Arial" w:cs="Arial"/>
                <w:b/>
                <w:bCs/>
              </w:rPr>
              <w:t>Variation</w:t>
            </w:r>
            <w:proofErr w:type="spellEnd"/>
          </w:p>
        </w:tc>
        <w:tc>
          <w:tcPr>
            <w:tcW w:w="997" w:type="dxa"/>
            <w:vAlign w:val="center"/>
          </w:tcPr>
          <w:p w14:paraId="3918D6D4" w14:textId="77777777" w:rsidR="00276242" w:rsidRDefault="00276242" w:rsidP="0003093F">
            <w:pPr>
              <w:autoSpaceDE w:val="0"/>
              <w:autoSpaceDN w:val="0"/>
              <w:adjustRightInd w:val="0"/>
              <w:jc w:val="center"/>
              <w:rPr>
                <w:rFonts w:ascii="Arial" w:hAnsi="Arial" w:cs="Arial"/>
              </w:rPr>
            </w:pPr>
            <w:r>
              <w:rPr>
                <w:rFonts w:ascii="Arial" w:hAnsi="Arial" w:cs="Arial"/>
              </w:rPr>
              <w:t>0.00</w:t>
            </w:r>
          </w:p>
        </w:tc>
        <w:tc>
          <w:tcPr>
            <w:tcW w:w="997" w:type="dxa"/>
            <w:vAlign w:val="center"/>
          </w:tcPr>
          <w:p w14:paraId="08F655AA" w14:textId="77777777" w:rsidR="00276242" w:rsidRDefault="00276242" w:rsidP="0003093F">
            <w:pPr>
              <w:autoSpaceDE w:val="0"/>
              <w:autoSpaceDN w:val="0"/>
              <w:adjustRightInd w:val="0"/>
              <w:jc w:val="center"/>
              <w:rPr>
                <w:rFonts w:ascii="Arial" w:hAnsi="Arial" w:cs="Arial"/>
              </w:rPr>
            </w:pPr>
            <w:r>
              <w:rPr>
                <w:rFonts w:ascii="Arial" w:hAnsi="Arial" w:cs="Arial"/>
              </w:rPr>
              <w:t>0.55</w:t>
            </w:r>
          </w:p>
        </w:tc>
        <w:tc>
          <w:tcPr>
            <w:tcW w:w="997" w:type="dxa"/>
            <w:vAlign w:val="center"/>
          </w:tcPr>
          <w:p w14:paraId="6D411BA5" w14:textId="77777777" w:rsidR="00276242" w:rsidRDefault="00276242" w:rsidP="0003093F">
            <w:pPr>
              <w:autoSpaceDE w:val="0"/>
              <w:autoSpaceDN w:val="0"/>
              <w:adjustRightInd w:val="0"/>
              <w:jc w:val="center"/>
              <w:rPr>
                <w:rFonts w:ascii="Arial" w:hAnsi="Arial" w:cs="Arial"/>
              </w:rPr>
            </w:pPr>
            <w:r>
              <w:rPr>
                <w:rFonts w:ascii="Arial" w:hAnsi="Arial" w:cs="Arial"/>
              </w:rPr>
              <w:t>0.85</w:t>
            </w:r>
          </w:p>
        </w:tc>
        <w:tc>
          <w:tcPr>
            <w:tcW w:w="997" w:type="dxa"/>
            <w:vAlign w:val="center"/>
          </w:tcPr>
          <w:p w14:paraId="75CE6E51" w14:textId="77777777" w:rsidR="00276242" w:rsidRDefault="00276242" w:rsidP="0003093F">
            <w:pPr>
              <w:autoSpaceDE w:val="0"/>
              <w:autoSpaceDN w:val="0"/>
              <w:adjustRightInd w:val="0"/>
              <w:jc w:val="center"/>
              <w:rPr>
                <w:rFonts w:ascii="Arial" w:hAnsi="Arial" w:cs="Arial"/>
              </w:rPr>
            </w:pPr>
            <w:r>
              <w:rPr>
                <w:rFonts w:ascii="Arial" w:hAnsi="Arial" w:cs="Arial"/>
              </w:rPr>
              <w:t>1.04</w:t>
            </w:r>
          </w:p>
        </w:tc>
        <w:tc>
          <w:tcPr>
            <w:tcW w:w="997" w:type="dxa"/>
            <w:vAlign w:val="center"/>
          </w:tcPr>
          <w:p w14:paraId="0B6B107E" w14:textId="77777777" w:rsidR="00276242" w:rsidRDefault="00276242" w:rsidP="0003093F">
            <w:pPr>
              <w:autoSpaceDE w:val="0"/>
              <w:autoSpaceDN w:val="0"/>
              <w:adjustRightInd w:val="0"/>
              <w:jc w:val="center"/>
              <w:rPr>
                <w:rFonts w:ascii="Arial" w:hAnsi="Arial" w:cs="Arial"/>
              </w:rPr>
            </w:pPr>
            <w:r>
              <w:rPr>
                <w:rFonts w:ascii="Arial" w:hAnsi="Arial" w:cs="Arial"/>
              </w:rPr>
              <w:t>1.46</w:t>
            </w:r>
          </w:p>
        </w:tc>
        <w:tc>
          <w:tcPr>
            <w:tcW w:w="997" w:type="dxa"/>
            <w:vAlign w:val="center"/>
          </w:tcPr>
          <w:p w14:paraId="25645704" w14:textId="77777777" w:rsidR="00276242" w:rsidRDefault="00276242" w:rsidP="0003093F">
            <w:pPr>
              <w:autoSpaceDE w:val="0"/>
              <w:autoSpaceDN w:val="0"/>
              <w:adjustRightInd w:val="0"/>
              <w:jc w:val="center"/>
              <w:rPr>
                <w:rFonts w:ascii="Arial" w:hAnsi="Arial" w:cs="Arial"/>
              </w:rPr>
            </w:pPr>
            <w:r>
              <w:rPr>
                <w:rFonts w:ascii="Arial" w:hAnsi="Arial" w:cs="Arial"/>
              </w:rPr>
              <w:t>3.32</w:t>
            </w:r>
          </w:p>
        </w:tc>
        <w:tc>
          <w:tcPr>
            <w:tcW w:w="2243" w:type="dxa"/>
            <w:vAlign w:val="center"/>
          </w:tcPr>
          <w:p w14:paraId="156AF27F" w14:textId="77777777" w:rsidR="00276242" w:rsidRDefault="00276242" w:rsidP="0003093F">
            <w:pPr>
              <w:autoSpaceDE w:val="0"/>
              <w:autoSpaceDN w:val="0"/>
              <w:adjustRightInd w:val="0"/>
              <w:jc w:val="center"/>
              <w:rPr>
                <w:rFonts w:ascii="Arial" w:hAnsi="Arial" w:cs="Arial"/>
              </w:rPr>
            </w:pPr>
            <w:r>
              <w:rPr>
                <w:rFonts w:ascii="Arial" w:hAnsi="Arial" w:cs="Arial"/>
              </w:rPr>
              <w:t>1.22</w:t>
            </w:r>
          </w:p>
        </w:tc>
      </w:tr>
      <w:tr w:rsidR="00276242" w14:paraId="535C37F3" w14:textId="77777777" w:rsidTr="00C01AD8">
        <w:trPr>
          <w:gridAfter w:val="1"/>
          <w:wAfter w:w="6" w:type="dxa"/>
          <w:trHeight w:val="658"/>
        </w:trPr>
        <w:tc>
          <w:tcPr>
            <w:tcW w:w="1549" w:type="dxa"/>
            <w:vAlign w:val="center"/>
          </w:tcPr>
          <w:p w14:paraId="0159AF54" w14:textId="77777777" w:rsidR="00276242" w:rsidRPr="00CD5831" w:rsidRDefault="00276242" w:rsidP="0003093F">
            <w:pPr>
              <w:autoSpaceDE w:val="0"/>
              <w:autoSpaceDN w:val="0"/>
              <w:adjustRightInd w:val="0"/>
              <w:rPr>
                <w:rFonts w:ascii="Arial" w:hAnsi="Arial" w:cs="Arial"/>
                <w:b/>
                <w:bCs/>
              </w:rPr>
            </w:pPr>
            <w:proofErr w:type="spellStart"/>
            <w:r w:rsidRPr="00CD5831">
              <w:rPr>
                <w:rFonts w:ascii="Arial" w:hAnsi="Arial" w:cs="Arial"/>
                <w:b/>
                <w:bCs/>
              </w:rPr>
              <w:t>Temporal</w:t>
            </w:r>
            <w:proofErr w:type="spellEnd"/>
            <w:r w:rsidRPr="00CD5831">
              <w:rPr>
                <w:rFonts w:ascii="Arial" w:hAnsi="Arial" w:cs="Arial"/>
                <w:b/>
                <w:bCs/>
              </w:rPr>
              <w:t xml:space="preserve"> </w:t>
            </w:r>
            <w:proofErr w:type="spellStart"/>
            <w:r w:rsidRPr="00CD5831">
              <w:rPr>
                <w:rFonts w:ascii="Arial" w:hAnsi="Arial" w:cs="Arial"/>
                <w:b/>
                <w:bCs/>
              </w:rPr>
              <w:t>Variation</w:t>
            </w:r>
            <w:proofErr w:type="spellEnd"/>
          </w:p>
        </w:tc>
        <w:tc>
          <w:tcPr>
            <w:tcW w:w="997" w:type="dxa"/>
            <w:vAlign w:val="center"/>
          </w:tcPr>
          <w:p w14:paraId="68A7DFD6" w14:textId="77777777" w:rsidR="00276242" w:rsidRDefault="00276242" w:rsidP="0003093F">
            <w:pPr>
              <w:autoSpaceDE w:val="0"/>
              <w:autoSpaceDN w:val="0"/>
              <w:adjustRightInd w:val="0"/>
              <w:jc w:val="center"/>
              <w:rPr>
                <w:rFonts w:ascii="Arial" w:hAnsi="Arial" w:cs="Arial"/>
              </w:rPr>
            </w:pPr>
            <w:r>
              <w:rPr>
                <w:rFonts w:ascii="Arial" w:hAnsi="Arial" w:cs="Arial"/>
              </w:rPr>
              <w:t>0.00</w:t>
            </w:r>
          </w:p>
        </w:tc>
        <w:tc>
          <w:tcPr>
            <w:tcW w:w="997" w:type="dxa"/>
            <w:vAlign w:val="center"/>
          </w:tcPr>
          <w:p w14:paraId="0B430909" w14:textId="77777777" w:rsidR="00276242" w:rsidRDefault="00276242" w:rsidP="0003093F">
            <w:pPr>
              <w:autoSpaceDE w:val="0"/>
              <w:autoSpaceDN w:val="0"/>
              <w:adjustRightInd w:val="0"/>
              <w:jc w:val="center"/>
              <w:rPr>
                <w:rFonts w:ascii="Arial" w:hAnsi="Arial" w:cs="Arial"/>
              </w:rPr>
            </w:pPr>
            <w:r>
              <w:rPr>
                <w:rFonts w:ascii="Arial" w:hAnsi="Arial" w:cs="Arial"/>
              </w:rPr>
              <w:t>0.45</w:t>
            </w:r>
          </w:p>
        </w:tc>
        <w:tc>
          <w:tcPr>
            <w:tcW w:w="997" w:type="dxa"/>
            <w:vAlign w:val="center"/>
          </w:tcPr>
          <w:p w14:paraId="25BE599D" w14:textId="77777777" w:rsidR="00276242" w:rsidRDefault="00276242" w:rsidP="0003093F">
            <w:pPr>
              <w:autoSpaceDE w:val="0"/>
              <w:autoSpaceDN w:val="0"/>
              <w:adjustRightInd w:val="0"/>
              <w:jc w:val="center"/>
              <w:rPr>
                <w:rFonts w:ascii="Arial" w:hAnsi="Arial" w:cs="Arial"/>
              </w:rPr>
            </w:pPr>
            <w:r>
              <w:rPr>
                <w:rFonts w:ascii="Arial" w:hAnsi="Arial" w:cs="Arial"/>
              </w:rPr>
              <w:t>0.65</w:t>
            </w:r>
          </w:p>
        </w:tc>
        <w:tc>
          <w:tcPr>
            <w:tcW w:w="997" w:type="dxa"/>
            <w:vAlign w:val="center"/>
          </w:tcPr>
          <w:p w14:paraId="1280B07C" w14:textId="77777777" w:rsidR="00276242" w:rsidRDefault="00276242" w:rsidP="0003093F">
            <w:pPr>
              <w:autoSpaceDE w:val="0"/>
              <w:autoSpaceDN w:val="0"/>
              <w:adjustRightInd w:val="0"/>
              <w:jc w:val="center"/>
              <w:rPr>
                <w:rFonts w:ascii="Arial" w:hAnsi="Arial" w:cs="Arial"/>
              </w:rPr>
            </w:pPr>
            <w:r>
              <w:rPr>
                <w:rFonts w:ascii="Arial" w:hAnsi="Arial" w:cs="Arial"/>
              </w:rPr>
              <w:t>0.80</w:t>
            </w:r>
          </w:p>
        </w:tc>
        <w:tc>
          <w:tcPr>
            <w:tcW w:w="997" w:type="dxa"/>
            <w:vAlign w:val="center"/>
          </w:tcPr>
          <w:p w14:paraId="6DFF2D5B" w14:textId="77777777" w:rsidR="00276242" w:rsidRDefault="00276242" w:rsidP="0003093F">
            <w:pPr>
              <w:autoSpaceDE w:val="0"/>
              <w:autoSpaceDN w:val="0"/>
              <w:adjustRightInd w:val="0"/>
              <w:jc w:val="center"/>
              <w:rPr>
                <w:rFonts w:ascii="Arial" w:hAnsi="Arial" w:cs="Arial"/>
              </w:rPr>
            </w:pPr>
            <w:r>
              <w:rPr>
                <w:rFonts w:ascii="Arial" w:hAnsi="Arial" w:cs="Arial"/>
              </w:rPr>
              <w:t>1.03</w:t>
            </w:r>
          </w:p>
        </w:tc>
        <w:tc>
          <w:tcPr>
            <w:tcW w:w="997" w:type="dxa"/>
            <w:vAlign w:val="center"/>
          </w:tcPr>
          <w:p w14:paraId="717BF19E" w14:textId="77777777" w:rsidR="00276242" w:rsidRDefault="00276242" w:rsidP="0003093F">
            <w:pPr>
              <w:autoSpaceDE w:val="0"/>
              <w:autoSpaceDN w:val="0"/>
              <w:adjustRightInd w:val="0"/>
              <w:jc w:val="center"/>
              <w:rPr>
                <w:rFonts w:ascii="Arial" w:hAnsi="Arial" w:cs="Arial"/>
              </w:rPr>
            </w:pPr>
            <w:r>
              <w:rPr>
                <w:rFonts w:ascii="Arial" w:hAnsi="Arial" w:cs="Arial"/>
              </w:rPr>
              <w:t>2.43</w:t>
            </w:r>
          </w:p>
        </w:tc>
        <w:tc>
          <w:tcPr>
            <w:tcW w:w="2243" w:type="dxa"/>
            <w:vAlign w:val="center"/>
          </w:tcPr>
          <w:p w14:paraId="3AF13A74" w14:textId="5D83EB07" w:rsidR="00276242" w:rsidRDefault="00276242" w:rsidP="0003093F">
            <w:pPr>
              <w:autoSpaceDE w:val="0"/>
              <w:autoSpaceDN w:val="0"/>
              <w:adjustRightInd w:val="0"/>
              <w:jc w:val="center"/>
              <w:rPr>
                <w:rFonts w:ascii="Arial" w:hAnsi="Arial" w:cs="Arial"/>
              </w:rPr>
            </w:pPr>
            <w:r>
              <w:rPr>
                <w:rFonts w:ascii="Arial" w:hAnsi="Arial" w:cs="Arial"/>
              </w:rPr>
              <w:t>0.4</w:t>
            </w:r>
            <w:r w:rsidR="00E5060F">
              <w:rPr>
                <w:rFonts w:ascii="Arial" w:hAnsi="Arial" w:cs="Arial"/>
              </w:rPr>
              <w:t>1</w:t>
            </w:r>
          </w:p>
        </w:tc>
      </w:tr>
      <w:tr w:rsidR="00276242" w14:paraId="5F477A17" w14:textId="77777777" w:rsidTr="00C01AD8">
        <w:trPr>
          <w:trHeight w:val="1190"/>
        </w:trPr>
        <w:tc>
          <w:tcPr>
            <w:tcW w:w="9780" w:type="dxa"/>
            <w:gridSpan w:val="9"/>
            <w:vAlign w:val="center"/>
          </w:tcPr>
          <w:p w14:paraId="13DB4DE1" w14:textId="77777777" w:rsidR="00276242" w:rsidRPr="00C01AD8" w:rsidRDefault="00276242" w:rsidP="0003093F">
            <w:pPr>
              <w:autoSpaceDE w:val="0"/>
              <w:autoSpaceDN w:val="0"/>
              <w:adjustRightInd w:val="0"/>
              <w:rPr>
                <w:rFonts w:ascii="Arial" w:hAnsi="Arial" w:cs="Arial"/>
                <w:lang w:val="en-GB"/>
              </w:rPr>
            </w:pPr>
            <w:r w:rsidRPr="00CD5831">
              <w:rPr>
                <w:rFonts w:ascii="Arial" w:hAnsi="Arial" w:cs="Arial"/>
                <w:sz w:val="20"/>
                <w:szCs w:val="20"/>
                <w:lang w:val="en-US"/>
              </w:rPr>
              <w:t xml:space="preserve">Linear Mixed Model was used to model temporal and spatial variations for risk scores across all patients. </w:t>
            </w:r>
            <w:r w:rsidRPr="00C01AD8">
              <w:rPr>
                <w:rFonts w:ascii="Arial" w:hAnsi="Arial" w:cs="Arial"/>
                <w:sz w:val="20"/>
                <w:szCs w:val="20"/>
                <w:lang w:val="en-GB"/>
              </w:rPr>
              <w:t>The spatial variation was calculated by estimating the standard deviation of risk scores from individual biopsy levels. The temporal variation was calculated by estimating the standard deviation of the highest risk score per endoscopy when considering the baseline and pre-baseline endoscopies.</w:t>
            </w:r>
          </w:p>
        </w:tc>
      </w:tr>
    </w:tbl>
    <w:p w14:paraId="033615EC" w14:textId="77777777" w:rsidR="00FD656C" w:rsidRDefault="00FD656C">
      <w:bookmarkStart w:id="0" w:name="_GoBack"/>
      <w:bookmarkEnd w:id="0"/>
    </w:p>
    <w:sectPr w:rsidR="00FD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20"/>
    <w:rsid w:val="001045C1"/>
    <w:rsid w:val="00117696"/>
    <w:rsid w:val="00276242"/>
    <w:rsid w:val="002C6C17"/>
    <w:rsid w:val="003F1438"/>
    <w:rsid w:val="007171EA"/>
    <w:rsid w:val="007C4B49"/>
    <w:rsid w:val="007E54D3"/>
    <w:rsid w:val="007F730A"/>
    <w:rsid w:val="008225E1"/>
    <w:rsid w:val="00893D33"/>
    <w:rsid w:val="00B314EA"/>
    <w:rsid w:val="00BD7D0E"/>
    <w:rsid w:val="00C01AD8"/>
    <w:rsid w:val="00C32912"/>
    <w:rsid w:val="00DB25CE"/>
    <w:rsid w:val="00DE6C20"/>
    <w:rsid w:val="00E50019"/>
    <w:rsid w:val="00E5060F"/>
    <w:rsid w:val="00EB1A9D"/>
    <w:rsid w:val="00EF3B07"/>
    <w:rsid w:val="00F51B70"/>
    <w:rsid w:val="00FA4311"/>
    <w:rsid w:val="00FD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56C4"/>
  <w15:chartTrackingRefBased/>
  <w15:docId w15:val="{A2251691-F7CB-49F4-963F-93B93AE3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C2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20"/>
    <w:rPr>
      <w:rFonts w:ascii="Segoe UI" w:hAnsi="Segoe UI" w:cs="Segoe UI"/>
      <w:sz w:val="18"/>
      <w:szCs w:val="18"/>
    </w:rPr>
  </w:style>
  <w:style w:type="character" w:styleId="CommentReference">
    <w:name w:val="annotation reference"/>
    <w:basedOn w:val="DefaultParagraphFont"/>
    <w:uiPriority w:val="99"/>
    <w:semiHidden/>
    <w:unhideWhenUsed/>
    <w:rsid w:val="008225E1"/>
    <w:rPr>
      <w:sz w:val="16"/>
      <w:szCs w:val="16"/>
    </w:rPr>
  </w:style>
  <w:style w:type="paragraph" w:styleId="CommentText">
    <w:name w:val="annotation text"/>
    <w:basedOn w:val="Normal"/>
    <w:link w:val="CommentTextChar"/>
    <w:uiPriority w:val="99"/>
    <w:semiHidden/>
    <w:unhideWhenUsed/>
    <w:rsid w:val="008225E1"/>
    <w:pPr>
      <w:spacing w:line="240" w:lineRule="auto"/>
    </w:pPr>
    <w:rPr>
      <w:sz w:val="20"/>
      <w:szCs w:val="20"/>
    </w:rPr>
  </w:style>
  <w:style w:type="character" w:customStyle="1" w:styleId="CommentTextChar">
    <w:name w:val="Comment Text Char"/>
    <w:basedOn w:val="DefaultParagraphFont"/>
    <w:link w:val="CommentText"/>
    <w:uiPriority w:val="99"/>
    <w:semiHidden/>
    <w:rsid w:val="008225E1"/>
    <w:rPr>
      <w:sz w:val="20"/>
      <w:szCs w:val="20"/>
    </w:rPr>
  </w:style>
  <w:style w:type="paragraph" w:styleId="CommentSubject">
    <w:name w:val="annotation subject"/>
    <w:basedOn w:val="CommentText"/>
    <w:next w:val="CommentText"/>
    <w:link w:val="CommentSubjectChar"/>
    <w:uiPriority w:val="99"/>
    <w:semiHidden/>
    <w:unhideWhenUsed/>
    <w:rsid w:val="008225E1"/>
    <w:rPr>
      <w:b/>
      <w:bCs/>
    </w:rPr>
  </w:style>
  <w:style w:type="character" w:customStyle="1" w:styleId="CommentSubjectChar">
    <w:name w:val="Comment Subject Char"/>
    <w:basedOn w:val="CommentTextChar"/>
    <w:link w:val="CommentSubject"/>
    <w:uiPriority w:val="99"/>
    <w:semiHidden/>
    <w:rsid w:val="008225E1"/>
    <w:rPr>
      <w:b/>
      <w:bCs/>
      <w:sz w:val="20"/>
      <w:szCs w:val="20"/>
    </w:rPr>
  </w:style>
  <w:style w:type="paragraph" w:styleId="Revision">
    <w:name w:val="Revision"/>
    <w:hidden/>
    <w:uiPriority w:val="99"/>
    <w:semiHidden/>
    <w:rsid w:val="00EB1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Critchley-Thorne</dc:creator>
  <cp:keywords/>
  <dc:description/>
  <cp:lastModifiedBy>Frei, N.F. (N.F.)</cp:lastModifiedBy>
  <cp:revision>3</cp:revision>
  <dcterms:created xsi:type="dcterms:W3CDTF">2020-02-27T07:40:00Z</dcterms:created>
  <dcterms:modified xsi:type="dcterms:W3CDTF">2020-02-27T07:41:00Z</dcterms:modified>
</cp:coreProperties>
</file>