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44DB" w14:textId="77777777" w:rsidR="00B75A4E" w:rsidRDefault="00B75A4E">
      <w:pPr>
        <w:rPr>
          <w:lang w:val="en-US"/>
        </w:rPr>
      </w:pPr>
    </w:p>
    <w:tbl>
      <w:tblPr>
        <w:tblW w:w="90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716"/>
        <w:gridCol w:w="1029"/>
        <w:gridCol w:w="1639"/>
        <w:gridCol w:w="725"/>
        <w:gridCol w:w="810"/>
        <w:gridCol w:w="929"/>
        <w:gridCol w:w="877"/>
        <w:gridCol w:w="1180"/>
        <w:gridCol w:w="146"/>
      </w:tblGrid>
      <w:tr w:rsidR="00EA7FED" w:rsidRPr="00EA7FED" w14:paraId="7512B972" w14:textId="77777777" w:rsidTr="002C5E83">
        <w:trPr>
          <w:trHeight w:val="322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F8DBF1F" w14:textId="4CB0355E" w:rsidR="00EA7FED" w:rsidRPr="00EA7FED" w:rsidRDefault="00EA7FED" w:rsidP="00F73539">
            <w:r w:rsidRPr="00EA7FED">
              <w:rPr>
                <w:b/>
                <w:bCs/>
              </w:rPr>
              <w:t xml:space="preserve">Initial </w:t>
            </w:r>
            <w:r w:rsidR="00F73539">
              <w:rPr>
                <w:b/>
                <w:bCs/>
              </w:rPr>
              <w:t>GPL</w:t>
            </w:r>
          </w:p>
        </w:tc>
        <w:tc>
          <w:tcPr>
            <w:tcW w:w="7335" w:type="dxa"/>
            <w:gridSpan w:val="8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E9D811" w14:textId="4E4330D0" w:rsidR="00EA7FED" w:rsidRPr="00EA7FED" w:rsidRDefault="00EA7FED" w:rsidP="00F73539">
            <w:pPr>
              <w:jc w:val="center"/>
            </w:pPr>
            <w:r w:rsidRPr="00EA7FED">
              <w:rPr>
                <w:b/>
                <w:bCs/>
              </w:rPr>
              <w:t xml:space="preserve">Final </w:t>
            </w:r>
            <w:r w:rsidR="00F73539">
              <w:rPr>
                <w:b/>
                <w:bCs/>
              </w:rPr>
              <w:t>GPL</w:t>
            </w:r>
          </w:p>
        </w:tc>
      </w:tr>
      <w:tr w:rsidR="00EA7FED" w:rsidRPr="00EA7FED" w14:paraId="3874AE7A" w14:textId="77777777" w:rsidTr="002C5E83">
        <w:trPr>
          <w:gridAfter w:val="1"/>
          <w:wAfter w:w="146" w:type="dxa"/>
          <w:trHeight w:val="378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61503C" w14:textId="77777777" w:rsidR="00EA7FED" w:rsidRPr="00EA7FED" w:rsidRDefault="00EA7FED" w:rsidP="00EA7FED"/>
        </w:tc>
        <w:tc>
          <w:tcPr>
            <w:tcW w:w="10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4FF786" w14:textId="217E2003" w:rsidR="00EA7FED" w:rsidRPr="00EA7FED" w:rsidRDefault="00EA7FED" w:rsidP="00EA7FED">
            <w:pPr>
              <w:jc w:val="center"/>
            </w:pPr>
            <w:r w:rsidRPr="00EA7FED">
              <w:t>No</w:t>
            </w:r>
            <w:r w:rsidR="00610F5A">
              <w:t xml:space="preserve">rmal </w:t>
            </w:r>
          </w:p>
        </w:tc>
        <w:tc>
          <w:tcPr>
            <w:tcW w:w="16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D78E78" w14:textId="6FEEA97E" w:rsidR="00EA7FED" w:rsidRPr="00EA7FED" w:rsidRDefault="00EA7FED" w:rsidP="00610F5A">
            <w:pPr>
              <w:jc w:val="center"/>
            </w:pPr>
            <w:r w:rsidRPr="00EA7FED">
              <w:t>S</w:t>
            </w:r>
            <w:r w:rsidR="00610F5A">
              <w:t>G</w:t>
            </w:r>
          </w:p>
        </w:tc>
        <w:tc>
          <w:tcPr>
            <w:tcW w:w="7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8173AD" w14:textId="77777777" w:rsidR="00EA7FED" w:rsidRPr="00EA7FED" w:rsidRDefault="00EA7FED" w:rsidP="00EA7FED">
            <w:pPr>
              <w:jc w:val="center"/>
            </w:pPr>
            <w:r w:rsidRPr="00EA7FED">
              <w:t>AG</w:t>
            </w:r>
          </w:p>
        </w:tc>
        <w:tc>
          <w:tcPr>
            <w:tcW w:w="8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3F84C6" w14:textId="77777777" w:rsidR="00EA7FED" w:rsidRPr="00EA7FED" w:rsidRDefault="00EA7FED" w:rsidP="00EA7FED">
            <w:pPr>
              <w:jc w:val="center"/>
            </w:pPr>
            <w:r w:rsidRPr="00EA7FED">
              <w:t>IM</w:t>
            </w:r>
          </w:p>
        </w:tc>
        <w:tc>
          <w:tcPr>
            <w:tcW w:w="9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D559FF" w14:textId="77777777" w:rsidR="00EA7FED" w:rsidRPr="00EA7FED" w:rsidRDefault="00EA7FED" w:rsidP="00EA7FED">
            <w:pPr>
              <w:jc w:val="center"/>
            </w:pPr>
            <w:r w:rsidRPr="00EA7FED">
              <w:t>LGD</w:t>
            </w:r>
          </w:p>
        </w:tc>
        <w:tc>
          <w:tcPr>
            <w:tcW w:w="87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EA8312" w14:textId="77777777" w:rsidR="00EA7FED" w:rsidRPr="00EA7FED" w:rsidRDefault="00EA7FED" w:rsidP="00EA7FED">
            <w:pPr>
              <w:jc w:val="center"/>
            </w:pPr>
            <w:r w:rsidRPr="00EA7FED">
              <w:t>HGD</w:t>
            </w:r>
          </w:p>
        </w:tc>
        <w:tc>
          <w:tcPr>
            <w:tcW w:w="11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B337E9" w14:textId="77777777" w:rsidR="00EA7FED" w:rsidRPr="00EA7FED" w:rsidRDefault="00EA7FED" w:rsidP="00EA7FED">
            <w:pPr>
              <w:jc w:val="center"/>
            </w:pPr>
            <w:r w:rsidRPr="00EA7FED">
              <w:t>Cancer</w:t>
            </w:r>
          </w:p>
        </w:tc>
      </w:tr>
      <w:tr w:rsidR="00EA7FED" w:rsidRPr="00EA7FED" w14:paraId="2E68A49D" w14:textId="77777777" w:rsidTr="000926BF">
        <w:trPr>
          <w:gridAfter w:val="1"/>
          <w:wAfter w:w="146" w:type="dxa"/>
          <w:trHeight w:val="366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564713" w14:textId="77777777" w:rsidR="00EA7FED" w:rsidRPr="00EA7FED" w:rsidRDefault="00EA7FED" w:rsidP="00EA7FED">
            <w:r w:rsidRPr="00EA7FED">
              <w:t>AG n=9</w:t>
            </w:r>
          </w:p>
        </w:tc>
        <w:tc>
          <w:tcPr>
            <w:tcW w:w="10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F18C0D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  <w:tc>
          <w:tcPr>
            <w:tcW w:w="16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96BB24" w14:textId="77777777" w:rsidR="00EA7FED" w:rsidRPr="00EA7FED" w:rsidRDefault="00EA7FED" w:rsidP="00EA7FED">
            <w:pPr>
              <w:jc w:val="center"/>
            </w:pPr>
            <w:r w:rsidRPr="00EA7FED">
              <w:t>3</w:t>
            </w:r>
          </w:p>
        </w:tc>
        <w:tc>
          <w:tcPr>
            <w:tcW w:w="7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964DEA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  <w:tc>
          <w:tcPr>
            <w:tcW w:w="8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37CAD3" w14:textId="77777777" w:rsidR="00EA7FED" w:rsidRPr="00EA7FED" w:rsidRDefault="00EA7FED" w:rsidP="00EA7FED">
            <w:pPr>
              <w:jc w:val="center"/>
            </w:pPr>
            <w:r w:rsidRPr="00EA7FED">
              <w:t>4</w:t>
            </w:r>
          </w:p>
        </w:tc>
        <w:tc>
          <w:tcPr>
            <w:tcW w:w="9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6CB8B3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87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F67FC6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11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90931C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</w:tr>
      <w:tr w:rsidR="00EA7FED" w:rsidRPr="00EA7FED" w14:paraId="54EF30A4" w14:textId="77777777" w:rsidTr="000926BF">
        <w:trPr>
          <w:gridAfter w:val="1"/>
          <w:wAfter w:w="146" w:type="dxa"/>
          <w:trHeight w:val="366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F7FF638" w14:textId="77777777" w:rsidR="00EA7FED" w:rsidRPr="00EA7FED" w:rsidRDefault="00EA7FED" w:rsidP="00EA7FED">
            <w:r w:rsidRPr="00EA7FED">
              <w:t>IM n=195</w:t>
            </w:r>
          </w:p>
        </w:tc>
        <w:tc>
          <w:tcPr>
            <w:tcW w:w="10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15C4B7" w14:textId="1DC67F02" w:rsidR="00EA7FED" w:rsidRPr="00EA7FED" w:rsidRDefault="00EA7FED" w:rsidP="00EA7FED">
            <w:pPr>
              <w:jc w:val="center"/>
            </w:pPr>
            <w:r w:rsidRPr="00EA7FED">
              <w:t>1</w:t>
            </w:r>
            <w:r w:rsidR="00E61D57">
              <w:t>4</w:t>
            </w:r>
          </w:p>
        </w:tc>
        <w:tc>
          <w:tcPr>
            <w:tcW w:w="16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D28A2C8" w14:textId="0DC5CCE6" w:rsidR="00EA7FED" w:rsidRPr="00EA7FED" w:rsidRDefault="00EA7FED" w:rsidP="00EA7FED">
            <w:pPr>
              <w:jc w:val="center"/>
            </w:pPr>
            <w:r w:rsidRPr="00EA7FED">
              <w:t>2</w:t>
            </w:r>
            <w:r w:rsidR="00E61D57">
              <w:t>4</w:t>
            </w:r>
          </w:p>
        </w:tc>
        <w:tc>
          <w:tcPr>
            <w:tcW w:w="7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F9A7B3" w14:textId="77777777" w:rsidR="00EA7FED" w:rsidRPr="00EA7FED" w:rsidRDefault="00EA7FED" w:rsidP="00EA7FED">
            <w:pPr>
              <w:jc w:val="center"/>
            </w:pPr>
            <w:r w:rsidRPr="00EA7FED">
              <w:t>4</w:t>
            </w:r>
          </w:p>
        </w:tc>
        <w:tc>
          <w:tcPr>
            <w:tcW w:w="8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6A35E16" w14:textId="77777777" w:rsidR="00EA7FED" w:rsidRPr="00EA7FED" w:rsidRDefault="00EA7FED" w:rsidP="00EA7FED">
            <w:pPr>
              <w:jc w:val="center"/>
            </w:pPr>
            <w:r w:rsidRPr="00EA7FED">
              <w:t>140</w:t>
            </w:r>
          </w:p>
        </w:tc>
        <w:tc>
          <w:tcPr>
            <w:tcW w:w="9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5D4696" w14:textId="77777777" w:rsidR="00EA7FED" w:rsidRPr="00EA7FED" w:rsidRDefault="00EA7FED" w:rsidP="00EA7FED">
            <w:pPr>
              <w:jc w:val="center"/>
            </w:pPr>
            <w:r w:rsidRPr="00EA7FED">
              <w:t>8</w:t>
            </w:r>
          </w:p>
        </w:tc>
        <w:tc>
          <w:tcPr>
            <w:tcW w:w="87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969C51A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  <w:tc>
          <w:tcPr>
            <w:tcW w:w="11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9BB63C3" w14:textId="77777777" w:rsidR="00EA7FED" w:rsidRPr="00EA7FED" w:rsidRDefault="00EA7FED" w:rsidP="00EA7FED">
            <w:pPr>
              <w:jc w:val="center"/>
            </w:pPr>
            <w:r w:rsidRPr="00EA7FED">
              <w:t>2</w:t>
            </w:r>
          </w:p>
        </w:tc>
      </w:tr>
      <w:tr w:rsidR="00EA7FED" w:rsidRPr="00EA7FED" w14:paraId="5467C635" w14:textId="77777777" w:rsidTr="000926BF">
        <w:trPr>
          <w:gridAfter w:val="1"/>
          <w:wAfter w:w="146" w:type="dxa"/>
          <w:trHeight w:val="366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29E6A1" w14:textId="77777777" w:rsidR="00EA7FED" w:rsidRPr="00EA7FED" w:rsidRDefault="00EA7FED" w:rsidP="00EA7FED">
            <w:r w:rsidRPr="00EA7FED">
              <w:t>LGD n= 44</w:t>
            </w:r>
          </w:p>
        </w:tc>
        <w:tc>
          <w:tcPr>
            <w:tcW w:w="10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81B3A3" w14:textId="77777777" w:rsidR="00EA7FED" w:rsidRPr="00EA7FED" w:rsidRDefault="00EA7FED" w:rsidP="00EA7FED">
            <w:pPr>
              <w:jc w:val="center"/>
            </w:pPr>
            <w:r w:rsidRPr="00EA7FED">
              <w:t>2</w:t>
            </w:r>
          </w:p>
        </w:tc>
        <w:tc>
          <w:tcPr>
            <w:tcW w:w="16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D54584" w14:textId="77777777" w:rsidR="00EA7FED" w:rsidRPr="00EA7FED" w:rsidRDefault="00EA7FED" w:rsidP="00EA7FED">
            <w:pPr>
              <w:jc w:val="center"/>
            </w:pPr>
            <w:r w:rsidRPr="00EA7FED">
              <w:t>2</w:t>
            </w:r>
          </w:p>
        </w:tc>
        <w:tc>
          <w:tcPr>
            <w:tcW w:w="7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7D88F7F" w14:textId="77777777" w:rsidR="00EA7FED" w:rsidRPr="00EA7FED" w:rsidRDefault="00EA7FED" w:rsidP="00EA7FED">
            <w:pPr>
              <w:jc w:val="center"/>
            </w:pPr>
            <w:r w:rsidRPr="00EA7FED">
              <w:t>2</w:t>
            </w:r>
          </w:p>
        </w:tc>
        <w:tc>
          <w:tcPr>
            <w:tcW w:w="8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A060455" w14:textId="77777777" w:rsidR="00EA7FED" w:rsidRPr="00EA7FED" w:rsidRDefault="00EA7FED" w:rsidP="00EA7FED">
            <w:pPr>
              <w:jc w:val="center"/>
            </w:pPr>
            <w:r w:rsidRPr="00EA7FED">
              <w:t>18</w:t>
            </w:r>
          </w:p>
        </w:tc>
        <w:tc>
          <w:tcPr>
            <w:tcW w:w="9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E0FAD5" w14:textId="77777777" w:rsidR="00EA7FED" w:rsidRPr="00EA7FED" w:rsidRDefault="00EA7FED" w:rsidP="00EA7FED">
            <w:pPr>
              <w:jc w:val="center"/>
            </w:pPr>
            <w:r w:rsidRPr="00EA7FED">
              <w:t>19</w:t>
            </w:r>
          </w:p>
        </w:tc>
        <w:tc>
          <w:tcPr>
            <w:tcW w:w="87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03A1EF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11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B681E86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</w:tr>
      <w:tr w:rsidR="00EA7FED" w:rsidRPr="00EA7FED" w14:paraId="49065698" w14:textId="77777777" w:rsidTr="000926BF">
        <w:trPr>
          <w:gridAfter w:val="1"/>
          <w:wAfter w:w="146" w:type="dxa"/>
          <w:trHeight w:val="378"/>
        </w:trPr>
        <w:tc>
          <w:tcPr>
            <w:tcW w:w="171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C2BBCB1" w14:textId="77777777" w:rsidR="00EA7FED" w:rsidRPr="00EA7FED" w:rsidRDefault="00EA7FED" w:rsidP="00EA7FED">
            <w:r w:rsidRPr="00EA7FED">
              <w:t>HGD n=6</w:t>
            </w:r>
          </w:p>
        </w:tc>
        <w:tc>
          <w:tcPr>
            <w:tcW w:w="10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4F2992F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163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EB7379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72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B9A2CE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  <w:tc>
          <w:tcPr>
            <w:tcW w:w="8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A77500" w14:textId="77777777" w:rsidR="00EA7FED" w:rsidRPr="00EA7FED" w:rsidRDefault="00EA7FED" w:rsidP="00EA7FED">
            <w:pPr>
              <w:jc w:val="center"/>
            </w:pPr>
            <w:r w:rsidRPr="00EA7FED">
              <w:t>3</w:t>
            </w:r>
          </w:p>
        </w:tc>
        <w:tc>
          <w:tcPr>
            <w:tcW w:w="92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407BBB" w14:textId="77777777" w:rsidR="00EA7FED" w:rsidRPr="00EA7FED" w:rsidRDefault="00EA7FED" w:rsidP="00EA7FED">
            <w:pPr>
              <w:jc w:val="center"/>
            </w:pPr>
            <w:r w:rsidRPr="00EA7FED">
              <w:t>0</w:t>
            </w:r>
          </w:p>
        </w:tc>
        <w:tc>
          <w:tcPr>
            <w:tcW w:w="87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D7A327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  <w:tc>
          <w:tcPr>
            <w:tcW w:w="11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9AF06C" w14:textId="77777777" w:rsidR="00EA7FED" w:rsidRPr="00EA7FED" w:rsidRDefault="00EA7FED" w:rsidP="00EA7FED">
            <w:pPr>
              <w:jc w:val="center"/>
            </w:pPr>
            <w:r w:rsidRPr="00EA7FED">
              <w:t>1</w:t>
            </w:r>
          </w:p>
        </w:tc>
      </w:tr>
    </w:tbl>
    <w:p w14:paraId="62EF4844" w14:textId="77777777" w:rsidR="00EA7FED" w:rsidRDefault="00EA7FED">
      <w:pPr>
        <w:rPr>
          <w:lang w:val="en-US"/>
        </w:rPr>
      </w:pPr>
    </w:p>
    <w:p w14:paraId="42E9A209" w14:textId="36DB7912" w:rsidR="00AB2832" w:rsidRPr="004D4AC1" w:rsidRDefault="004306A3">
      <w:pPr>
        <w:rPr>
          <w:rFonts w:ascii="Times New Roman" w:hAnsi="Times New Roman" w:cs="Times New Roman"/>
          <w:lang w:val="en-US"/>
        </w:rPr>
      </w:pPr>
      <w:r w:rsidRPr="004D4AC1">
        <w:rPr>
          <w:rFonts w:ascii="Times New Roman" w:hAnsi="Times New Roman" w:cs="Times New Roman"/>
          <w:b/>
          <w:lang w:val="en-US"/>
        </w:rPr>
        <w:t>Supplementary t</w:t>
      </w:r>
      <w:r w:rsidR="00AB2832" w:rsidRPr="004D4AC1">
        <w:rPr>
          <w:rFonts w:ascii="Times New Roman" w:hAnsi="Times New Roman" w:cs="Times New Roman"/>
          <w:b/>
          <w:lang w:val="en-US"/>
        </w:rPr>
        <w:t>able 1.</w:t>
      </w:r>
      <w:r w:rsidR="00AB2832" w:rsidRPr="004D4AC1">
        <w:rPr>
          <w:rFonts w:ascii="Times New Roman" w:hAnsi="Times New Roman" w:cs="Times New Roman"/>
          <w:lang w:val="en-US"/>
        </w:rPr>
        <w:t xml:space="preserve"> Evolution of </w:t>
      </w:r>
      <w:r w:rsidRPr="004D4AC1">
        <w:rPr>
          <w:rFonts w:ascii="Times New Roman" w:hAnsi="Times New Roman" w:cs="Times New Roman"/>
          <w:lang w:val="en-US"/>
        </w:rPr>
        <w:t>histologic findings</w:t>
      </w:r>
      <w:r w:rsidR="00AB2832" w:rsidRPr="004D4AC1">
        <w:rPr>
          <w:rFonts w:ascii="Times New Roman" w:hAnsi="Times New Roman" w:cs="Times New Roman"/>
          <w:lang w:val="en-US"/>
        </w:rPr>
        <w:t xml:space="preserve"> between the initial and the last follow-up endoscopy. AG: Atrophic gastritis, HGD: High grade dysplasia, IM: Intestinal metaplasia, LGD: Low grade dysplasia, NAG:  Non-atrophic gastritis</w:t>
      </w:r>
    </w:p>
    <w:p w14:paraId="2D0EC33F" w14:textId="77777777" w:rsidR="000926BF" w:rsidRDefault="000926BF">
      <w:pPr>
        <w:rPr>
          <w:lang w:val="en-US"/>
        </w:rPr>
      </w:pPr>
    </w:p>
    <w:p w14:paraId="002B6387" w14:textId="5CA63246" w:rsidR="000926BF" w:rsidRPr="009B7F13" w:rsidRDefault="000926BF" w:rsidP="000926BF">
      <w:pPr>
        <w:spacing w:line="480" w:lineRule="auto"/>
        <w:jc w:val="both"/>
        <w:rPr>
          <w:rFonts w:ascii="Times New Roman" w:hAnsi="Times New Roman"/>
          <w:lang w:val="en-US"/>
        </w:rPr>
      </w:pPr>
      <w:r w:rsidRPr="00E50076">
        <w:rPr>
          <w:rFonts w:ascii="Times New Roman" w:hAnsi="Times New Roman"/>
          <w:lang w:val="en-US"/>
        </w:rPr>
        <w:t>Most of the patients (161/254, 63.4%) presented the same GPL at first and last endoscopy, whereas in 74 patients (30%) the final lesion was less severe. Among them, 24 patients had LGD initially and in 18 cases, a regression was observed w</w:t>
      </w:r>
      <w:bookmarkStart w:id="0" w:name="_GoBack"/>
      <w:bookmarkEnd w:id="0"/>
      <w:r w:rsidRPr="00E50076">
        <w:rPr>
          <w:rFonts w:ascii="Times New Roman" w:hAnsi="Times New Roman"/>
          <w:lang w:val="en-US"/>
        </w:rPr>
        <w:t xml:space="preserve">ithout any endoscopic or surgical intervention. Conversely, the 4 patients with initial HGD had an endoscopic resection of a visible lesion. </w:t>
      </w:r>
      <w:r>
        <w:rPr>
          <w:rFonts w:ascii="Times New Roman" w:hAnsi="Times New Roman"/>
          <w:lang w:val="en-US"/>
        </w:rPr>
        <w:t xml:space="preserve">Seven patients </w:t>
      </w:r>
      <w:r w:rsidRPr="006F5598">
        <w:rPr>
          <w:rFonts w:ascii="Times New Roman" w:hAnsi="Times New Roman"/>
          <w:lang w:val="en-US"/>
        </w:rPr>
        <w:t xml:space="preserve">(2.8%) developed a GC. Among the 14 patients with IM located in the antrum only, two developed GC (OLGIM I and IV), two progressed to HGD and 10 to LGD. All six patients who had extensive (antrum and corpus) IM at </w:t>
      </w:r>
      <w:r>
        <w:rPr>
          <w:rFonts w:ascii="Times New Roman" w:hAnsi="Times New Roman"/>
          <w:lang w:val="en-US"/>
        </w:rPr>
        <w:t xml:space="preserve">initial </w:t>
      </w:r>
      <w:r w:rsidRPr="006F5598">
        <w:rPr>
          <w:rFonts w:ascii="Times New Roman" w:hAnsi="Times New Roman"/>
          <w:lang w:val="en-US"/>
        </w:rPr>
        <w:t xml:space="preserve">diagnosis, </w:t>
      </w:r>
      <w:r>
        <w:rPr>
          <w:rFonts w:ascii="Times New Roman" w:hAnsi="Times New Roman"/>
          <w:lang w:val="en-US"/>
        </w:rPr>
        <w:t>had</w:t>
      </w:r>
      <w:r w:rsidRPr="006F5598">
        <w:rPr>
          <w:rFonts w:ascii="Times New Roman" w:hAnsi="Times New Roman"/>
          <w:lang w:val="en-US"/>
        </w:rPr>
        <w:t xml:space="preserve"> LGD</w:t>
      </w:r>
      <w:r>
        <w:rPr>
          <w:rFonts w:ascii="Times New Roman" w:hAnsi="Times New Roman"/>
          <w:lang w:val="en-US"/>
        </w:rPr>
        <w:t xml:space="preserve"> at final endoscopy</w:t>
      </w:r>
      <w:r w:rsidRPr="006F5598">
        <w:rPr>
          <w:rFonts w:ascii="Times New Roman" w:hAnsi="Times New Roman"/>
          <w:lang w:val="en-US"/>
        </w:rPr>
        <w:t>.</w:t>
      </w:r>
    </w:p>
    <w:p w14:paraId="1B95EEF6" w14:textId="11FE39F2" w:rsidR="000926BF" w:rsidRPr="00E50076" w:rsidRDefault="000926BF" w:rsidP="000926BF">
      <w:pPr>
        <w:spacing w:line="480" w:lineRule="auto"/>
        <w:jc w:val="both"/>
        <w:rPr>
          <w:rFonts w:ascii="Times New Roman" w:hAnsi="Times New Roman"/>
          <w:lang w:val="en-US"/>
        </w:rPr>
      </w:pPr>
      <w:r w:rsidRPr="00E50076">
        <w:rPr>
          <w:rFonts w:ascii="Times New Roman" w:hAnsi="Times New Roman"/>
          <w:lang w:val="en-US"/>
        </w:rPr>
        <w:t xml:space="preserve">At initial endoscopy, </w:t>
      </w:r>
      <w:r w:rsidRPr="00E50076">
        <w:rPr>
          <w:rFonts w:ascii="Times New Roman" w:hAnsi="Times New Roman"/>
          <w:i/>
          <w:lang w:val="en-US"/>
        </w:rPr>
        <w:t>H. pylori</w:t>
      </w:r>
      <w:r w:rsidRPr="00E50076">
        <w:rPr>
          <w:rFonts w:ascii="Times New Roman" w:hAnsi="Times New Roman"/>
          <w:lang w:val="en-US"/>
        </w:rPr>
        <w:t xml:space="preserve"> infection was found in 43% of patients overall (103 out of 240, missing data n=14 patients), and in </w:t>
      </w:r>
      <w:r>
        <w:rPr>
          <w:rFonts w:ascii="Times New Roman" w:hAnsi="Times New Roman"/>
          <w:lang w:val="en-US"/>
        </w:rPr>
        <w:t xml:space="preserve">41.1%, 44.7% </w:t>
      </w:r>
      <w:r w:rsidRPr="00E50076">
        <w:rPr>
          <w:rFonts w:ascii="Times New Roman" w:hAnsi="Times New Roman"/>
          <w:lang w:val="en-US"/>
        </w:rPr>
        <w:t xml:space="preserve">and 33.3% of </w:t>
      </w:r>
      <w:r>
        <w:rPr>
          <w:rFonts w:ascii="Times New Roman" w:hAnsi="Times New Roman"/>
          <w:lang w:val="en-US"/>
        </w:rPr>
        <w:t>patients with less severe</w:t>
      </w:r>
      <w:r w:rsidRPr="00E50076">
        <w:rPr>
          <w:rFonts w:ascii="Times New Roman" w:hAnsi="Times New Roman"/>
          <w:lang w:val="en-US"/>
        </w:rPr>
        <w:t xml:space="preserve">, stable and </w:t>
      </w:r>
      <w:r>
        <w:rPr>
          <w:rFonts w:ascii="Times New Roman" w:hAnsi="Times New Roman"/>
          <w:lang w:val="en-US"/>
        </w:rPr>
        <w:t>more severe lesion at final endoscopy,</w:t>
      </w:r>
      <w:r w:rsidRPr="00E50076">
        <w:rPr>
          <w:rFonts w:ascii="Times New Roman" w:hAnsi="Times New Roman"/>
          <w:lang w:val="en-US"/>
        </w:rPr>
        <w:t xml:space="preserve"> respectively. </w:t>
      </w:r>
      <w:r>
        <w:rPr>
          <w:rFonts w:ascii="Times New Roman" w:hAnsi="Times New Roman"/>
          <w:lang w:val="en-US"/>
        </w:rPr>
        <w:t>Although all the patients have had eradication treatment prescribed</w:t>
      </w:r>
      <w:r w:rsidRPr="00E50076">
        <w:rPr>
          <w:rFonts w:ascii="Times New Roman" w:hAnsi="Times New Roman"/>
          <w:lang w:val="en-US"/>
        </w:rPr>
        <w:t xml:space="preserve"> according to the sta</w:t>
      </w:r>
      <w:r>
        <w:rPr>
          <w:rFonts w:ascii="Times New Roman" w:hAnsi="Times New Roman"/>
          <w:lang w:val="en-US"/>
        </w:rPr>
        <w:t xml:space="preserve">ndard management in our center, persistent </w:t>
      </w:r>
      <w:r w:rsidRPr="00E50076">
        <w:rPr>
          <w:rFonts w:ascii="Times New Roman" w:hAnsi="Times New Roman"/>
          <w:lang w:val="en-US"/>
        </w:rPr>
        <w:t xml:space="preserve">infection was found by histology in 17.6% of patients overall (42 out of 239, missing data =15) and in </w:t>
      </w:r>
      <w:r>
        <w:rPr>
          <w:rFonts w:ascii="Times New Roman" w:hAnsi="Times New Roman"/>
          <w:lang w:val="en-US"/>
        </w:rPr>
        <w:t xml:space="preserve">10.1%, 22.1% and 6.3% </w:t>
      </w:r>
      <w:r w:rsidRPr="00E50076">
        <w:rPr>
          <w:rFonts w:ascii="Times New Roman" w:hAnsi="Times New Roman"/>
          <w:lang w:val="en-US"/>
        </w:rPr>
        <w:t xml:space="preserve">of </w:t>
      </w:r>
      <w:r>
        <w:rPr>
          <w:rFonts w:ascii="Times New Roman" w:hAnsi="Times New Roman"/>
          <w:lang w:val="en-US"/>
        </w:rPr>
        <w:t>patients with less severe</w:t>
      </w:r>
      <w:r w:rsidRPr="00E50076">
        <w:rPr>
          <w:rFonts w:ascii="Times New Roman" w:hAnsi="Times New Roman"/>
          <w:lang w:val="en-US"/>
        </w:rPr>
        <w:t xml:space="preserve">, stable and </w:t>
      </w:r>
      <w:r>
        <w:rPr>
          <w:rFonts w:ascii="Times New Roman" w:hAnsi="Times New Roman"/>
          <w:lang w:val="en-US"/>
        </w:rPr>
        <w:t>more severe lesion at final endoscopy,</w:t>
      </w:r>
      <w:r w:rsidRPr="00E50076">
        <w:rPr>
          <w:rFonts w:ascii="Times New Roman" w:hAnsi="Times New Roman"/>
          <w:lang w:val="en-US"/>
        </w:rPr>
        <w:t xml:space="preserve"> respectively. </w:t>
      </w:r>
    </w:p>
    <w:p w14:paraId="2A6502DB" w14:textId="77777777" w:rsidR="000926BF" w:rsidRDefault="000926BF">
      <w:pPr>
        <w:rPr>
          <w:lang w:val="en-US"/>
        </w:rPr>
      </w:pPr>
    </w:p>
    <w:sectPr w:rsidR="000926BF" w:rsidSect="00B75A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0"/>
    <w:rsid w:val="00004D78"/>
    <w:rsid w:val="000926BF"/>
    <w:rsid w:val="00104653"/>
    <w:rsid w:val="00105D95"/>
    <w:rsid w:val="001B09E4"/>
    <w:rsid w:val="001F05A6"/>
    <w:rsid w:val="002317F3"/>
    <w:rsid w:val="002C5E83"/>
    <w:rsid w:val="002D1524"/>
    <w:rsid w:val="002E59B6"/>
    <w:rsid w:val="002F166D"/>
    <w:rsid w:val="0030098E"/>
    <w:rsid w:val="00344265"/>
    <w:rsid w:val="00374820"/>
    <w:rsid w:val="00380F9C"/>
    <w:rsid w:val="003B7567"/>
    <w:rsid w:val="003C6E4B"/>
    <w:rsid w:val="004306A3"/>
    <w:rsid w:val="0045204B"/>
    <w:rsid w:val="00452050"/>
    <w:rsid w:val="00484F09"/>
    <w:rsid w:val="004B204C"/>
    <w:rsid w:val="004D4AC1"/>
    <w:rsid w:val="004E3B15"/>
    <w:rsid w:val="004F192F"/>
    <w:rsid w:val="00510859"/>
    <w:rsid w:val="00552226"/>
    <w:rsid w:val="00572556"/>
    <w:rsid w:val="00596884"/>
    <w:rsid w:val="00610F5A"/>
    <w:rsid w:val="00675C64"/>
    <w:rsid w:val="006928AC"/>
    <w:rsid w:val="006A37C8"/>
    <w:rsid w:val="006F6890"/>
    <w:rsid w:val="0072572B"/>
    <w:rsid w:val="00731DE4"/>
    <w:rsid w:val="00740311"/>
    <w:rsid w:val="007506C1"/>
    <w:rsid w:val="00794B09"/>
    <w:rsid w:val="007D38E7"/>
    <w:rsid w:val="00873255"/>
    <w:rsid w:val="00873E1D"/>
    <w:rsid w:val="00882152"/>
    <w:rsid w:val="00892F3D"/>
    <w:rsid w:val="008B4529"/>
    <w:rsid w:val="008C6611"/>
    <w:rsid w:val="008D4A6B"/>
    <w:rsid w:val="008F45E8"/>
    <w:rsid w:val="008F62B5"/>
    <w:rsid w:val="00981E6C"/>
    <w:rsid w:val="009E2BCC"/>
    <w:rsid w:val="009E7261"/>
    <w:rsid w:val="00A01DE7"/>
    <w:rsid w:val="00A16B31"/>
    <w:rsid w:val="00A810A7"/>
    <w:rsid w:val="00AB2832"/>
    <w:rsid w:val="00AC0CD4"/>
    <w:rsid w:val="00B16832"/>
    <w:rsid w:val="00B63013"/>
    <w:rsid w:val="00B75A4E"/>
    <w:rsid w:val="00B96C6A"/>
    <w:rsid w:val="00BC27A5"/>
    <w:rsid w:val="00C02D6F"/>
    <w:rsid w:val="00C76C14"/>
    <w:rsid w:val="00CB40A6"/>
    <w:rsid w:val="00CC2961"/>
    <w:rsid w:val="00CD5BE1"/>
    <w:rsid w:val="00DA7CC5"/>
    <w:rsid w:val="00DE6962"/>
    <w:rsid w:val="00DF6317"/>
    <w:rsid w:val="00E61D57"/>
    <w:rsid w:val="00E71366"/>
    <w:rsid w:val="00EA7FED"/>
    <w:rsid w:val="00ED6771"/>
    <w:rsid w:val="00ED76E7"/>
    <w:rsid w:val="00F2562A"/>
    <w:rsid w:val="00F37632"/>
    <w:rsid w:val="00F53F8A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51">
    <w:name w:val="Tableau simple 51"/>
    <w:basedOn w:val="TableauNormal"/>
    <w:uiPriority w:val="45"/>
    <w:rsid w:val="00B96C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08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8</cp:revision>
  <dcterms:created xsi:type="dcterms:W3CDTF">2020-03-28T10:27:00Z</dcterms:created>
  <dcterms:modified xsi:type="dcterms:W3CDTF">2020-06-15T15:21:00Z</dcterms:modified>
</cp:coreProperties>
</file>