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1E0DB" w14:textId="03109E9B" w:rsidR="00734B09" w:rsidRDefault="00734B09" w:rsidP="0051329E">
      <w:r>
        <w:t xml:space="preserve">Supplementary </w:t>
      </w:r>
      <w:r w:rsidRPr="00F03DE9">
        <w:t>T</w:t>
      </w:r>
      <w:r w:rsidRPr="00F03DE9">
        <w:rPr>
          <w:rFonts w:hint="eastAsia"/>
        </w:rPr>
        <w:t>able</w:t>
      </w:r>
      <w:r w:rsidRPr="00F03DE9">
        <w:t xml:space="preserve"> </w:t>
      </w:r>
      <w:r w:rsidR="004A657B">
        <w:t>7</w:t>
      </w:r>
      <w:r w:rsidR="00F079B6">
        <w:t>:</w:t>
      </w:r>
      <w:r w:rsidR="00F079B6" w:rsidRPr="00F079B6">
        <w:t xml:space="preserve"> Performance of </w:t>
      </w:r>
      <w:r w:rsidR="00F079B6">
        <w:t>UAP</w:t>
      </w:r>
      <w:r w:rsidR="00F079B6" w:rsidRPr="00F079B6">
        <w:t xml:space="preserve"> using dual-cutoff approach for the diagnosis of hepatic steatosis groups S≥S1, S≥S2, and S=S3</w:t>
      </w:r>
    </w:p>
    <w:p w14:paraId="4645D563" w14:textId="77777777" w:rsidR="00734B09" w:rsidRDefault="00734B09" w:rsidP="0051329E"/>
    <w:tbl>
      <w:tblPr>
        <w:tblStyle w:val="a5"/>
        <w:tblW w:w="8500" w:type="dxa"/>
        <w:tblLayout w:type="fixed"/>
        <w:tblLook w:val="04A0" w:firstRow="1" w:lastRow="0" w:firstColumn="1" w:lastColumn="0" w:noHBand="0" w:noVBand="1"/>
      </w:tblPr>
      <w:tblGrid>
        <w:gridCol w:w="913"/>
        <w:gridCol w:w="906"/>
        <w:gridCol w:w="1011"/>
        <w:gridCol w:w="993"/>
        <w:gridCol w:w="850"/>
        <w:gridCol w:w="992"/>
        <w:gridCol w:w="993"/>
        <w:gridCol w:w="850"/>
        <w:gridCol w:w="992"/>
      </w:tblGrid>
      <w:tr w:rsidR="00734B09" w:rsidRPr="00734B09" w14:paraId="052EFC9D" w14:textId="77777777" w:rsidTr="00A86864">
        <w:trPr>
          <w:trHeight w:val="276"/>
        </w:trPr>
        <w:tc>
          <w:tcPr>
            <w:tcW w:w="2830" w:type="dxa"/>
            <w:gridSpan w:val="3"/>
            <w:noWrap/>
            <w:hideMark/>
          </w:tcPr>
          <w:p w14:paraId="1D41BD92" w14:textId="77777777" w:rsidR="00734B09" w:rsidRPr="00A86864" w:rsidRDefault="00734B09" w:rsidP="00734B09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S≥S1</w:t>
            </w:r>
          </w:p>
        </w:tc>
        <w:tc>
          <w:tcPr>
            <w:tcW w:w="2835" w:type="dxa"/>
            <w:gridSpan w:val="3"/>
            <w:noWrap/>
            <w:hideMark/>
          </w:tcPr>
          <w:p w14:paraId="7E124AC7" w14:textId="77777777" w:rsidR="00734B09" w:rsidRPr="00A86864" w:rsidRDefault="00734B09" w:rsidP="00734B09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S≥S2</w:t>
            </w:r>
          </w:p>
        </w:tc>
        <w:tc>
          <w:tcPr>
            <w:tcW w:w="2835" w:type="dxa"/>
            <w:gridSpan w:val="3"/>
            <w:noWrap/>
            <w:hideMark/>
          </w:tcPr>
          <w:p w14:paraId="1ECBA2BD" w14:textId="77777777" w:rsidR="00734B09" w:rsidRPr="00A86864" w:rsidRDefault="00734B09" w:rsidP="00734B09">
            <w:pPr>
              <w:jc w:val="center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S=3</w:t>
            </w:r>
          </w:p>
        </w:tc>
      </w:tr>
      <w:tr w:rsidR="00A86864" w:rsidRPr="00734B09" w14:paraId="174F14D2" w14:textId="77777777" w:rsidTr="00A86864">
        <w:trPr>
          <w:trHeight w:val="828"/>
        </w:trPr>
        <w:tc>
          <w:tcPr>
            <w:tcW w:w="913" w:type="dxa"/>
            <w:hideMark/>
          </w:tcPr>
          <w:p w14:paraId="769DBF3D" w14:textId="77777777" w:rsidR="00734B09" w:rsidRPr="00A86864" w:rsidRDefault="00734B09" w:rsidP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Lower cut-off（&lt;214 dB/m）</w:t>
            </w:r>
          </w:p>
        </w:tc>
        <w:tc>
          <w:tcPr>
            <w:tcW w:w="906" w:type="dxa"/>
            <w:hideMark/>
          </w:tcPr>
          <w:p w14:paraId="1CBE8DCF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grey zone</w:t>
            </w:r>
          </w:p>
        </w:tc>
        <w:tc>
          <w:tcPr>
            <w:tcW w:w="1011" w:type="dxa"/>
            <w:hideMark/>
          </w:tcPr>
          <w:p w14:paraId="55530169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Upper cut-off （≥ 254dB/m）</w:t>
            </w:r>
          </w:p>
        </w:tc>
        <w:tc>
          <w:tcPr>
            <w:tcW w:w="993" w:type="dxa"/>
            <w:hideMark/>
          </w:tcPr>
          <w:p w14:paraId="6C69F05C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Lower cut-off（&lt;260 dB/m）</w:t>
            </w:r>
          </w:p>
        </w:tc>
        <w:tc>
          <w:tcPr>
            <w:tcW w:w="850" w:type="dxa"/>
            <w:hideMark/>
          </w:tcPr>
          <w:p w14:paraId="3736E3BF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grey zone</w:t>
            </w:r>
          </w:p>
        </w:tc>
        <w:tc>
          <w:tcPr>
            <w:tcW w:w="992" w:type="dxa"/>
            <w:hideMark/>
          </w:tcPr>
          <w:p w14:paraId="4FCBE6A2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Upper cut-off （≥275dB/m）</w:t>
            </w:r>
          </w:p>
        </w:tc>
        <w:tc>
          <w:tcPr>
            <w:tcW w:w="993" w:type="dxa"/>
            <w:hideMark/>
          </w:tcPr>
          <w:p w14:paraId="5C5BC34B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Lower cut-off（296&lt; dB/m）</w:t>
            </w:r>
          </w:p>
        </w:tc>
        <w:tc>
          <w:tcPr>
            <w:tcW w:w="850" w:type="dxa"/>
            <w:hideMark/>
          </w:tcPr>
          <w:p w14:paraId="47600A68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grey zone</w:t>
            </w:r>
          </w:p>
        </w:tc>
        <w:tc>
          <w:tcPr>
            <w:tcW w:w="992" w:type="dxa"/>
            <w:hideMark/>
          </w:tcPr>
          <w:p w14:paraId="4A7C22C7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Upper cut-off （≥311 dB/m）</w:t>
            </w:r>
          </w:p>
        </w:tc>
      </w:tr>
      <w:tr w:rsidR="00A86864" w:rsidRPr="00734B09" w14:paraId="645F39FC" w14:textId="77777777" w:rsidTr="00A86864">
        <w:trPr>
          <w:trHeight w:val="276"/>
        </w:trPr>
        <w:tc>
          <w:tcPr>
            <w:tcW w:w="913" w:type="dxa"/>
            <w:hideMark/>
          </w:tcPr>
          <w:p w14:paraId="4FDE7EAD" w14:textId="32B22104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N=65(27%)</w:t>
            </w:r>
          </w:p>
        </w:tc>
        <w:tc>
          <w:tcPr>
            <w:tcW w:w="906" w:type="dxa"/>
            <w:hideMark/>
          </w:tcPr>
          <w:p w14:paraId="25AE8A24" w14:textId="76A956D0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N=66(28%)</w:t>
            </w:r>
          </w:p>
        </w:tc>
        <w:tc>
          <w:tcPr>
            <w:tcW w:w="1011" w:type="dxa"/>
            <w:hideMark/>
          </w:tcPr>
          <w:p w14:paraId="33F65202" w14:textId="59746AE3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N=106(45%)</w:t>
            </w:r>
          </w:p>
        </w:tc>
        <w:tc>
          <w:tcPr>
            <w:tcW w:w="993" w:type="dxa"/>
            <w:hideMark/>
          </w:tcPr>
          <w:p w14:paraId="0BB4E2C8" w14:textId="72A5F340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N=139(59%)</w:t>
            </w:r>
          </w:p>
        </w:tc>
        <w:tc>
          <w:tcPr>
            <w:tcW w:w="850" w:type="dxa"/>
            <w:hideMark/>
          </w:tcPr>
          <w:p w14:paraId="356CD425" w14:textId="67F86484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N=14</w:t>
            </w:r>
            <w:r w:rsidR="00A86864" w:rsidRPr="00A86864">
              <w:rPr>
                <w:rFonts w:hint="eastAsia"/>
                <w:sz w:val="15"/>
                <w:szCs w:val="15"/>
              </w:rPr>
              <w:t>(</w:t>
            </w:r>
            <w:r w:rsidRPr="00A86864">
              <w:rPr>
                <w:rFonts w:hint="eastAsia"/>
                <w:sz w:val="15"/>
                <w:szCs w:val="15"/>
              </w:rPr>
              <w:t>6%)</w:t>
            </w:r>
          </w:p>
        </w:tc>
        <w:tc>
          <w:tcPr>
            <w:tcW w:w="992" w:type="dxa"/>
            <w:hideMark/>
          </w:tcPr>
          <w:p w14:paraId="2B135FD7" w14:textId="3F34F8A4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N=84(35%)</w:t>
            </w:r>
          </w:p>
        </w:tc>
        <w:tc>
          <w:tcPr>
            <w:tcW w:w="993" w:type="dxa"/>
            <w:hideMark/>
          </w:tcPr>
          <w:p w14:paraId="21509120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N=176(74%)</w:t>
            </w:r>
          </w:p>
        </w:tc>
        <w:tc>
          <w:tcPr>
            <w:tcW w:w="850" w:type="dxa"/>
            <w:hideMark/>
          </w:tcPr>
          <w:p w14:paraId="2ADC402F" w14:textId="74967E81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N=20(8%)</w:t>
            </w:r>
          </w:p>
        </w:tc>
        <w:tc>
          <w:tcPr>
            <w:tcW w:w="992" w:type="dxa"/>
            <w:hideMark/>
          </w:tcPr>
          <w:p w14:paraId="5E971075" w14:textId="4C800051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N=41(17%)</w:t>
            </w:r>
          </w:p>
        </w:tc>
      </w:tr>
      <w:tr w:rsidR="00A86864" w:rsidRPr="00734B09" w14:paraId="4F2DEF8E" w14:textId="77777777" w:rsidTr="00A86864">
        <w:trPr>
          <w:trHeight w:val="276"/>
        </w:trPr>
        <w:tc>
          <w:tcPr>
            <w:tcW w:w="913" w:type="dxa"/>
            <w:hideMark/>
          </w:tcPr>
          <w:p w14:paraId="34405E73" w14:textId="1C07BC2E" w:rsidR="00734B09" w:rsidRPr="00A86864" w:rsidRDefault="00734B09">
            <w:pPr>
              <w:rPr>
                <w:sz w:val="15"/>
                <w:szCs w:val="15"/>
              </w:rPr>
            </w:pPr>
            <w:proofErr w:type="spellStart"/>
            <w:r w:rsidRPr="00A86864">
              <w:rPr>
                <w:rFonts w:hint="eastAsia"/>
                <w:sz w:val="15"/>
                <w:szCs w:val="15"/>
              </w:rPr>
              <w:t>Sp</w:t>
            </w:r>
            <w:proofErr w:type="spellEnd"/>
            <w:r w:rsidRPr="00A86864">
              <w:rPr>
                <w:rFonts w:hint="eastAsia"/>
                <w:sz w:val="15"/>
                <w:szCs w:val="15"/>
              </w:rPr>
              <w:t>=0.54</w:t>
            </w:r>
          </w:p>
        </w:tc>
        <w:tc>
          <w:tcPr>
            <w:tcW w:w="906" w:type="dxa"/>
            <w:vMerge w:val="restart"/>
            <w:hideMark/>
          </w:tcPr>
          <w:p w14:paraId="24743CD1" w14:textId="77777777" w:rsidR="00734B09" w:rsidRPr="00A86864" w:rsidRDefault="00734B09">
            <w:pPr>
              <w:rPr>
                <w:sz w:val="15"/>
                <w:szCs w:val="15"/>
              </w:rPr>
            </w:pPr>
          </w:p>
        </w:tc>
        <w:tc>
          <w:tcPr>
            <w:tcW w:w="1011" w:type="dxa"/>
            <w:hideMark/>
          </w:tcPr>
          <w:p w14:paraId="1A4DEC01" w14:textId="62357415" w:rsidR="00734B09" w:rsidRPr="00A86864" w:rsidRDefault="00734B09" w:rsidP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Se=0.69</w:t>
            </w:r>
          </w:p>
        </w:tc>
        <w:tc>
          <w:tcPr>
            <w:tcW w:w="993" w:type="dxa"/>
            <w:hideMark/>
          </w:tcPr>
          <w:p w14:paraId="3A63A02E" w14:textId="2C387E53" w:rsidR="00734B09" w:rsidRPr="00A86864" w:rsidRDefault="00734B09">
            <w:pPr>
              <w:rPr>
                <w:sz w:val="15"/>
                <w:szCs w:val="15"/>
              </w:rPr>
            </w:pPr>
            <w:proofErr w:type="spellStart"/>
            <w:r w:rsidRPr="00A86864">
              <w:rPr>
                <w:rFonts w:hint="eastAsia"/>
                <w:sz w:val="15"/>
                <w:szCs w:val="15"/>
              </w:rPr>
              <w:t>Sp</w:t>
            </w:r>
            <w:proofErr w:type="spellEnd"/>
            <w:r w:rsidRPr="00A86864">
              <w:rPr>
                <w:rFonts w:hint="eastAsia"/>
                <w:sz w:val="15"/>
                <w:szCs w:val="15"/>
              </w:rPr>
              <w:t>=0.86</w:t>
            </w:r>
          </w:p>
        </w:tc>
        <w:tc>
          <w:tcPr>
            <w:tcW w:w="850" w:type="dxa"/>
            <w:vMerge w:val="restart"/>
            <w:hideMark/>
          </w:tcPr>
          <w:p w14:paraId="1B04D8EF" w14:textId="77777777" w:rsidR="00734B09" w:rsidRPr="00A86864" w:rsidRDefault="00734B09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24030299" w14:textId="6E337980" w:rsidR="00734B09" w:rsidRPr="00A86864" w:rsidRDefault="00734B09" w:rsidP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Se=0.82</w:t>
            </w:r>
          </w:p>
        </w:tc>
        <w:tc>
          <w:tcPr>
            <w:tcW w:w="993" w:type="dxa"/>
            <w:hideMark/>
          </w:tcPr>
          <w:p w14:paraId="22875CC9" w14:textId="77777777" w:rsidR="00734B09" w:rsidRPr="00A86864" w:rsidRDefault="00734B09">
            <w:pPr>
              <w:rPr>
                <w:sz w:val="15"/>
                <w:szCs w:val="15"/>
              </w:rPr>
            </w:pPr>
            <w:proofErr w:type="spellStart"/>
            <w:r w:rsidRPr="00A86864">
              <w:rPr>
                <w:rFonts w:hint="eastAsia"/>
                <w:sz w:val="15"/>
                <w:szCs w:val="15"/>
              </w:rPr>
              <w:t>Sp</w:t>
            </w:r>
            <w:proofErr w:type="spellEnd"/>
            <w:r w:rsidRPr="00A86864">
              <w:rPr>
                <w:rFonts w:hint="eastAsia"/>
                <w:sz w:val="15"/>
                <w:szCs w:val="15"/>
              </w:rPr>
              <w:t>=0.83</w:t>
            </w:r>
          </w:p>
        </w:tc>
        <w:tc>
          <w:tcPr>
            <w:tcW w:w="850" w:type="dxa"/>
            <w:vMerge w:val="restart"/>
            <w:hideMark/>
          </w:tcPr>
          <w:p w14:paraId="3DFF3D26" w14:textId="77777777" w:rsidR="00734B09" w:rsidRPr="00A86864" w:rsidRDefault="00734B09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03D9A224" w14:textId="0E52EE47" w:rsidR="00734B09" w:rsidRPr="00A86864" w:rsidRDefault="00734B09" w:rsidP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Se=0.71</w:t>
            </w:r>
          </w:p>
        </w:tc>
      </w:tr>
      <w:tr w:rsidR="00A86864" w:rsidRPr="00734B09" w14:paraId="5A02A8D5" w14:textId="77777777" w:rsidTr="00A86864">
        <w:trPr>
          <w:trHeight w:val="276"/>
        </w:trPr>
        <w:tc>
          <w:tcPr>
            <w:tcW w:w="913" w:type="dxa"/>
            <w:hideMark/>
          </w:tcPr>
          <w:p w14:paraId="304C086F" w14:textId="6FCAE7EE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NPV=0.80</w:t>
            </w:r>
          </w:p>
        </w:tc>
        <w:tc>
          <w:tcPr>
            <w:tcW w:w="906" w:type="dxa"/>
            <w:vMerge/>
            <w:hideMark/>
          </w:tcPr>
          <w:p w14:paraId="6FEC48BD" w14:textId="77777777" w:rsidR="00734B09" w:rsidRPr="00A86864" w:rsidRDefault="00734B09">
            <w:pPr>
              <w:rPr>
                <w:sz w:val="15"/>
                <w:szCs w:val="15"/>
              </w:rPr>
            </w:pPr>
          </w:p>
        </w:tc>
        <w:tc>
          <w:tcPr>
            <w:tcW w:w="1011" w:type="dxa"/>
            <w:hideMark/>
          </w:tcPr>
          <w:p w14:paraId="56AF6043" w14:textId="37B33FDE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PPV=0.91</w:t>
            </w:r>
          </w:p>
        </w:tc>
        <w:tc>
          <w:tcPr>
            <w:tcW w:w="993" w:type="dxa"/>
            <w:hideMark/>
          </w:tcPr>
          <w:p w14:paraId="210CCFDF" w14:textId="09E18859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NPV=0.94</w:t>
            </w:r>
          </w:p>
        </w:tc>
        <w:tc>
          <w:tcPr>
            <w:tcW w:w="850" w:type="dxa"/>
            <w:vMerge/>
            <w:hideMark/>
          </w:tcPr>
          <w:p w14:paraId="038F5636" w14:textId="77777777" w:rsidR="00734B09" w:rsidRPr="00A86864" w:rsidRDefault="00734B09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2CEB11F0" w14:textId="47C9201B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PPV=0.82</w:t>
            </w:r>
          </w:p>
        </w:tc>
        <w:tc>
          <w:tcPr>
            <w:tcW w:w="993" w:type="dxa"/>
            <w:hideMark/>
          </w:tcPr>
          <w:p w14:paraId="511BE021" w14:textId="77777777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NPV=0.98</w:t>
            </w:r>
          </w:p>
        </w:tc>
        <w:tc>
          <w:tcPr>
            <w:tcW w:w="850" w:type="dxa"/>
            <w:vMerge/>
            <w:hideMark/>
          </w:tcPr>
          <w:p w14:paraId="357237D1" w14:textId="77777777" w:rsidR="00734B09" w:rsidRPr="00A86864" w:rsidRDefault="00734B09">
            <w:pPr>
              <w:rPr>
                <w:sz w:val="15"/>
                <w:szCs w:val="15"/>
              </w:rPr>
            </w:pPr>
          </w:p>
        </w:tc>
        <w:tc>
          <w:tcPr>
            <w:tcW w:w="992" w:type="dxa"/>
            <w:hideMark/>
          </w:tcPr>
          <w:p w14:paraId="79D420FE" w14:textId="1E8BCF25" w:rsidR="00734B09" w:rsidRPr="00A86864" w:rsidRDefault="00734B09">
            <w:pPr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PPV=0.49</w:t>
            </w:r>
          </w:p>
        </w:tc>
      </w:tr>
      <w:tr w:rsidR="00A86864" w:rsidRPr="00734B09" w14:paraId="69E45689" w14:textId="77777777" w:rsidTr="00A86864">
        <w:trPr>
          <w:trHeight w:val="552"/>
        </w:trPr>
        <w:tc>
          <w:tcPr>
            <w:tcW w:w="913" w:type="dxa"/>
            <w:hideMark/>
          </w:tcPr>
          <w:p w14:paraId="3313D742" w14:textId="75A8634D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S&lt;1</w:t>
            </w:r>
            <w:r w:rsidRPr="00A86864">
              <w:rPr>
                <w:sz w:val="15"/>
                <w:szCs w:val="15"/>
              </w:rPr>
              <w:t>:</w:t>
            </w:r>
            <w:r w:rsidRPr="00A86864">
              <w:rPr>
                <w:rFonts w:hint="eastAsia"/>
                <w:sz w:val="15"/>
                <w:szCs w:val="15"/>
              </w:rPr>
              <w:t>52（54%</w:t>
            </w:r>
            <w:r w:rsidR="00A86864" w:rsidRPr="00A86864">
              <w:rPr>
                <w:sz w:val="15"/>
                <w:szCs w:val="15"/>
              </w:rPr>
              <w:t>）</w:t>
            </w:r>
          </w:p>
        </w:tc>
        <w:tc>
          <w:tcPr>
            <w:tcW w:w="906" w:type="dxa"/>
            <w:hideMark/>
          </w:tcPr>
          <w:p w14:paraId="1B35DDB0" w14:textId="7FE0DAAC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S&lt;1</w:t>
            </w:r>
            <w:r w:rsidR="00A86864" w:rsidRPr="00A86864">
              <w:rPr>
                <w:rFonts w:hint="eastAsia"/>
                <w:sz w:val="15"/>
                <w:szCs w:val="15"/>
              </w:rPr>
              <w:t>:</w:t>
            </w:r>
            <w:r w:rsidRPr="00A86864">
              <w:rPr>
                <w:rFonts w:hint="eastAsia"/>
                <w:sz w:val="15"/>
                <w:szCs w:val="15"/>
              </w:rPr>
              <w:t>35（36</w:t>
            </w:r>
            <w:r w:rsidR="00A86864" w:rsidRPr="00A86864">
              <w:rPr>
                <w:sz w:val="15"/>
                <w:szCs w:val="15"/>
              </w:rPr>
              <w:t>%</w:t>
            </w:r>
            <w:r w:rsidRPr="00A86864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1011" w:type="dxa"/>
            <w:hideMark/>
          </w:tcPr>
          <w:p w14:paraId="7C867330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S＜1：10（10%）</w:t>
            </w:r>
          </w:p>
        </w:tc>
        <w:tc>
          <w:tcPr>
            <w:tcW w:w="993" w:type="dxa"/>
            <w:hideMark/>
          </w:tcPr>
          <w:p w14:paraId="4CFDF8DD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S＜2：131（86%）</w:t>
            </w:r>
          </w:p>
        </w:tc>
        <w:tc>
          <w:tcPr>
            <w:tcW w:w="850" w:type="dxa"/>
            <w:hideMark/>
          </w:tcPr>
          <w:p w14:paraId="46411D03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S＜2：7（4%）</w:t>
            </w:r>
          </w:p>
        </w:tc>
        <w:tc>
          <w:tcPr>
            <w:tcW w:w="992" w:type="dxa"/>
            <w:hideMark/>
          </w:tcPr>
          <w:p w14:paraId="4B02D70D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S＜2：15（10%）</w:t>
            </w:r>
          </w:p>
        </w:tc>
        <w:tc>
          <w:tcPr>
            <w:tcW w:w="993" w:type="dxa"/>
            <w:hideMark/>
          </w:tcPr>
          <w:p w14:paraId="4700FB31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S＜3：173（83%）</w:t>
            </w:r>
          </w:p>
        </w:tc>
        <w:tc>
          <w:tcPr>
            <w:tcW w:w="850" w:type="dxa"/>
            <w:hideMark/>
          </w:tcPr>
          <w:p w14:paraId="0BB16F1B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S＜3：15（7%）</w:t>
            </w:r>
          </w:p>
        </w:tc>
        <w:tc>
          <w:tcPr>
            <w:tcW w:w="992" w:type="dxa"/>
            <w:hideMark/>
          </w:tcPr>
          <w:p w14:paraId="31000C4B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S＜3：21（10%）</w:t>
            </w:r>
          </w:p>
        </w:tc>
      </w:tr>
      <w:tr w:rsidR="00A86864" w:rsidRPr="00734B09" w14:paraId="5C38E985" w14:textId="77777777" w:rsidTr="00A86864">
        <w:trPr>
          <w:trHeight w:val="552"/>
        </w:trPr>
        <w:tc>
          <w:tcPr>
            <w:tcW w:w="913" w:type="dxa"/>
            <w:hideMark/>
          </w:tcPr>
          <w:p w14:paraId="77D8B5EF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S≥1：13（9%）</w:t>
            </w:r>
          </w:p>
        </w:tc>
        <w:tc>
          <w:tcPr>
            <w:tcW w:w="906" w:type="dxa"/>
            <w:hideMark/>
          </w:tcPr>
          <w:p w14:paraId="4FC88ECE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S≥1：31（22%）</w:t>
            </w:r>
          </w:p>
        </w:tc>
        <w:tc>
          <w:tcPr>
            <w:tcW w:w="1011" w:type="dxa"/>
            <w:hideMark/>
          </w:tcPr>
          <w:p w14:paraId="5C1B4DC6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S≥1：96（69%）</w:t>
            </w:r>
          </w:p>
        </w:tc>
        <w:tc>
          <w:tcPr>
            <w:tcW w:w="993" w:type="dxa"/>
            <w:hideMark/>
          </w:tcPr>
          <w:p w14:paraId="1E839613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S≥2：8（10%）</w:t>
            </w:r>
          </w:p>
        </w:tc>
        <w:tc>
          <w:tcPr>
            <w:tcW w:w="850" w:type="dxa"/>
            <w:hideMark/>
          </w:tcPr>
          <w:p w14:paraId="39211505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S≥2：7（8%）</w:t>
            </w:r>
          </w:p>
        </w:tc>
        <w:tc>
          <w:tcPr>
            <w:tcW w:w="992" w:type="dxa"/>
            <w:hideMark/>
          </w:tcPr>
          <w:p w14:paraId="45302A8C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S≥2：69（82%）</w:t>
            </w:r>
          </w:p>
        </w:tc>
        <w:tc>
          <w:tcPr>
            <w:tcW w:w="993" w:type="dxa"/>
            <w:hideMark/>
          </w:tcPr>
          <w:p w14:paraId="63DD0C82" w14:textId="43050B94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S=3：</w:t>
            </w:r>
            <w:r w:rsidR="00A86864" w:rsidRPr="00A86864">
              <w:rPr>
                <w:rFonts w:hint="eastAsia"/>
                <w:sz w:val="15"/>
                <w:szCs w:val="15"/>
              </w:rPr>
              <w:t>3</w:t>
            </w:r>
            <w:r w:rsidRPr="00A86864">
              <w:rPr>
                <w:rFonts w:hint="eastAsia"/>
                <w:sz w:val="15"/>
                <w:szCs w:val="15"/>
              </w:rPr>
              <w:t>（11%）</w:t>
            </w:r>
          </w:p>
        </w:tc>
        <w:tc>
          <w:tcPr>
            <w:tcW w:w="850" w:type="dxa"/>
            <w:hideMark/>
          </w:tcPr>
          <w:p w14:paraId="3235B44A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S=3：5（18%）</w:t>
            </w:r>
          </w:p>
        </w:tc>
        <w:tc>
          <w:tcPr>
            <w:tcW w:w="992" w:type="dxa"/>
            <w:hideMark/>
          </w:tcPr>
          <w:p w14:paraId="51524549" w14:textId="77777777" w:rsidR="00734B09" w:rsidRPr="00A86864" w:rsidRDefault="00734B09" w:rsidP="00A86864">
            <w:pPr>
              <w:jc w:val="left"/>
              <w:rPr>
                <w:sz w:val="15"/>
                <w:szCs w:val="15"/>
              </w:rPr>
            </w:pPr>
            <w:r w:rsidRPr="00A86864">
              <w:rPr>
                <w:rFonts w:hint="eastAsia"/>
                <w:sz w:val="15"/>
                <w:szCs w:val="15"/>
              </w:rPr>
              <w:t>S=3：20（71%）</w:t>
            </w:r>
          </w:p>
        </w:tc>
      </w:tr>
    </w:tbl>
    <w:p w14:paraId="5874E8C8" w14:textId="79A8C5A6" w:rsidR="00734B09" w:rsidRDefault="00734B09" w:rsidP="0051329E"/>
    <w:sectPr w:rsidR="00734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EFF1A" w14:textId="77777777" w:rsidR="00FE5673" w:rsidRDefault="00FE5673" w:rsidP="00895777">
      <w:r>
        <w:separator/>
      </w:r>
    </w:p>
  </w:endnote>
  <w:endnote w:type="continuationSeparator" w:id="0">
    <w:p w14:paraId="1DDF18B8" w14:textId="77777777" w:rsidR="00FE5673" w:rsidRDefault="00FE5673" w:rsidP="0089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B318F" w14:textId="77777777" w:rsidR="00E171D3" w:rsidRDefault="00E171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DF00" w14:textId="77777777" w:rsidR="00E171D3" w:rsidRDefault="00E171D3" w:rsidP="00E171D3">
    <w:pPr>
      <w:pStyle w:val="a8"/>
    </w:pPr>
    <w:r>
      <w:t>Abbreviations:</w:t>
    </w:r>
  </w:p>
  <w:p w14:paraId="2F8A1BF2" w14:textId="72EDBD59" w:rsidR="00E171D3" w:rsidRDefault="00E171D3" w:rsidP="00E171D3">
    <w:pPr>
      <w:pStyle w:val="a8"/>
      <w:rPr>
        <w:rFonts w:hint="eastAsia"/>
      </w:rPr>
    </w:pPr>
    <w:r>
      <w:t xml:space="preserve">NPV: negative predictive value; PPV: positive predictive value; Se: sensitivity; </w:t>
    </w:r>
    <w:proofErr w:type="spellStart"/>
    <w:r>
      <w:t>Sp</w:t>
    </w:r>
    <w:proofErr w:type="spellEnd"/>
    <w:r>
      <w:t>: specificity; UAP: ultrasound attenuation parameter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165B" w14:textId="77777777" w:rsidR="00E171D3" w:rsidRDefault="00E171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20557" w14:textId="77777777" w:rsidR="00FE5673" w:rsidRDefault="00FE5673" w:rsidP="00895777">
      <w:r>
        <w:separator/>
      </w:r>
    </w:p>
  </w:footnote>
  <w:footnote w:type="continuationSeparator" w:id="0">
    <w:p w14:paraId="07A97FDB" w14:textId="77777777" w:rsidR="00FE5673" w:rsidRDefault="00FE5673" w:rsidP="0089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F3F8B" w14:textId="77777777" w:rsidR="00E171D3" w:rsidRDefault="00E171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7AB0" w14:textId="77777777" w:rsidR="00E171D3" w:rsidRDefault="00E171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567F" w14:textId="77777777" w:rsidR="00E171D3" w:rsidRDefault="00E171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0"/>
    <w:rsid w:val="00000B11"/>
    <w:rsid w:val="000075FF"/>
    <w:rsid w:val="000105E0"/>
    <w:rsid w:val="00015CC2"/>
    <w:rsid w:val="000226E0"/>
    <w:rsid w:val="00031DBE"/>
    <w:rsid w:val="000511A2"/>
    <w:rsid w:val="000560FC"/>
    <w:rsid w:val="00056AAF"/>
    <w:rsid w:val="00062F68"/>
    <w:rsid w:val="0006619E"/>
    <w:rsid w:val="00070AFF"/>
    <w:rsid w:val="0007165F"/>
    <w:rsid w:val="000870CF"/>
    <w:rsid w:val="000A4148"/>
    <w:rsid w:val="000A4DD5"/>
    <w:rsid w:val="000A50D5"/>
    <w:rsid w:val="000A68EB"/>
    <w:rsid w:val="000A7CEB"/>
    <w:rsid w:val="000C247C"/>
    <w:rsid w:val="000C45D8"/>
    <w:rsid w:val="000D6626"/>
    <w:rsid w:val="000E066C"/>
    <w:rsid w:val="000E118F"/>
    <w:rsid w:val="000F30C3"/>
    <w:rsid w:val="000F5A45"/>
    <w:rsid w:val="000F610D"/>
    <w:rsid w:val="00103642"/>
    <w:rsid w:val="00103920"/>
    <w:rsid w:val="00106BE6"/>
    <w:rsid w:val="001143F3"/>
    <w:rsid w:val="0012098B"/>
    <w:rsid w:val="00121A51"/>
    <w:rsid w:val="001425EA"/>
    <w:rsid w:val="00144F18"/>
    <w:rsid w:val="00153FA8"/>
    <w:rsid w:val="001565B3"/>
    <w:rsid w:val="001608CE"/>
    <w:rsid w:val="0017531B"/>
    <w:rsid w:val="0018040F"/>
    <w:rsid w:val="001813C6"/>
    <w:rsid w:val="001820E8"/>
    <w:rsid w:val="001C30C9"/>
    <w:rsid w:val="001C36D8"/>
    <w:rsid w:val="001D7B45"/>
    <w:rsid w:val="001E7971"/>
    <w:rsid w:val="001F0411"/>
    <w:rsid w:val="0022610E"/>
    <w:rsid w:val="002324D3"/>
    <w:rsid w:val="002328E2"/>
    <w:rsid w:val="002334BD"/>
    <w:rsid w:val="00245A97"/>
    <w:rsid w:val="002502D4"/>
    <w:rsid w:val="00255C81"/>
    <w:rsid w:val="0025640F"/>
    <w:rsid w:val="002631D5"/>
    <w:rsid w:val="00266802"/>
    <w:rsid w:val="00275426"/>
    <w:rsid w:val="002768C7"/>
    <w:rsid w:val="00277593"/>
    <w:rsid w:val="00285246"/>
    <w:rsid w:val="002908D2"/>
    <w:rsid w:val="002A7C85"/>
    <w:rsid w:val="002B0447"/>
    <w:rsid w:val="002B38D9"/>
    <w:rsid w:val="002B3BFD"/>
    <w:rsid w:val="002C5A07"/>
    <w:rsid w:val="002C75D1"/>
    <w:rsid w:val="002D6FBC"/>
    <w:rsid w:val="002D743C"/>
    <w:rsid w:val="002E1BE2"/>
    <w:rsid w:val="002E247E"/>
    <w:rsid w:val="002E2F01"/>
    <w:rsid w:val="0030104B"/>
    <w:rsid w:val="00302FB1"/>
    <w:rsid w:val="00307146"/>
    <w:rsid w:val="003110CD"/>
    <w:rsid w:val="00311E38"/>
    <w:rsid w:val="00313F0A"/>
    <w:rsid w:val="00342023"/>
    <w:rsid w:val="0034604A"/>
    <w:rsid w:val="00352A19"/>
    <w:rsid w:val="0035317C"/>
    <w:rsid w:val="00353613"/>
    <w:rsid w:val="00354063"/>
    <w:rsid w:val="003614D4"/>
    <w:rsid w:val="0037567B"/>
    <w:rsid w:val="00385C02"/>
    <w:rsid w:val="00387DCF"/>
    <w:rsid w:val="0039174E"/>
    <w:rsid w:val="0039380A"/>
    <w:rsid w:val="003965A7"/>
    <w:rsid w:val="00396F29"/>
    <w:rsid w:val="00397C52"/>
    <w:rsid w:val="003A398A"/>
    <w:rsid w:val="003A6473"/>
    <w:rsid w:val="003B050C"/>
    <w:rsid w:val="003B21FF"/>
    <w:rsid w:val="003B6A7A"/>
    <w:rsid w:val="003C5A10"/>
    <w:rsid w:val="003C73D6"/>
    <w:rsid w:val="003D6CF1"/>
    <w:rsid w:val="003F32C3"/>
    <w:rsid w:val="004037CE"/>
    <w:rsid w:val="00416974"/>
    <w:rsid w:val="00416ED4"/>
    <w:rsid w:val="004175DF"/>
    <w:rsid w:val="00417D43"/>
    <w:rsid w:val="00421A8C"/>
    <w:rsid w:val="00434A75"/>
    <w:rsid w:val="004455A5"/>
    <w:rsid w:val="00461E0B"/>
    <w:rsid w:val="00465CAC"/>
    <w:rsid w:val="00470DA0"/>
    <w:rsid w:val="00477F90"/>
    <w:rsid w:val="004854BF"/>
    <w:rsid w:val="0049191E"/>
    <w:rsid w:val="004A3323"/>
    <w:rsid w:val="004A5F03"/>
    <w:rsid w:val="004A657B"/>
    <w:rsid w:val="00504484"/>
    <w:rsid w:val="005124B1"/>
    <w:rsid w:val="0051329E"/>
    <w:rsid w:val="005169A3"/>
    <w:rsid w:val="005270E6"/>
    <w:rsid w:val="00535658"/>
    <w:rsid w:val="005368D2"/>
    <w:rsid w:val="00541B70"/>
    <w:rsid w:val="005516A0"/>
    <w:rsid w:val="00552AE6"/>
    <w:rsid w:val="0055736F"/>
    <w:rsid w:val="005672F6"/>
    <w:rsid w:val="00567517"/>
    <w:rsid w:val="00580C0E"/>
    <w:rsid w:val="00584DF9"/>
    <w:rsid w:val="00596065"/>
    <w:rsid w:val="005B24F4"/>
    <w:rsid w:val="005B38AF"/>
    <w:rsid w:val="005D4AC8"/>
    <w:rsid w:val="005D5729"/>
    <w:rsid w:val="005E3000"/>
    <w:rsid w:val="005E4169"/>
    <w:rsid w:val="006054A0"/>
    <w:rsid w:val="00607A8C"/>
    <w:rsid w:val="00607D70"/>
    <w:rsid w:val="006270B6"/>
    <w:rsid w:val="0063601E"/>
    <w:rsid w:val="00640293"/>
    <w:rsid w:val="0065232F"/>
    <w:rsid w:val="0065379F"/>
    <w:rsid w:val="0066376A"/>
    <w:rsid w:val="00666FA0"/>
    <w:rsid w:val="00690BE6"/>
    <w:rsid w:val="006A04D2"/>
    <w:rsid w:val="006A2688"/>
    <w:rsid w:val="006C6A54"/>
    <w:rsid w:val="006D0CB8"/>
    <w:rsid w:val="006D3B00"/>
    <w:rsid w:val="00700864"/>
    <w:rsid w:val="0070463E"/>
    <w:rsid w:val="00711745"/>
    <w:rsid w:val="007346A1"/>
    <w:rsid w:val="00734B09"/>
    <w:rsid w:val="00742A6D"/>
    <w:rsid w:val="007446C1"/>
    <w:rsid w:val="00752D32"/>
    <w:rsid w:val="00756985"/>
    <w:rsid w:val="00764BB6"/>
    <w:rsid w:val="00784CBA"/>
    <w:rsid w:val="0078767B"/>
    <w:rsid w:val="00791A6D"/>
    <w:rsid w:val="00796481"/>
    <w:rsid w:val="007B0014"/>
    <w:rsid w:val="007B445C"/>
    <w:rsid w:val="007B7BBA"/>
    <w:rsid w:val="007C3626"/>
    <w:rsid w:val="007D3669"/>
    <w:rsid w:val="007E35C2"/>
    <w:rsid w:val="008070B8"/>
    <w:rsid w:val="00825E8E"/>
    <w:rsid w:val="008455C3"/>
    <w:rsid w:val="0084583D"/>
    <w:rsid w:val="00852634"/>
    <w:rsid w:val="0085285C"/>
    <w:rsid w:val="00865C60"/>
    <w:rsid w:val="00870510"/>
    <w:rsid w:val="00870CED"/>
    <w:rsid w:val="00873F4D"/>
    <w:rsid w:val="00875005"/>
    <w:rsid w:val="00890E8D"/>
    <w:rsid w:val="00895777"/>
    <w:rsid w:val="008A7626"/>
    <w:rsid w:val="008B3470"/>
    <w:rsid w:val="008B74E7"/>
    <w:rsid w:val="008B7BDE"/>
    <w:rsid w:val="008C7C50"/>
    <w:rsid w:val="008D7226"/>
    <w:rsid w:val="008E6F25"/>
    <w:rsid w:val="008F248A"/>
    <w:rsid w:val="008F494B"/>
    <w:rsid w:val="008F7AB7"/>
    <w:rsid w:val="009055AD"/>
    <w:rsid w:val="0091518C"/>
    <w:rsid w:val="009175EA"/>
    <w:rsid w:val="0093111E"/>
    <w:rsid w:val="00937EE9"/>
    <w:rsid w:val="0095232A"/>
    <w:rsid w:val="00961DEC"/>
    <w:rsid w:val="00965A2A"/>
    <w:rsid w:val="00970AA0"/>
    <w:rsid w:val="00982428"/>
    <w:rsid w:val="00982C0D"/>
    <w:rsid w:val="009907EB"/>
    <w:rsid w:val="0099387B"/>
    <w:rsid w:val="00993979"/>
    <w:rsid w:val="009A206D"/>
    <w:rsid w:val="009B2EF3"/>
    <w:rsid w:val="009B3E0C"/>
    <w:rsid w:val="009C2B21"/>
    <w:rsid w:val="009C5795"/>
    <w:rsid w:val="009D0584"/>
    <w:rsid w:val="009D22B3"/>
    <w:rsid w:val="009D7A39"/>
    <w:rsid w:val="009E238D"/>
    <w:rsid w:val="009F040F"/>
    <w:rsid w:val="00A0394C"/>
    <w:rsid w:val="00A1613B"/>
    <w:rsid w:val="00A21CB7"/>
    <w:rsid w:val="00A56C6D"/>
    <w:rsid w:val="00A60ECE"/>
    <w:rsid w:val="00A64F7B"/>
    <w:rsid w:val="00A6526E"/>
    <w:rsid w:val="00A653B5"/>
    <w:rsid w:val="00A6559A"/>
    <w:rsid w:val="00A67171"/>
    <w:rsid w:val="00A73D57"/>
    <w:rsid w:val="00A77451"/>
    <w:rsid w:val="00A86864"/>
    <w:rsid w:val="00A91C2F"/>
    <w:rsid w:val="00AC3677"/>
    <w:rsid w:val="00AC43DF"/>
    <w:rsid w:val="00AD52E4"/>
    <w:rsid w:val="00AD7CA6"/>
    <w:rsid w:val="00AE0B70"/>
    <w:rsid w:val="00AF52A2"/>
    <w:rsid w:val="00B02F10"/>
    <w:rsid w:val="00B41BB4"/>
    <w:rsid w:val="00B54261"/>
    <w:rsid w:val="00B82D7F"/>
    <w:rsid w:val="00BA6345"/>
    <w:rsid w:val="00BA6D85"/>
    <w:rsid w:val="00BC0E0F"/>
    <w:rsid w:val="00BD648F"/>
    <w:rsid w:val="00BE46EB"/>
    <w:rsid w:val="00BE5B27"/>
    <w:rsid w:val="00BE6F63"/>
    <w:rsid w:val="00BF061B"/>
    <w:rsid w:val="00C01071"/>
    <w:rsid w:val="00C0163F"/>
    <w:rsid w:val="00C05847"/>
    <w:rsid w:val="00C1522F"/>
    <w:rsid w:val="00C37598"/>
    <w:rsid w:val="00C41EC8"/>
    <w:rsid w:val="00C46A50"/>
    <w:rsid w:val="00C71EEF"/>
    <w:rsid w:val="00C80D3D"/>
    <w:rsid w:val="00C85C97"/>
    <w:rsid w:val="00C86EE8"/>
    <w:rsid w:val="00C907DB"/>
    <w:rsid w:val="00C93B00"/>
    <w:rsid w:val="00CA1D85"/>
    <w:rsid w:val="00CB2F1A"/>
    <w:rsid w:val="00CB5691"/>
    <w:rsid w:val="00CE3480"/>
    <w:rsid w:val="00CF00B3"/>
    <w:rsid w:val="00D01FFA"/>
    <w:rsid w:val="00D14FFA"/>
    <w:rsid w:val="00D15EFF"/>
    <w:rsid w:val="00D17855"/>
    <w:rsid w:val="00D215E5"/>
    <w:rsid w:val="00D402E4"/>
    <w:rsid w:val="00D40549"/>
    <w:rsid w:val="00D61682"/>
    <w:rsid w:val="00D76A23"/>
    <w:rsid w:val="00D85955"/>
    <w:rsid w:val="00D95BD1"/>
    <w:rsid w:val="00DA66C1"/>
    <w:rsid w:val="00DA7C3F"/>
    <w:rsid w:val="00DB1713"/>
    <w:rsid w:val="00DB6EF7"/>
    <w:rsid w:val="00DC5AE7"/>
    <w:rsid w:val="00DD4A3E"/>
    <w:rsid w:val="00DD5E8E"/>
    <w:rsid w:val="00DD760E"/>
    <w:rsid w:val="00DE4096"/>
    <w:rsid w:val="00DF4A4E"/>
    <w:rsid w:val="00DF5954"/>
    <w:rsid w:val="00E13BAD"/>
    <w:rsid w:val="00E152E0"/>
    <w:rsid w:val="00E171D3"/>
    <w:rsid w:val="00E213B8"/>
    <w:rsid w:val="00E21A58"/>
    <w:rsid w:val="00E246EE"/>
    <w:rsid w:val="00E40570"/>
    <w:rsid w:val="00E50B3E"/>
    <w:rsid w:val="00E51A8E"/>
    <w:rsid w:val="00E53B8D"/>
    <w:rsid w:val="00E57EAE"/>
    <w:rsid w:val="00E63371"/>
    <w:rsid w:val="00E7168C"/>
    <w:rsid w:val="00E716CD"/>
    <w:rsid w:val="00E73040"/>
    <w:rsid w:val="00E747CD"/>
    <w:rsid w:val="00E753CD"/>
    <w:rsid w:val="00E94138"/>
    <w:rsid w:val="00EA13CB"/>
    <w:rsid w:val="00EA1A5C"/>
    <w:rsid w:val="00EA3FA4"/>
    <w:rsid w:val="00EA485C"/>
    <w:rsid w:val="00EA5A79"/>
    <w:rsid w:val="00EA6A6F"/>
    <w:rsid w:val="00EB1F18"/>
    <w:rsid w:val="00ED24BF"/>
    <w:rsid w:val="00EE458F"/>
    <w:rsid w:val="00EF5560"/>
    <w:rsid w:val="00F03772"/>
    <w:rsid w:val="00F03DE9"/>
    <w:rsid w:val="00F079B6"/>
    <w:rsid w:val="00F13614"/>
    <w:rsid w:val="00F23A0E"/>
    <w:rsid w:val="00F354A6"/>
    <w:rsid w:val="00F37797"/>
    <w:rsid w:val="00F72F45"/>
    <w:rsid w:val="00F74278"/>
    <w:rsid w:val="00F96252"/>
    <w:rsid w:val="00F967FE"/>
    <w:rsid w:val="00FA1916"/>
    <w:rsid w:val="00FA403D"/>
    <w:rsid w:val="00FA4D35"/>
    <w:rsid w:val="00FC1DB5"/>
    <w:rsid w:val="00FC4221"/>
    <w:rsid w:val="00FC59D5"/>
    <w:rsid w:val="00FD2A75"/>
    <w:rsid w:val="00FE0AEE"/>
    <w:rsid w:val="00FE2CAE"/>
    <w:rsid w:val="00FE5673"/>
    <w:rsid w:val="00FE599E"/>
    <w:rsid w:val="00FE64EE"/>
    <w:rsid w:val="00FF4D4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516F"/>
  <w15:chartTrackingRefBased/>
  <w15:docId w15:val="{5EB41579-58A7-4E96-BC8F-07777B2F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0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B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C2B21"/>
    <w:rPr>
      <w:sz w:val="18"/>
      <w:szCs w:val="18"/>
    </w:rPr>
  </w:style>
  <w:style w:type="character" w:customStyle="1" w:styleId="DefaultParagraphFont2">
    <w:name w:val="Default Paragraph Font 2"/>
    <w:uiPriority w:val="1"/>
    <w:semiHidden/>
    <w:unhideWhenUsed/>
    <w:rsid w:val="009C2B21"/>
  </w:style>
  <w:style w:type="table" w:styleId="a5">
    <w:name w:val="Table Grid"/>
    <w:basedOn w:val="a1"/>
    <w:uiPriority w:val="39"/>
    <w:rsid w:val="001C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5"/>
    <w:uiPriority w:val="39"/>
    <w:rsid w:val="0051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5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57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5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577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3CD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753CD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753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753C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75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971F-3C31-4936-86B1-3F0D1217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曲</dc:creator>
  <cp:keywords/>
  <dc:description/>
  <cp:lastModifiedBy>Qu, Ying (NIH/NIAAA) [G]</cp:lastModifiedBy>
  <cp:revision>5</cp:revision>
  <cp:lastPrinted>2020-02-27T03:16:00Z</cp:lastPrinted>
  <dcterms:created xsi:type="dcterms:W3CDTF">2020-06-08T01:59:00Z</dcterms:created>
  <dcterms:modified xsi:type="dcterms:W3CDTF">2020-11-22T11:23:00Z</dcterms:modified>
</cp:coreProperties>
</file>