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DAF67" w14:textId="77777777" w:rsidR="0084614C" w:rsidRDefault="0084614C" w:rsidP="0084614C">
      <w:pPr>
        <w:spacing w:after="240"/>
        <w:jc w:val="both"/>
        <w:rPr>
          <w:rFonts w:ascii="Times New Roman" w:hAnsi="Times New Roman"/>
          <w:b/>
          <w:color w:val="FF0000"/>
        </w:rPr>
      </w:pPr>
    </w:p>
    <w:p w14:paraId="73E1EC15" w14:textId="524ABF86" w:rsidR="0084614C" w:rsidRPr="0091344C" w:rsidRDefault="0084614C" w:rsidP="0084614C">
      <w:pPr>
        <w:spacing w:after="240"/>
        <w:jc w:val="both"/>
        <w:rPr>
          <w:rFonts w:ascii="Times New Roman" w:hAnsi="Times New Roman" w:cs="Times New Roman"/>
        </w:rPr>
      </w:pPr>
      <w:r w:rsidRPr="00FE6C64">
        <w:rPr>
          <w:rFonts w:ascii="Times New Roman" w:hAnsi="Times New Roman"/>
          <w:b/>
          <w:color w:val="000000" w:themeColor="text1"/>
        </w:rPr>
        <w:t xml:space="preserve">Supplementary Table </w:t>
      </w:r>
      <w:r w:rsidR="001972B6">
        <w:rPr>
          <w:rFonts w:ascii="Times New Roman" w:hAnsi="Times New Roman"/>
          <w:b/>
          <w:color w:val="000000" w:themeColor="text1"/>
        </w:rPr>
        <w:t>1</w:t>
      </w:r>
      <w:r w:rsidRPr="00FE6C64">
        <w:rPr>
          <w:rFonts w:ascii="Times New Roman" w:hAnsi="Times New Roman"/>
          <w:b/>
          <w:color w:val="000000" w:themeColor="text1"/>
        </w:rPr>
        <w:t>:</w:t>
      </w:r>
      <w:r w:rsidRPr="00FE6C6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45556">
        <w:rPr>
          <w:rFonts w:ascii="Times New Roman" w:hAnsi="Times New Roman" w:cs="Times New Roman"/>
          <w:b/>
        </w:rPr>
        <w:t>Cag A and Vac A positivity among patients with functional dyspepsia (FD) and peptic ulcer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858"/>
        <w:gridCol w:w="2427"/>
        <w:gridCol w:w="1264"/>
        <w:gridCol w:w="1945"/>
      </w:tblGrid>
      <w:tr w:rsidR="0084614C" w:rsidRPr="00445556" w14:paraId="6FC7887E" w14:textId="77777777" w:rsidTr="00605035">
        <w:trPr>
          <w:trHeight w:val="2258"/>
        </w:trPr>
        <w:tc>
          <w:tcPr>
            <w:tcW w:w="1870" w:type="dxa"/>
          </w:tcPr>
          <w:p w14:paraId="3D2AC55C" w14:textId="77777777" w:rsidR="0084614C" w:rsidRPr="00445556" w:rsidRDefault="0084614C" w:rsidP="0060503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45556">
              <w:rPr>
                <w:rFonts w:ascii="Times New Roman" w:hAnsi="Times New Roman" w:cs="Times New Roman"/>
                <w:b/>
              </w:rPr>
              <w:t xml:space="preserve"> Virulence factors</w:t>
            </w:r>
          </w:p>
        </w:tc>
        <w:tc>
          <w:tcPr>
            <w:tcW w:w="1870" w:type="dxa"/>
          </w:tcPr>
          <w:p w14:paraId="2CE22B45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556">
              <w:rPr>
                <w:rFonts w:ascii="Times New Roman" w:hAnsi="Times New Roman" w:cs="Times New Roman"/>
                <w:b/>
              </w:rPr>
              <w:t xml:space="preserve">Functional dyspepsia  </w:t>
            </w:r>
          </w:p>
          <w:p w14:paraId="7BA2CF87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556">
              <w:rPr>
                <w:rFonts w:ascii="Times New Roman" w:hAnsi="Times New Roman" w:cs="Times New Roman"/>
                <w:b/>
              </w:rPr>
              <w:t>(total 170)</w:t>
            </w:r>
          </w:p>
          <w:p w14:paraId="3000699A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556">
              <w:rPr>
                <w:rFonts w:ascii="Times New Roman" w:hAnsi="Times New Roman" w:cs="Times New Roman"/>
                <w:b/>
              </w:rPr>
              <w:t>% (N)</w:t>
            </w:r>
          </w:p>
        </w:tc>
        <w:tc>
          <w:tcPr>
            <w:tcW w:w="2464" w:type="dxa"/>
          </w:tcPr>
          <w:p w14:paraId="1AE000A7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556">
              <w:rPr>
                <w:rFonts w:ascii="Times New Roman" w:hAnsi="Times New Roman" w:cs="Times New Roman"/>
                <w:b/>
              </w:rPr>
              <w:t xml:space="preserve">Peptic ulcer </w:t>
            </w:r>
          </w:p>
          <w:p w14:paraId="1E85D9FE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556">
              <w:rPr>
                <w:rFonts w:ascii="Times New Roman" w:hAnsi="Times New Roman" w:cs="Times New Roman"/>
                <w:b/>
              </w:rPr>
              <w:t>(total 74)</w:t>
            </w:r>
          </w:p>
          <w:p w14:paraId="10089827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556">
              <w:rPr>
                <w:rFonts w:ascii="Times New Roman" w:hAnsi="Times New Roman" w:cs="Times New Roman"/>
                <w:b/>
              </w:rPr>
              <w:t>% (N)</w:t>
            </w:r>
          </w:p>
        </w:tc>
        <w:tc>
          <w:tcPr>
            <w:tcW w:w="1276" w:type="dxa"/>
          </w:tcPr>
          <w:p w14:paraId="34C1D075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0E5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445556">
              <w:rPr>
                <w:rFonts w:ascii="Times New Roman" w:hAnsi="Times New Roman" w:cs="Times New Roman"/>
                <w:b/>
              </w:rPr>
              <w:t>- value</w:t>
            </w:r>
          </w:p>
        </w:tc>
        <w:tc>
          <w:tcPr>
            <w:tcW w:w="1963" w:type="dxa"/>
          </w:tcPr>
          <w:p w14:paraId="0A66EC81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556">
              <w:rPr>
                <w:rFonts w:ascii="Times New Roman" w:hAnsi="Times New Roman" w:cs="Times New Roman"/>
                <w:b/>
              </w:rPr>
              <w:t>All dyspeptic patients (FD and PU- total 244)</w:t>
            </w:r>
          </w:p>
          <w:p w14:paraId="298BB5BB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556">
              <w:rPr>
                <w:rFonts w:ascii="Times New Roman" w:hAnsi="Times New Roman" w:cs="Times New Roman"/>
                <w:b/>
              </w:rPr>
              <w:t>% (N)</w:t>
            </w:r>
          </w:p>
        </w:tc>
      </w:tr>
      <w:tr w:rsidR="0084614C" w:rsidRPr="00445556" w14:paraId="5ECF1846" w14:textId="77777777" w:rsidTr="00605035">
        <w:tc>
          <w:tcPr>
            <w:tcW w:w="1870" w:type="dxa"/>
          </w:tcPr>
          <w:p w14:paraId="54CC4781" w14:textId="77777777" w:rsidR="0084614C" w:rsidRPr="00445556" w:rsidRDefault="0084614C" w:rsidP="0060503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 xml:space="preserve">    CagA +ve</w:t>
            </w:r>
          </w:p>
        </w:tc>
        <w:tc>
          <w:tcPr>
            <w:tcW w:w="1870" w:type="dxa"/>
          </w:tcPr>
          <w:p w14:paraId="3BDFF1E9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43.5% (74)</w:t>
            </w:r>
          </w:p>
        </w:tc>
        <w:tc>
          <w:tcPr>
            <w:tcW w:w="2464" w:type="dxa"/>
          </w:tcPr>
          <w:p w14:paraId="19504D84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70.36 % (52)</w:t>
            </w:r>
          </w:p>
        </w:tc>
        <w:tc>
          <w:tcPr>
            <w:tcW w:w="1276" w:type="dxa"/>
          </w:tcPr>
          <w:p w14:paraId="38BA7A93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963" w:type="dxa"/>
          </w:tcPr>
          <w:p w14:paraId="64FD2707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51.6% (126)</w:t>
            </w:r>
          </w:p>
        </w:tc>
      </w:tr>
      <w:tr w:rsidR="0084614C" w:rsidRPr="00445556" w14:paraId="078A6908" w14:textId="77777777" w:rsidTr="00605035">
        <w:tc>
          <w:tcPr>
            <w:tcW w:w="1870" w:type="dxa"/>
          </w:tcPr>
          <w:p w14:paraId="49E32260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Vac A s1m1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70" w:type="dxa"/>
          </w:tcPr>
          <w:p w14:paraId="29AA9AC3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38.8% (66)</w:t>
            </w:r>
          </w:p>
        </w:tc>
        <w:tc>
          <w:tcPr>
            <w:tcW w:w="2464" w:type="dxa"/>
          </w:tcPr>
          <w:p w14:paraId="10FFF52C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64.9% (48)</w:t>
            </w:r>
          </w:p>
        </w:tc>
        <w:tc>
          <w:tcPr>
            <w:tcW w:w="1276" w:type="dxa"/>
          </w:tcPr>
          <w:p w14:paraId="466D53A7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963" w:type="dxa"/>
          </w:tcPr>
          <w:p w14:paraId="6B2F101F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46.72% (114)</w:t>
            </w:r>
          </w:p>
        </w:tc>
      </w:tr>
      <w:tr w:rsidR="0084614C" w:rsidRPr="00445556" w14:paraId="29D44407" w14:textId="77777777" w:rsidTr="00605035">
        <w:tc>
          <w:tcPr>
            <w:tcW w:w="1870" w:type="dxa"/>
          </w:tcPr>
          <w:p w14:paraId="63EBFD72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Vac A s1m2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870" w:type="dxa"/>
          </w:tcPr>
          <w:p w14:paraId="6F66D853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28.2% (48)</w:t>
            </w:r>
          </w:p>
        </w:tc>
        <w:tc>
          <w:tcPr>
            <w:tcW w:w="2464" w:type="dxa"/>
          </w:tcPr>
          <w:p w14:paraId="5785E728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20.3% (15)</w:t>
            </w:r>
          </w:p>
        </w:tc>
        <w:tc>
          <w:tcPr>
            <w:tcW w:w="1276" w:type="dxa"/>
          </w:tcPr>
          <w:p w14:paraId="4701BEE0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1963" w:type="dxa"/>
          </w:tcPr>
          <w:p w14:paraId="29046CF2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25.81% (63)</w:t>
            </w:r>
          </w:p>
        </w:tc>
      </w:tr>
      <w:tr w:rsidR="0084614C" w:rsidRPr="00445556" w14:paraId="4A3FEF4D" w14:textId="77777777" w:rsidTr="00605035">
        <w:tc>
          <w:tcPr>
            <w:tcW w:w="1870" w:type="dxa"/>
          </w:tcPr>
          <w:p w14:paraId="4F42784A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Vac A s2m1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870" w:type="dxa"/>
          </w:tcPr>
          <w:p w14:paraId="440D8E1E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3.5% (6)</w:t>
            </w:r>
          </w:p>
        </w:tc>
        <w:tc>
          <w:tcPr>
            <w:tcW w:w="2464" w:type="dxa"/>
          </w:tcPr>
          <w:p w14:paraId="5711E991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1.4% (1)</w:t>
            </w:r>
          </w:p>
        </w:tc>
        <w:tc>
          <w:tcPr>
            <w:tcW w:w="1276" w:type="dxa"/>
          </w:tcPr>
          <w:p w14:paraId="653A4341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0.678</w:t>
            </w:r>
          </w:p>
        </w:tc>
        <w:tc>
          <w:tcPr>
            <w:tcW w:w="1963" w:type="dxa"/>
          </w:tcPr>
          <w:p w14:paraId="0732FDD1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2.86% (7)</w:t>
            </w:r>
          </w:p>
        </w:tc>
      </w:tr>
      <w:tr w:rsidR="0084614C" w:rsidRPr="00445556" w14:paraId="12410250" w14:textId="77777777" w:rsidTr="00605035">
        <w:tc>
          <w:tcPr>
            <w:tcW w:w="1870" w:type="dxa"/>
          </w:tcPr>
          <w:p w14:paraId="11CC358B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Vac A s2m2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870" w:type="dxa"/>
          </w:tcPr>
          <w:p w14:paraId="622EBD6E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4.1% (7)</w:t>
            </w:r>
          </w:p>
        </w:tc>
        <w:tc>
          <w:tcPr>
            <w:tcW w:w="2464" w:type="dxa"/>
          </w:tcPr>
          <w:p w14:paraId="36261E0C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1.4% (1)</w:t>
            </w:r>
          </w:p>
        </w:tc>
        <w:tc>
          <w:tcPr>
            <w:tcW w:w="1276" w:type="dxa"/>
          </w:tcPr>
          <w:p w14:paraId="6F5B7A37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0.441</w:t>
            </w:r>
          </w:p>
        </w:tc>
        <w:tc>
          <w:tcPr>
            <w:tcW w:w="1963" w:type="dxa"/>
          </w:tcPr>
          <w:p w14:paraId="236C713D" w14:textId="77777777" w:rsidR="0084614C" w:rsidRPr="00445556" w:rsidRDefault="0084614C" w:rsidP="006050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5556">
              <w:rPr>
                <w:rFonts w:ascii="Times New Roman" w:hAnsi="Times New Roman" w:cs="Times New Roman"/>
              </w:rPr>
              <w:t>3.28% (8)</w:t>
            </w:r>
          </w:p>
        </w:tc>
      </w:tr>
    </w:tbl>
    <w:p w14:paraId="63025FAC" w14:textId="77777777" w:rsidR="0084614C" w:rsidRPr="00FE6C64" w:rsidRDefault="0084614C" w:rsidP="0084614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E6C64">
        <w:rPr>
          <w:rFonts w:ascii="Times New Roman" w:hAnsi="Times New Roman" w:cs="Times New Roman"/>
          <w:b/>
          <w:color w:val="000000" w:themeColor="text1"/>
        </w:rPr>
        <w:t xml:space="preserve">Most virulent, </w:t>
      </w:r>
      <w:r w:rsidRPr="00FE6C64">
        <w:rPr>
          <w:rFonts w:ascii="Times New Roman" w:hAnsi="Times New Roman" w:cs="Times New Roman"/>
          <w:color w:val="000000" w:themeColor="text1"/>
        </w:rPr>
        <w:t>**</w:t>
      </w:r>
      <w:r w:rsidRPr="00FE6C64">
        <w:rPr>
          <w:rFonts w:ascii="Times New Roman" w:hAnsi="Times New Roman" w:cs="Times New Roman"/>
          <w:b/>
          <w:color w:val="000000" w:themeColor="text1"/>
        </w:rPr>
        <w:t xml:space="preserve">intermediate virulent, </w:t>
      </w:r>
      <w:r w:rsidRPr="00FE6C64">
        <w:rPr>
          <w:rFonts w:ascii="Times New Roman" w:hAnsi="Times New Roman" w:cs="Times New Roman"/>
          <w:color w:val="000000" w:themeColor="text1"/>
        </w:rPr>
        <w:t>***</w:t>
      </w:r>
      <w:r w:rsidRPr="00FE6C64">
        <w:rPr>
          <w:rFonts w:ascii="Times New Roman" w:hAnsi="Times New Roman" w:cs="Times New Roman"/>
          <w:b/>
          <w:color w:val="000000" w:themeColor="text1"/>
        </w:rPr>
        <w:t>non-virulent</w:t>
      </w:r>
    </w:p>
    <w:p w14:paraId="4C4A8AC9" w14:textId="77134B60" w:rsidR="00BA419C" w:rsidRDefault="00BA419C"/>
    <w:p w14:paraId="3A3FA2E7" w14:textId="365949AA" w:rsidR="00F97ADB" w:rsidRDefault="00F97ADB"/>
    <w:p w14:paraId="1A6BDF1E" w14:textId="375B4C01" w:rsidR="00F97ADB" w:rsidRDefault="00F97ADB"/>
    <w:p w14:paraId="118A71F7" w14:textId="0742CD47" w:rsidR="00F97ADB" w:rsidRDefault="00F97ADB"/>
    <w:p w14:paraId="28C9C747" w14:textId="5FEEC841" w:rsidR="00F97ADB" w:rsidRDefault="00F97ADB"/>
    <w:p w14:paraId="6685612B" w14:textId="25ED9C9E" w:rsidR="00F97ADB" w:rsidRDefault="00F97ADB"/>
    <w:p w14:paraId="279E25C1" w14:textId="791B141C" w:rsidR="00F97ADB" w:rsidRDefault="00F97ADB"/>
    <w:p w14:paraId="1EDF5C74" w14:textId="79EA7F5E" w:rsidR="00F97ADB" w:rsidRDefault="00F97ADB"/>
    <w:p w14:paraId="34251FF3" w14:textId="0F478F36" w:rsidR="00F97ADB" w:rsidRDefault="00F97ADB"/>
    <w:p w14:paraId="474DCD9A" w14:textId="0ED575A0" w:rsidR="00F97ADB" w:rsidRDefault="00F97ADB"/>
    <w:p w14:paraId="2E0E2516" w14:textId="6FB18C0A" w:rsidR="00F97ADB" w:rsidRDefault="00F97ADB"/>
    <w:p w14:paraId="09564DAD" w14:textId="4EEEAB02" w:rsidR="00F97ADB" w:rsidRDefault="00F97ADB"/>
    <w:p w14:paraId="3523384E" w14:textId="2333D43E" w:rsidR="00F97ADB" w:rsidRDefault="00F97ADB"/>
    <w:p w14:paraId="16620214" w14:textId="48F66B8B" w:rsidR="00F97ADB" w:rsidRDefault="00F97ADB"/>
    <w:p w14:paraId="308888C4" w14:textId="00F395CF" w:rsidR="00F97ADB" w:rsidRDefault="00F97ADB"/>
    <w:p w14:paraId="1BC6C812" w14:textId="33F611EA" w:rsidR="00F97ADB" w:rsidRDefault="00F97ADB"/>
    <w:p w14:paraId="021A05E8" w14:textId="3B61407A" w:rsidR="00F97ADB" w:rsidRDefault="00F97ADB"/>
    <w:sectPr w:rsidR="00F97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E4837"/>
    <w:multiLevelType w:val="hybridMultilevel"/>
    <w:tmpl w:val="B48032E0"/>
    <w:lvl w:ilvl="0" w:tplc="F910A2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9C"/>
    <w:rsid w:val="0011230A"/>
    <w:rsid w:val="00164F49"/>
    <w:rsid w:val="001972B6"/>
    <w:rsid w:val="003F7BE3"/>
    <w:rsid w:val="00470F41"/>
    <w:rsid w:val="004E475D"/>
    <w:rsid w:val="005E21B4"/>
    <w:rsid w:val="006037DC"/>
    <w:rsid w:val="00614CE9"/>
    <w:rsid w:val="00634528"/>
    <w:rsid w:val="006576D7"/>
    <w:rsid w:val="007E5A1C"/>
    <w:rsid w:val="0084418C"/>
    <w:rsid w:val="0084614C"/>
    <w:rsid w:val="00872C50"/>
    <w:rsid w:val="008A66F8"/>
    <w:rsid w:val="00B45D65"/>
    <w:rsid w:val="00BA419C"/>
    <w:rsid w:val="00EA1CE4"/>
    <w:rsid w:val="00EB0C2B"/>
    <w:rsid w:val="00EF3BF8"/>
    <w:rsid w:val="00F031A6"/>
    <w:rsid w:val="00F67D37"/>
    <w:rsid w:val="00F97ADB"/>
    <w:rsid w:val="00FA4320"/>
    <w:rsid w:val="00FE4E5E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8265"/>
  <w15:chartTrackingRefBased/>
  <w15:docId w15:val="{831FD380-9988-4152-BB21-F0D4B321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14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4614C"/>
    <w:pPr>
      <w:ind w:left="720"/>
      <w:contextualSpacing/>
    </w:pPr>
    <w:rPr>
      <w:rFonts w:ascii="Cambria" w:eastAsia="MS Mincho" w:hAnsi="Cambria" w:cs="Times New Roman"/>
    </w:rPr>
  </w:style>
  <w:style w:type="table" w:styleId="TableGrid">
    <w:name w:val="Table Grid"/>
    <w:basedOn w:val="TableNormal"/>
    <w:uiPriority w:val="39"/>
    <w:rsid w:val="0084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2020-08-29T07:25:00Z</cp:lastPrinted>
  <dcterms:created xsi:type="dcterms:W3CDTF">2020-08-28T02:40:00Z</dcterms:created>
  <dcterms:modified xsi:type="dcterms:W3CDTF">2020-11-27T07:11:00Z</dcterms:modified>
</cp:coreProperties>
</file>