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D581" w14:textId="77777777" w:rsidR="00E9049B" w:rsidRPr="002A1537" w:rsidRDefault="00E9049B" w:rsidP="00E9049B">
      <w:pPr>
        <w:spacing w:line="480" w:lineRule="auto"/>
        <w:rPr>
          <w:rFonts w:ascii="Times New Roman" w:hAnsi="Times New Roman" w:cs="Times New Roman"/>
        </w:rPr>
      </w:pPr>
      <w:bookmarkStart w:id="0" w:name="_Hlk74150366"/>
      <w:r w:rsidRPr="009320F2">
        <w:rPr>
          <w:rFonts w:ascii="Times New Roman" w:hAnsi="Times New Roman" w:cs="Times New Roman"/>
          <w:b/>
          <w:bCs/>
        </w:rPr>
        <w:t>Supplemental Methods</w:t>
      </w:r>
      <w:r>
        <w:rPr>
          <w:rFonts w:ascii="Times New Roman" w:hAnsi="Times New Roman" w:cs="Times New Roman"/>
        </w:rPr>
        <w:t xml:space="preserve">: DNA </w:t>
      </w:r>
      <w:r w:rsidRPr="002A1537">
        <w:rPr>
          <w:rFonts w:ascii="Times New Roman" w:hAnsi="Times New Roman" w:cs="Times New Roman"/>
        </w:rPr>
        <w:t>Sequencing at Washington University</w:t>
      </w:r>
      <w:r w:rsidRPr="002A1537">
        <w:rPr>
          <w:rFonts w:ascii="Times New Roman" w:hAnsi="Times New Roman" w:cs="Times New Roman"/>
          <w:vertAlign w:val="superscript"/>
        </w:rPr>
        <w:t>#</w:t>
      </w:r>
    </w:p>
    <w:p w14:paraId="715A8E33" w14:textId="77777777" w:rsidR="00E9049B" w:rsidRPr="002A1537" w:rsidRDefault="00E9049B" w:rsidP="00E9049B">
      <w:pPr>
        <w:spacing w:line="480" w:lineRule="auto"/>
        <w:rPr>
          <w:rFonts w:ascii="Times New Roman" w:hAnsi="Times New Roman" w:cs="Times New Roman"/>
          <w:color w:val="201F1E"/>
        </w:rPr>
      </w:pPr>
      <w:r w:rsidRPr="002A1537">
        <w:rPr>
          <w:rFonts w:ascii="Times New Roman" w:hAnsi="Times New Roman" w:cs="Times New Roman"/>
          <w:color w:val="201F1E"/>
        </w:rPr>
        <w:t>Manual dual indexed libraries were constructed with 150-250ng of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2A1537">
        <w:rPr>
          <w:rFonts w:ascii="Times New Roman" w:hAnsi="Times New Roman" w:cs="Times New Roman"/>
          <w:color w:val="201F1E"/>
        </w:rPr>
        <w:t>FFPE derived genomic DNA utilizing the KAPA HTP Library Kit (KAPA Biosystems).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 xml:space="preserve"> Samples were fragmented on the </w:t>
      </w:r>
      <w:proofErr w:type="spellStart"/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Covaris</w:t>
      </w:r>
      <w:proofErr w:type="spellEnd"/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 xml:space="preserve"> LE220 instrument targeted 250bp inserts (</w:t>
      </w:r>
      <w:r w:rsidRPr="002A1537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Duty Factor - 30%; Peak Incident Power (W) – 450; Cycles Per Burst – 200; Treatment Time - 190 seconds).  </w:t>
      </w:r>
      <w:r w:rsidRPr="002A1537">
        <w:rPr>
          <w:rFonts w:ascii="Times New Roman" w:hAnsi="Times New Roman" w:cs="Times New Roman"/>
          <w:color w:val="201F1E"/>
        </w:rPr>
        <w:t>PCR cycle optimization was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2A1537">
        <w:rPr>
          <w:rFonts w:ascii="Times New Roman" w:hAnsi="Times New Roman" w:cs="Times New Roman"/>
          <w:color w:val="201F1E"/>
        </w:rPr>
        <w:t>performed to prevent over amplification of the libraries.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Nine</w:t>
      </w:r>
      <w:r w:rsidRPr="002A1537">
        <w:rPr>
          <w:rFonts w:ascii="Times New Roman" w:hAnsi="Times New Roman" w:cs="Times New Roman"/>
          <w:color w:val="201F1E"/>
        </w:rPr>
        <w:t xml:space="preserve"> libraries were pooled pre-capture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2A1537">
        <w:rPr>
          <w:rFonts w:ascii="Times New Roman" w:hAnsi="Times New Roman" w:cs="Times New Roman"/>
          <w:color w:val="201F1E"/>
        </w:rPr>
        <w:t>generating a 4.5µg library pool.  The library pool was hybridized with an IDT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2A1537">
        <w:rPr>
          <w:rFonts w:ascii="Times New Roman" w:hAnsi="Times New Roman" w:cs="Times New Roman"/>
          <w:color w:val="201F1E"/>
        </w:rPr>
        <w:t xml:space="preserve">Gene Pool including the </w:t>
      </w:r>
      <w:proofErr w:type="gramStart"/>
      <w:r w:rsidRPr="002A1537">
        <w:rPr>
          <w:rFonts w:ascii="Times New Roman" w:hAnsi="Times New Roman" w:cs="Times New Roman"/>
          <w:color w:val="201F1E"/>
        </w:rPr>
        <w:t>aforementioned 10</w:t>
      </w:r>
      <w:proofErr w:type="gramEnd"/>
      <w:r w:rsidRPr="002A1537">
        <w:rPr>
          <w:rFonts w:ascii="Times New Roman" w:hAnsi="Times New Roman" w:cs="Times New Roman"/>
          <w:color w:val="201F1E"/>
        </w:rPr>
        <w:t xml:space="preserve"> genes. The concentration of the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2A1537">
        <w:rPr>
          <w:rFonts w:ascii="Times New Roman" w:hAnsi="Times New Roman" w:cs="Times New Roman"/>
          <w:color w:val="201F1E"/>
        </w:rPr>
        <w:t>captured library pool was accurately determined through qPCR according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2A1537">
        <w:rPr>
          <w:rFonts w:ascii="Times New Roman" w:hAnsi="Times New Roman" w:cs="Times New Roman"/>
          <w:color w:val="201F1E"/>
        </w:rPr>
        <w:t>to the manufacturer's protocol (KAPA Biosystems) to produce cluster</w:t>
      </w:r>
      <w:r w:rsidRPr="002A1537">
        <w:rPr>
          <w:rStyle w:val="xapple-converted-space"/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2A1537">
        <w:rPr>
          <w:rFonts w:ascii="Times New Roman" w:hAnsi="Times New Roman" w:cs="Times New Roman"/>
          <w:color w:val="201F1E"/>
        </w:rPr>
        <w:t xml:space="preserve">counts appropriate for the Illumina </w:t>
      </w:r>
      <w:proofErr w:type="spellStart"/>
      <w:r w:rsidRPr="002A1537">
        <w:rPr>
          <w:rFonts w:ascii="Times New Roman" w:hAnsi="Times New Roman" w:cs="Times New Roman"/>
          <w:color w:val="201F1E"/>
        </w:rPr>
        <w:t>MiSeq</w:t>
      </w:r>
      <w:proofErr w:type="spellEnd"/>
      <w:r w:rsidRPr="002A1537">
        <w:rPr>
          <w:rFonts w:ascii="Times New Roman" w:hAnsi="Times New Roman" w:cs="Times New Roman"/>
          <w:color w:val="201F1E"/>
        </w:rPr>
        <w:t xml:space="preserve"> platform. The libraries were sequenced on a v2 300 cycle flow cell generating 2x150 paired end reads.  Approximately 350Mb of sequence data was generated per sample resulting in greater than 100x mean depth of coverage.</w:t>
      </w:r>
    </w:p>
    <w:p w14:paraId="3A0E40A6" w14:textId="77777777" w:rsidR="00E9049B" w:rsidRPr="002A1537" w:rsidRDefault="00E9049B" w:rsidP="00E9049B">
      <w:pPr>
        <w:spacing w:line="480" w:lineRule="auto"/>
        <w:rPr>
          <w:rFonts w:ascii="Times New Roman" w:hAnsi="Times New Roman" w:cs="Times New Roman"/>
          <w:color w:val="201F1E"/>
        </w:rPr>
      </w:pPr>
    </w:p>
    <w:p w14:paraId="4FD2FF8A" w14:textId="77777777" w:rsidR="00E9049B" w:rsidRPr="002A1537" w:rsidRDefault="00E9049B" w:rsidP="00E9049B">
      <w:pPr>
        <w:spacing w:line="480" w:lineRule="auto"/>
        <w:rPr>
          <w:rFonts w:ascii="Times New Roman" w:hAnsi="Times New Roman" w:cs="Times New Roman"/>
          <w:color w:val="201F1E"/>
        </w:rPr>
      </w:pPr>
      <w:r w:rsidRPr="002A1537">
        <w:rPr>
          <w:rFonts w:ascii="Times New Roman" w:hAnsi="Times New Roman" w:cs="Times New Roman"/>
          <w:color w:val="201F1E"/>
        </w:rPr>
        <w:t xml:space="preserve"># </w:t>
      </w:r>
      <w:r w:rsidRPr="002A1537">
        <w:rPr>
          <w:rFonts w:ascii="Times New Roman" w:hAnsi="Times New Roman" w:cs="Times New Roman"/>
        </w:rPr>
        <w:t>The McDonnell Genome Institute at Washington University routinely performs sequencing on FFPE-derived DNA for tumor sequencing and a study published from this same institute validated FFPE-derived DNA for Next-Generation Sequencing.</w:t>
      </w:r>
      <w:r w:rsidRPr="002A1537">
        <w:rPr>
          <w:rFonts w:ascii="Times New Roman" w:hAnsi="Times New Roman" w:cs="Times New Roman"/>
          <w:vertAlign w:val="superscript"/>
        </w:rPr>
        <w:t>13</w:t>
      </w:r>
    </w:p>
    <w:bookmarkEnd w:id="0"/>
    <w:p w14:paraId="6CA225CD" w14:textId="77777777" w:rsidR="00E9049B" w:rsidRDefault="00E9049B" w:rsidP="00E9049B">
      <w:pPr>
        <w:spacing w:line="480" w:lineRule="auto"/>
        <w:rPr>
          <w:rFonts w:ascii="Times New Roman" w:hAnsi="Times New Roman" w:cs="Times New Roman"/>
        </w:rPr>
      </w:pPr>
    </w:p>
    <w:p w14:paraId="23910D0E" w14:textId="77777777" w:rsidR="00E9049B" w:rsidRDefault="00E9049B" w:rsidP="00E9049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7E2D5D4" w14:textId="77777777" w:rsidR="00E27844" w:rsidRDefault="00E27844"/>
    <w:sectPr w:rsidR="00E2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049B"/>
    <w:rsid w:val="006C4B08"/>
    <w:rsid w:val="00E27844"/>
    <w:rsid w:val="00E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BD9E"/>
  <w15:chartTrackingRefBased/>
  <w15:docId w15:val="{2288180F-A675-452A-A186-EC133B3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E9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2021-07-12T16:02:00Z</dcterms:created>
  <dcterms:modified xsi:type="dcterms:W3CDTF">2021-07-12T16:03:00Z</dcterms:modified>
</cp:coreProperties>
</file>