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103"/>
        <w:gridCol w:w="2752"/>
        <w:gridCol w:w="3475"/>
        <w:gridCol w:w="4137"/>
      </w:tblGrid>
      <w:tr w:rsidR="0036264B" w:rsidRPr="00A41ED7" w14:paraId="3252D362" w14:textId="77777777" w:rsidTr="00C11C13">
        <w:trPr>
          <w:trHeight w:val="320"/>
        </w:trPr>
        <w:tc>
          <w:tcPr>
            <w:tcW w:w="13230" w:type="dxa"/>
            <w:gridSpan w:val="5"/>
            <w:shd w:val="clear" w:color="auto" w:fill="auto"/>
            <w:noWrap/>
          </w:tcPr>
          <w:p w14:paraId="4DC5A4DF" w14:textId="77777777" w:rsidR="0036264B" w:rsidRPr="00A41ED7" w:rsidRDefault="0036264B" w:rsidP="00C11C13">
            <w:pPr>
              <w:rPr>
                <w:rFonts w:eastAsia="Times New Roman" w:cs="Times New Roman"/>
                <w:b/>
                <w:bCs/>
              </w:rPr>
            </w:pPr>
            <w:r w:rsidRPr="00A41ED7">
              <w:rPr>
                <w:rFonts w:eastAsia="Times New Roman" w:cs="Times New Roman"/>
                <w:b/>
                <w:bCs/>
              </w:rPr>
              <w:t>Table 1</w:t>
            </w:r>
          </w:p>
        </w:tc>
      </w:tr>
      <w:tr w:rsidR="0036264B" w:rsidRPr="00A41ED7" w14:paraId="2E728A43" w14:textId="77777777" w:rsidTr="00C11C13">
        <w:trPr>
          <w:trHeight w:val="320"/>
        </w:trPr>
        <w:tc>
          <w:tcPr>
            <w:tcW w:w="763" w:type="dxa"/>
            <w:shd w:val="clear" w:color="auto" w:fill="auto"/>
            <w:noWrap/>
            <w:hideMark/>
          </w:tcPr>
          <w:p w14:paraId="2E841E4F" w14:textId="77777777" w:rsidR="0036264B" w:rsidRPr="00A41ED7" w:rsidRDefault="0036264B" w:rsidP="00C11C13">
            <w:pPr>
              <w:rPr>
                <w:rFonts w:eastAsia="Times New Roman" w:cs="Times New Roman"/>
                <w:b/>
                <w:bCs/>
              </w:rPr>
            </w:pPr>
            <w:r w:rsidRPr="00A41ED7">
              <w:rPr>
                <w:rFonts w:eastAsia="Times New Roman" w:cs="Times New Roman"/>
                <w:b/>
                <w:bCs/>
              </w:rPr>
              <w:t>Year</w:t>
            </w:r>
          </w:p>
        </w:tc>
        <w:tc>
          <w:tcPr>
            <w:tcW w:w="2103" w:type="dxa"/>
            <w:shd w:val="clear" w:color="auto" w:fill="auto"/>
            <w:noWrap/>
            <w:hideMark/>
          </w:tcPr>
          <w:p w14:paraId="1D8B9006" w14:textId="77777777" w:rsidR="0036264B" w:rsidRPr="00A41ED7" w:rsidRDefault="0036264B" w:rsidP="00C11C13">
            <w:pPr>
              <w:rPr>
                <w:rFonts w:eastAsia="Times New Roman" w:cs="Times New Roman"/>
                <w:b/>
                <w:bCs/>
              </w:rPr>
            </w:pPr>
            <w:r w:rsidRPr="00A41ED7">
              <w:rPr>
                <w:rFonts w:eastAsia="Times New Roman" w:cs="Times New Roman"/>
                <w:b/>
                <w:bCs/>
              </w:rPr>
              <w:t>Reference (Country)</w:t>
            </w:r>
          </w:p>
        </w:tc>
        <w:tc>
          <w:tcPr>
            <w:tcW w:w="2752" w:type="dxa"/>
            <w:shd w:val="clear" w:color="auto" w:fill="auto"/>
            <w:noWrap/>
            <w:hideMark/>
          </w:tcPr>
          <w:p w14:paraId="0E20E90F" w14:textId="77777777" w:rsidR="0036264B" w:rsidRPr="00A41ED7" w:rsidRDefault="0036264B" w:rsidP="00C11C13">
            <w:pPr>
              <w:rPr>
                <w:rFonts w:eastAsia="Times New Roman" w:cs="Times New Roman"/>
                <w:b/>
                <w:bCs/>
              </w:rPr>
            </w:pPr>
            <w:r w:rsidRPr="00A41ED7">
              <w:rPr>
                <w:rFonts w:eastAsia="Times New Roman" w:cs="Times New Roman"/>
                <w:b/>
                <w:bCs/>
              </w:rPr>
              <w:t>Objective</w:t>
            </w:r>
          </w:p>
        </w:tc>
        <w:tc>
          <w:tcPr>
            <w:tcW w:w="3475" w:type="dxa"/>
            <w:shd w:val="clear" w:color="auto" w:fill="auto"/>
            <w:noWrap/>
            <w:hideMark/>
          </w:tcPr>
          <w:p w14:paraId="1F99A4BD" w14:textId="77777777" w:rsidR="0036264B" w:rsidRPr="00A41ED7" w:rsidRDefault="0036264B" w:rsidP="00C11C13">
            <w:pPr>
              <w:rPr>
                <w:rFonts w:eastAsia="Times New Roman" w:cs="Times New Roman"/>
                <w:b/>
                <w:bCs/>
              </w:rPr>
            </w:pPr>
            <w:r w:rsidRPr="00A41ED7">
              <w:rPr>
                <w:rFonts w:eastAsia="Times New Roman" w:cs="Times New Roman"/>
                <w:b/>
                <w:bCs/>
              </w:rPr>
              <w:t>Methods/Intervention</w:t>
            </w:r>
          </w:p>
        </w:tc>
        <w:tc>
          <w:tcPr>
            <w:tcW w:w="4137" w:type="dxa"/>
            <w:shd w:val="clear" w:color="auto" w:fill="auto"/>
            <w:noWrap/>
            <w:hideMark/>
          </w:tcPr>
          <w:p w14:paraId="6451BAA7" w14:textId="77777777" w:rsidR="0036264B" w:rsidRPr="00A41ED7" w:rsidRDefault="0036264B" w:rsidP="00C11C13">
            <w:pPr>
              <w:rPr>
                <w:rFonts w:eastAsia="Times New Roman" w:cs="Times New Roman"/>
                <w:b/>
                <w:bCs/>
              </w:rPr>
            </w:pPr>
            <w:r w:rsidRPr="00A41ED7">
              <w:rPr>
                <w:rFonts w:eastAsia="Times New Roman" w:cs="Times New Roman"/>
                <w:b/>
                <w:bCs/>
              </w:rPr>
              <w:t>Results/Conclusions</w:t>
            </w:r>
          </w:p>
        </w:tc>
      </w:tr>
      <w:tr w:rsidR="0036264B" w:rsidRPr="00A41ED7" w14:paraId="52698E49" w14:textId="77777777" w:rsidTr="00C11C13">
        <w:trPr>
          <w:trHeight w:val="320"/>
        </w:trPr>
        <w:tc>
          <w:tcPr>
            <w:tcW w:w="13230" w:type="dxa"/>
            <w:gridSpan w:val="5"/>
            <w:shd w:val="clear" w:color="auto" w:fill="auto"/>
            <w:noWrap/>
            <w:hideMark/>
          </w:tcPr>
          <w:p w14:paraId="7B2EEDE6" w14:textId="77777777" w:rsidR="0036264B" w:rsidRPr="00A41ED7" w:rsidRDefault="0036264B" w:rsidP="00C11C13">
            <w:pPr>
              <w:rPr>
                <w:rFonts w:eastAsia="Times New Roman" w:cs="Times New Roman"/>
                <w:b/>
                <w:bCs/>
                <w:i/>
                <w:iCs/>
              </w:rPr>
            </w:pPr>
            <w:r w:rsidRPr="00A41ED7">
              <w:rPr>
                <w:rFonts w:eastAsia="Times New Roman" w:cs="Times New Roman"/>
                <w:b/>
                <w:bCs/>
                <w:i/>
                <w:iCs/>
              </w:rPr>
              <w:t>Referral and Consultation</w:t>
            </w:r>
          </w:p>
        </w:tc>
      </w:tr>
      <w:tr w:rsidR="0036264B" w:rsidRPr="00A41ED7" w14:paraId="7DA98BE7" w14:textId="77777777" w:rsidTr="00C11C13">
        <w:trPr>
          <w:trHeight w:val="2320"/>
        </w:trPr>
        <w:tc>
          <w:tcPr>
            <w:tcW w:w="763" w:type="dxa"/>
            <w:shd w:val="clear" w:color="auto" w:fill="auto"/>
            <w:noWrap/>
            <w:hideMark/>
          </w:tcPr>
          <w:p w14:paraId="36845891" w14:textId="77777777" w:rsidR="0036264B" w:rsidRPr="00A41ED7" w:rsidRDefault="0036264B" w:rsidP="00C11C13">
            <w:pPr>
              <w:rPr>
                <w:rFonts w:eastAsia="Times New Roman" w:cs="Times New Roman"/>
              </w:rPr>
            </w:pPr>
            <w:r w:rsidRPr="00A41ED7">
              <w:rPr>
                <w:rFonts w:eastAsia="Times New Roman" w:cs="Times New Roman"/>
              </w:rPr>
              <w:t>2007</w:t>
            </w:r>
          </w:p>
        </w:tc>
        <w:tc>
          <w:tcPr>
            <w:tcW w:w="2103" w:type="dxa"/>
            <w:shd w:val="clear" w:color="auto" w:fill="auto"/>
            <w:noWrap/>
            <w:hideMark/>
          </w:tcPr>
          <w:p w14:paraId="0E46888C" w14:textId="77777777" w:rsidR="0036264B" w:rsidRPr="00A41ED7" w:rsidRDefault="0036264B" w:rsidP="00C11C13">
            <w:pPr>
              <w:rPr>
                <w:rFonts w:eastAsia="Times New Roman" w:cs="Times New Roman"/>
              </w:rPr>
            </w:pPr>
            <w:proofErr w:type="spellStart"/>
            <w:r w:rsidRPr="00A41ED7">
              <w:rPr>
                <w:rFonts w:eastAsia="Times New Roman" w:cs="Times New Roman"/>
              </w:rPr>
              <w:t>Ferrandiz</w:t>
            </w:r>
            <w:proofErr w:type="spellEnd"/>
            <w:r w:rsidRPr="00A41ED7">
              <w:rPr>
                <w:rFonts w:eastAsia="Times New Roman" w:cs="Times New Roman"/>
              </w:rPr>
              <w:t xml:space="preserve"> L et al.</w:t>
            </w:r>
            <w:r w:rsidRPr="00A41ED7">
              <w:rPr>
                <w:rFonts w:eastAsia="Times New Roman" w:cs="Times New Roman"/>
                <w:vertAlign w:val="superscript"/>
              </w:rPr>
              <w:t>13</w:t>
            </w:r>
            <w:r w:rsidRPr="00A41ED7">
              <w:rPr>
                <w:rFonts w:eastAsia="Times New Roman" w:cs="Times New Roman"/>
              </w:rPr>
              <w:t xml:space="preserve"> (Spain)</w:t>
            </w:r>
          </w:p>
        </w:tc>
        <w:tc>
          <w:tcPr>
            <w:tcW w:w="2752" w:type="dxa"/>
            <w:shd w:val="clear" w:color="auto" w:fill="auto"/>
            <w:hideMark/>
          </w:tcPr>
          <w:p w14:paraId="42F11C7B" w14:textId="77777777" w:rsidR="0036264B" w:rsidRPr="00A41ED7" w:rsidRDefault="0036264B" w:rsidP="00C11C13">
            <w:pPr>
              <w:rPr>
                <w:rFonts w:eastAsia="Times New Roman" w:cs="Times New Roman"/>
              </w:rPr>
            </w:pPr>
            <w:r w:rsidRPr="00A41ED7">
              <w:rPr>
                <w:rFonts w:eastAsia="Times New Roman" w:cs="Times New Roman"/>
              </w:rPr>
              <w:t xml:space="preserve">To evaluate a store-and-forward </w:t>
            </w:r>
            <w:proofErr w:type="spellStart"/>
            <w:r w:rsidRPr="00A41ED7">
              <w:rPr>
                <w:rFonts w:eastAsia="Times New Roman" w:cs="Times New Roman"/>
              </w:rPr>
              <w:t>teledermatology</w:t>
            </w:r>
            <w:proofErr w:type="spellEnd"/>
            <w:r w:rsidRPr="00A41ED7">
              <w:rPr>
                <w:rFonts w:eastAsia="Times New Roman" w:cs="Times New Roman"/>
              </w:rPr>
              <w:t xml:space="preserve"> system for the presurgical management of NMSC patients.</w:t>
            </w:r>
          </w:p>
        </w:tc>
        <w:tc>
          <w:tcPr>
            <w:tcW w:w="3475" w:type="dxa"/>
            <w:shd w:val="clear" w:color="auto" w:fill="auto"/>
            <w:hideMark/>
          </w:tcPr>
          <w:p w14:paraId="36DE684F" w14:textId="77777777" w:rsidR="0036264B" w:rsidRPr="00A41ED7" w:rsidRDefault="0036264B" w:rsidP="00C11C13">
            <w:pPr>
              <w:rPr>
                <w:rFonts w:eastAsia="Times New Roman" w:cs="Times New Roman"/>
              </w:rPr>
            </w:pPr>
            <w:r w:rsidRPr="00A41ED7">
              <w:rPr>
                <w:rFonts w:eastAsia="Times New Roman" w:cs="Times New Roman"/>
              </w:rPr>
              <w:t>Photos and clinical info for 134 patients with a suspected NMSC or rapidly growing vascular tumor were sent to the dermatologic surgeon for teleconsultation prior to surgery.</w:t>
            </w:r>
          </w:p>
        </w:tc>
        <w:tc>
          <w:tcPr>
            <w:tcW w:w="4137" w:type="dxa"/>
            <w:shd w:val="clear" w:color="auto" w:fill="auto"/>
            <w:hideMark/>
          </w:tcPr>
          <w:p w14:paraId="0D547F6F" w14:textId="77777777" w:rsidR="0036264B" w:rsidRPr="00A41ED7" w:rsidRDefault="0036264B" w:rsidP="00C11C13">
            <w:pPr>
              <w:rPr>
                <w:rFonts w:eastAsia="Times New Roman" w:cs="Times New Roman"/>
              </w:rPr>
            </w:pPr>
            <w:r w:rsidRPr="00A41ED7">
              <w:rPr>
                <w:rFonts w:eastAsia="Times New Roman" w:cs="Times New Roman"/>
              </w:rPr>
              <w:t xml:space="preserve">Teleconsultation reduced mean waiting intervals (26 vs 61 days, </w:t>
            </w:r>
            <w:r w:rsidRPr="00A41ED7">
              <w:rPr>
                <w:rFonts w:eastAsia="Times New Roman" w:cs="Times New Roman"/>
                <w:i/>
                <w:iCs/>
              </w:rPr>
              <w:t xml:space="preserve">p </w:t>
            </w:r>
            <w:r w:rsidRPr="00A41ED7">
              <w:rPr>
                <w:rFonts w:eastAsia="Times New Roman" w:cs="Times New Roman"/>
              </w:rPr>
              <w:t xml:space="preserve">&lt; 0.001) and surgery cancellation rates (3% vs 9%, </w:t>
            </w:r>
            <w:r w:rsidRPr="00A41ED7">
              <w:rPr>
                <w:rFonts w:eastAsia="Times New Roman" w:cs="Times New Roman"/>
                <w:i/>
                <w:iCs/>
              </w:rPr>
              <w:t xml:space="preserve">p </w:t>
            </w:r>
            <w:r w:rsidRPr="00A41ED7">
              <w:rPr>
                <w:rFonts w:eastAsia="Times New Roman" w:cs="Times New Roman"/>
              </w:rPr>
              <w:t xml:space="preserve">&lt;0.005) with reasonable accuracy of </w:t>
            </w:r>
            <w:proofErr w:type="spellStart"/>
            <w:r w:rsidRPr="00A41ED7">
              <w:rPr>
                <w:rFonts w:eastAsia="Times New Roman" w:cs="Times New Roman"/>
              </w:rPr>
              <w:t>telediagnoses</w:t>
            </w:r>
            <w:proofErr w:type="spellEnd"/>
            <w:r w:rsidRPr="00A41ED7">
              <w:rPr>
                <w:rFonts w:eastAsia="Times New Roman" w:cs="Times New Roman"/>
              </w:rPr>
              <w:t xml:space="preserve"> (k = 0.86, 95% CI 0.83-0.89) and agreement rate between the planned and performed surgical technique (k = 0.75, 95% CI 0.71-0.79).</w:t>
            </w:r>
          </w:p>
        </w:tc>
      </w:tr>
      <w:tr w:rsidR="0036264B" w:rsidRPr="00A41ED7" w14:paraId="659FF339" w14:textId="77777777" w:rsidTr="00C11C13">
        <w:trPr>
          <w:trHeight w:val="1720"/>
        </w:trPr>
        <w:tc>
          <w:tcPr>
            <w:tcW w:w="763" w:type="dxa"/>
            <w:shd w:val="clear" w:color="auto" w:fill="auto"/>
            <w:noWrap/>
            <w:hideMark/>
          </w:tcPr>
          <w:p w14:paraId="6C69212A" w14:textId="77777777" w:rsidR="0036264B" w:rsidRPr="00A41ED7" w:rsidRDefault="0036264B" w:rsidP="00C11C13">
            <w:pPr>
              <w:rPr>
                <w:rFonts w:eastAsia="Times New Roman" w:cs="Times New Roman"/>
              </w:rPr>
            </w:pPr>
            <w:r w:rsidRPr="00A41ED7">
              <w:rPr>
                <w:rFonts w:eastAsia="Times New Roman" w:cs="Times New Roman"/>
              </w:rPr>
              <w:t>2008</w:t>
            </w:r>
          </w:p>
        </w:tc>
        <w:tc>
          <w:tcPr>
            <w:tcW w:w="2103" w:type="dxa"/>
            <w:shd w:val="clear" w:color="auto" w:fill="auto"/>
            <w:noWrap/>
            <w:hideMark/>
          </w:tcPr>
          <w:p w14:paraId="182A3907" w14:textId="77777777" w:rsidR="0036264B" w:rsidRPr="00A41ED7" w:rsidRDefault="0036264B" w:rsidP="00C11C13">
            <w:pPr>
              <w:rPr>
                <w:rFonts w:eastAsia="Times New Roman" w:cs="Times New Roman"/>
              </w:rPr>
            </w:pPr>
            <w:r w:rsidRPr="00A41ED7">
              <w:rPr>
                <w:rFonts w:eastAsia="Times New Roman" w:cs="Times New Roman"/>
              </w:rPr>
              <w:t>Hsiao JL et al.</w:t>
            </w:r>
            <w:r w:rsidRPr="00A41ED7">
              <w:rPr>
                <w:rFonts w:eastAsia="Times New Roman" w:cs="Times New Roman"/>
                <w:vertAlign w:val="superscript"/>
              </w:rPr>
              <w:t>14</w:t>
            </w:r>
            <w:r w:rsidRPr="00A41ED7">
              <w:rPr>
                <w:rFonts w:eastAsia="Times New Roman" w:cs="Times New Roman"/>
              </w:rPr>
              <w:t xml:space="preserve"> (USA)</w:t>
            </w:r>
          </w:p>
        </w:tc>
        <w:tc>
          <w:tcPr>
            <w:tcW w:w="2752" w:type="dxa"/>
            <w:shd w:val="clear" w:color="auto" w:fill="auto"/>
            <w:hideMark/>
          </w:tcPr>
          <w:p w14:paraId="26DA8342" w14:textId="77777777" w:rsidR="0036264B" w:rsidRPr="00A41ED7" w:rsidRDefault="0036264B" w:rsidP="00C11C13">
            <w:pPr>
              <w:rPr>
                <w:rFonts w:eastAsia="Times New Roman" w:cs="Times New Roman"/>
              </w:rPr>
            </w:pPr>
            <w:r w:rsidRPr="00A41ED7">
              <w:rPr>
                <w:rFonts w:eastAsia="Times New Roman" w:cs="Times New Roman"/>
              </w:rPr>
              <w:t xml:space="preserve">To examine the time intervals in which skin cancer patients referred conventionally or by store-and-forward </w:t>
            </w:r>
            <w:proofErr w:type="spellStart"/>
            <w:r w:rsidRPr="00A41ED7">
              <w:rPr>
                <w:rFonts w:eastAsia="Times New Roman" w:cs="Times New Roman"/>
              </w:rPr>
              <w:t>teledermatology</w:t>
            </w:r>
            <w:proofErr w:type="spellEnd"/>
            <w:r w:rsidRPr="00A41ED7">
              <w:rPr>
                <w:rFonts w:eastAsia="Times New Roman" w:cs="Times New Roman"/>
              </w:rPr>
              <w:t xml:space="preserve"> were evaluated and treated.</w:t>
            </w:r>
          </w:p>
        </w:tc>
        <w:tc>
          <w:tcPr>
            <w:tcW w:w="3475" w:type="dxa"/>
            <w:shd w:val="clear" w:color="auto" w:fill="auto"/>
            <w:hideMark/>
          </w:tcPr>
          <w:p w14:paraId="27EA39EB" w14:textId="77777777" w:rsidR="0036264B" w:rsidRPr="00A41ED7" w:rsidRDefault="0036264B" w:rsidP="00C11C13">
            <w:pPr>
              <w:rPr>
                <w:rFonts w:eastAsia="Times New Roman" w:cs="Times New Roman"/>
              </w:rPr>
            </w:pPr>
            <w:r w:rsidRPr="00A41ED7">
              <w:rPr>
                <w:rFonts w:eastAsia="Times New Roman" w:cs="Times New Roman"/>
              </w:rPr>
              <w:t xml:space="preserve">A chart review of 169 patients treated for skin cancer in a VA dermatologic surgery clinic was performed comparing those referred by conventional vs </w:t>
            </w:r>
            <w:proofErr w:type="spellStart"/>
            <w:r w:rsidRPr="00A41ED7">
              <w:rPr>
                <w:rFonts w:eastAsia="Times New Roman" w:cs="Times New Roman"/>
              </w:rPr>
              <w:t>teledermatology</w:t>
            </w:r>
            <w:proofErr w:type="spellEnd"/>
            <w:r w:rsidRPr="00A41ED7">
              <w:rPr>
                <w:rFonts w:eastAsia="Times New Roman" w:cs="Times New Roman"/>
              </w:rPr>
              <w:t xml:space="preserve"> referral over 4.5 years.</w:t>
            </w:r>
          </w:p>
        </w:tc>
        <w:tc>
          <w:tcPr>
            <w:tcW w:w="4137" w:type="dxa"/>
            <w:shd w:val="clear" w:color="auto" w:fill="auto"/>
            <w:hideMark/>
          </w:tcPr>
          <w:p w14:paraId="5FBCB606" w14:textId="77777777" w:rsidR="0036264B" w:rsidRPr="00A41ED7" w:rsidRDefault="0036264B" w:rsidP="00C11C13">
            <w:pPr>
              <w:rPr>
                <w:rFonts w:eastAsia="Times New Roman" w:cs="Times New Roman"/>
              </w:rPr>
            </w:pPr>
            <w:proofErr w:type="spellStart"/>
            <w:r w:rsidRPr="00A41ED7">
              <w:rPr>
                <w:rFonts w:eastAsia="Times New Roman" w:cs="Times New Roman"/>
              </w:rPr>
              <w:t>Teledermatology</w:t>
            </w:r>
            <w:proofErr w:type="spellEnd"/>
            <w:r w:rsidRPr="00A41ED7">
              <w:rPr>
                <w:rFonts w:eastAsia="Times New Roman" w:cs="Times New Roman"/>
              </w:rPr>
              <w:t xml:space="preserve"> consults had lower mean time intervals for initial consult completion (4 vs 48 days, </w:t>
            </w:r>
            <w:r w:rsidRPr="00A41ED7">
              <w:rPr>
                <w:rFonts w:eastAsia="Times New Roman" w:cs="Times New Roman"/>
                <w:i/>
                <w:iCs/>
              </w:rPr>
              <w:t>p</w:t>
            </w:r>
            <w:r w:rsidRPr="00A41ED7">
              <w:rPr>
                <w:rFonts w:eastAsia="Times New Roman" w:cs="Times New Roman"/>
              </w:rPr>
              <w:t xml:space="preserve"> &lt; 0.0001), biopsy (38 vs 57 days, </w:t>
            </w:r>
            <w:r w:rsidRPr="00A41ED7">
              <w:rPr>
                <w:rFonts w:eastAsia="Times New Roman" w:cs="Times New Roman"/>
                <w:i/>
                <w:iCs/>
              </w:rPr>
              <w:t xml:space="preserve">p </w:t>
            </w:r>
            <w:r w:rsidRPr="00A41ED7">
              <w:rPr>
                <w:rFonts w:eastAsia="Times New Roman" w:cs="Times New Roman"/>
              </w:rPr>
              <w:t xml:space="preserve">&lt; 0.034), and surgery (104 vs 125 days, </w:t>
            </w:r>
            <w:r w:rsidRPr="00A41ED7">
              <w:rPr>
                <w:rFonts w:eastAsia="Times New Roman" w:cs="Times New Roman"/>
                <w:i/>
                <w:iCs/>
              </w:rPr>
              <w:t>p =</w:t>
            </w:r>
            <w:r w:rsidRPr="00A41ED7">
              <w:rPr>
                <w:rFonts w:eastAsia="Times New Roman" w:cs="Times New Roman"/>
              </w:rPr>
              <w:t xml:space="preserve"> 0.006) as well as fewer clinic visits before surgery (</w:t>
            </w:r>
            <w:r w:rsidRPr="00A41ED7">
              <w:rPr>
                <w:rFonts w:eastAsia="Times New Roman" w:cs="Times New Roman"/>
                <w:i/>
                <w:iCs/>
              </w:rPr>
              <w:t xml:space="preserve">p </w:t>
            </w:r>
            <w:r w:rsidRPr="00A41ED7">
              <w:rPr>
                <w:rFonts w:eastAsia="Times New Roman" w:cs="Times New Roman"/>
              </w:rPr>
              <w:t>= 0.02).</w:t>
            </w:r>
          </w:p>
        </w:tc>
      </w:tr>
      <w:tr w:rsidR="0036264B" w:rsidRPr="00A41ED7" w14:paraId="4DD59EDB" w14:textId="77777777" w:rsidTr="00C11C13">
        <w:trPr>
          <w:trHeight w:val="320"/>
        </w:trPr>
        <w:tc>
          <w:tcPr>
            <w:tcW w:w="13230" w:type="dxa"/>
            <w:gridSpan w:val="5"/>
            <w:shd w:val="clear" w:color="auto" w:fill="auto"/>
            <w:noWrap/>
            <w:hideMark/>
          </w:tcPr>
          <w:p w14:paraId="4442B2E4" w14:textId="77777777" w:rsidR="0036264B" w:rsidRPr="00A41ED7" w:rsidRDefault="0036264B" w:rsidP="00C11C13">
            <w:pPr>
              <w:rPr>
                <w:rFonts w:eastAsia="Times New Roman" w:cs="Times New Roman"/>
                <w:b/>
                <w:bCs/>
                <w:i/>
                <w:iCs/>
              </w:rPr>
            </w:pPr>
            <w:r w:rsidRPr="00A41ED7">
              <w:rPr>
                <w:rFonts w:eastAsia="Times New Roman" w:cs="Times New Roman"/>
                <w:b/>
                <w:bCs/>
                <w:i/>
                <w:iCs/>
              </w:rPr>
              <w:t>Telepathology</w:t>
            </w:r>
          </w:p>
        </w:tc>
      </w:tr>
      <w:tr w:rsidR="0036264B" w:rsidRPr="00A41ED7" w14:paraId="629F103E" w14:textId="77777777" w:rsidTr="00C11C13">
        <w:trPr>
          <w:trHeight w:val="3140"/>
        </w:trPr>
        <w:tc>
          <w:tcPr>
            <w:tcW w:w="763" w:type="dxa"/>
            <w:shd w:val="clear" w:color="auto" w:fill="auto"/>
            <w:noWrap/>
            <w:hideMark/>
          </w:tcPr>
          <w:p w14:paraId="173C2315" w14:textId="77777777" w:rsidR="0036264B" w:rsidRPr="00A41ED7" w:rsidRDefault="0036264B" w:rsidP="00C11C13">
            <w:pPr>
              <w:rPr>
                <w:rFonts w:eastAsia="Times New Roman" w:cs="Times New Roman"/>
              </w:rPr>
            </w:pPr>
            <w:r w:rsidRPr="00A41ED7">
              <w:rPr>
                <w:rFonts w:eastAsia="Times New Roman" w:cs="Times New Roman"/>
              </w:rPr>
              <w:t>2002</w:t>
            </w:r>
          </w:p>
        </w:tc>
        <w:tc>
          <w:tcPr>
            <w:tcW w:w="2103" w:type="dxa"/>
            <w:shd w:val="clear" w:color="auto" w:fill="auto"/>
            <w:noWrap/>
            <w:hideMark/>
          </w:tcPr>
          <w:p w14:paraId="791AA934" w14:textId="77777777" w:rsidR="0036264B" w:rsidRPr="00A41ED7" w:rsidRDefault="0036264B" w:rsidP="00C11C13">
            <w:pPr>
              <w:rPr>
                <w:rFonts w:eastAsia="Times New Roman" w:cs="Times New Roman"/>
              </w:rPr>
            </w:pPr>
            <w:r w:rsidRPr="00A41ED7">
              <w:rPr>
                <w:rFonts w:eastAsia="Times New Roman" w:cs="Times New Roman"/>
              </w:rPr>
              <w:t>Nehal KS et al.</w:t>
            </w:r>
            <w:r w:rsidRPr="00A41ED7">
              <w:rPr>
                <w:rFonts w:eastAsia="Times New Roman" w:cs="Times New Roman"/>
                <w:vertAlign w:val="superscript"/>
              </w:rPr>
              <w:t>15</w:t>
            </w:r>
            <w:r w:rsidRPr="00A41ED7">
              <w:rPr>
                <w:rFonts w:eastAsia="Times New Roman" w:cs="Times New Roman"/>
              </w:rPr>
              <w:t xml:space="preserve"> (USA)</w:t>
            </w:r>
          </w:p>
        </w:tc>
        <w:tc>
          <w:tcPr>
            <w:tcW w:w="2752" w:type="dxa"/>
            <w:shd w:val="clear" w:color="auto" w:fill="auto"/>
            <w:hideMark/>
          </w:tcPr>
          <w:p w14:paraId="0EDA2229" w14:textId="77777777" w:rsidR="0036264B" w:rsidRPr="00A41ED7" w:rsidRDefault="0036264B" w:rsidP="00C11C13">
            <w:pPr>
              <w:rPr>
                <w:rFonts w:eastAsia="Times New Roman" w:cs="Times New Roman"/>
              </w:rPr>
            </w:pPr>
            <w:r w:rsidRPr="00A41ED7">
              <w:rPr>
                <w:rFonts w:eastAsia="Times New Roman" w:cs="Times New Roman"/>
              </w:rPr>
              <w:t>To assess the diagnostic accuracy and utility of a dynamic telepathology system in Mohs surgery.</w:t>
            </w:r>
          </w:p>
        </w:tc>
        <w:tc>
          <w:tcPr>
            <w:tcW w:w="3475" w:type="dxa"/>
            <w:shd w:val="clear" w:color="auto" w:fill="auto"/>
            <w:hideMark/>
          </w:tcPr>
          <w:p w14:paraId="615D3285" w14:textId="77777777" w:rsidR="0036264B" w:rsidRPr="00A41ED7" w:rsidRDefault="0036264B" w:rsidP="00C11C13">
            <w:pPr>
              <w:rPr>
                <w:rFonts w:eastAsia="Times New Roman" w:cs="Times New Roman"/>
              </w:rPr>
            </w:pPr>
            <w:r w:rsidRPr="00A41ED7">
              <w:rPr>
                <w:rFonts w:eastAsia="Times New Roman" w:cs="Times New Roman"/>
              </w:rPr>
              <w:t xml:space="preserve">Using a dynamic telepathology system, a </w:t>
            </w:r>
            <w:proofErr w:type="spellStart"/>
            <w:r w:rsidRPr="00A41ED7">
              <w:rPr>
                <w:rFonts w:eastAsia="Times New Roman" w:cs="Times New Roman"/>
              </w:rPr>
              <w:t>dermatopathologist</w:t>
            </w:r>
            <w:proofErr w:type="spellEnd"/>
            <w:r w:rsidRPr="00A41ED7">
              <w:rPr>
                <w:rFonts w:eastAsia="Times New Roman" w:cs="Times New Roman"/>
              </w:rPr>
              <w:t xml:space="preserve"> reviewed 50 fixed-tissue slides of BCCs and SCCs, 40 frozen section slides from Mohs surgery, and 20 frozen section slides for intraoperative Mohs consultation. All 110 slides were then randomly reviewed by light microscopy by the same </w:t>
            </w:r>
            <w:proofErr w:type="spellStart"/>
            <w:r w:rsidRPr="00A41ED7">
              <w:rPr>
                <w:rFonts w:eastAsia="Times New Roman" w:cs="Times New Roman"/>
              </w:rPr>
              <w:t>dermatopathologist</w:t>
            </w:r>
            <w:proofErr w:type="spellEnd"/>
            <w:r w:rsidRPr="00A41ED7">
              <w:rPr>
                <w:rFonts w:eastAsia="Times New Roman" w:cs="Times New Roman"/>
              </w:rPr>
              <w:t>.</w:t>
            </w:r>
          </w:p>
        </w:tc>
        <w:tc>
          <w:tcPr>
            <w:tcW w:w="4137" w:type="dxa"/>
            <w:shd w:val="clear" w:color="auto" w:fill="auto"/>
            <w:hideMark/>
          </w:tcPr>
          <w:p w14:paraId="4F67F7ED" w14:textId="77777777" w:rsidR="0036264B" w:rsidRPr="00A41ED7" w:rsidRDefault="0036264B" w:rsidP="00C11C13">
            <w:pPr>
              <w:rPr>
                <w:rFonts w:eastAsia="Times New Roman" w:cs="Times New Roman"/>
              </w:rPr>
            </w:pPr>
            <w:r w:rsidRPr="00A41ED7">
              <w:rPr>
                <w:rFonts w:eastAsia="Times New Roman" w:cs="Times New Roman"/>
              </w:rPr>
              <w:t>There was complete agreement between telepathology and conventional light microscopy diagnoses, demonstrating the accuracy and utility of dynamic telepathology for remote diagnosis and consultation during Mohs surgery.</w:t>
            </w:r>
          </w:p>
        </w:tc>
      </w:tr>
      <w:tr w:rsidR="0036264B" w:rsidRPr="00A41ED7" w14:paraId="00E865C5" w14:textId="77777777" w:rsidTr="00C11C13">
        <w:trPr>
          <w:trHeight w:val="2540"/>
        </w:trPr>
        <w:tc>
          <w:tcPr>
            <w:tcW w:w="763" w:type="dxa"/>
            <w:shd w:val="clear" w:color="auto" w:fill="auto"/>
            <w:noWrap/>
            <w:hideMark/>
          </w:tcPr>
          <w:p w14:paraId="0B3F0FDD" w14:textId="77777777" w:rsidR="0036264B" w:rsidRPr="00A41ED7" w:rsidRDefault="0036264B" w:rsidP="00C11C13">
            <w:pPr>
              <w:rPr>
                <w:rFonts w:eastAsia="Times New Roman" w:cs="Times New Roman"/>
              </w:rPr>
            </w:pPr>
            <w:r w:rsidRPr="00A41ED7">
              <w:rPr>
                <w:rFonts w:eastAsia="Times New Roman" w:cs="Times New Roman"/>
              </w:rPr>
              <w:lastRenderedPageBreak/>
              <w:t>2004</w:t>
            </w:r>
          </w:p>
        </w:tc>
        <w:tc>
          <w:tcPr>
            <w:tcW w:w="2103" w:type="dxa"/>
            <w:shd w:val="clear" w:color="auto" w:fill="auto"/>
            <w:noWrap/>
            <w:hideMark/>
          </w:tcPr>
          <w:p w14:paraId="0D5055FF" w14:textId="77777777" w:rsidR="0036264B" w:rsidRPr="00A41ED7" w:rsidRDefault="0036264B" w:rsidP="00C11C13">
            <w:pPr>
              <w:rPr>
                <w:rFonts w:eastAsia="Times New Roman" w:cs="Times New Roman"/>
              </w:rPr>
            </w:pPr>
            <w:r w:rsidRPr="00A41ED7">
              <w:rPr>
                <w:rFonts w:eastAsia="Times New Roman" w:cs="Times New Roman"/>
              </w:rPr>
              <w:t>Chandra S et al.</w:t>
            </w:r>
            <w:r w:rsidRPr="00A41ED7">
              <w:rPr>
                <w:rFonts w:eastAsia="Times New Roman" w:cs="Times New Roman"/>
                <w:vertAlign w:val="superscript"/>
              </w:rPr>
              <w:t>16</w:t>
            </w:r>
            <w:r w:rsidRPr="00A41ED7">
              <w:rPr>
                <w:rFonts w:eastAsia="Times New Roman" w:cs="Times New Roman"/>
              </w:rPr>
              <w:t xml:space="preserve"> (Australia)</w:t>
            </w:r>
          </w:p>
        </w:tc>
        <w:tc>
          <w:tcPr>
            <w:tcW w:w="2752" w:type="dxa"/>
            <w:shd w:val="clear" w:color="auto" w:fill="auto"/>
            <w:hideMark/>
          </w:tcPr>
          <w:p w14:paraId="5DFFE0C4" w14:textId="77777777" w:rsidR="0036264B" w:rsidRPr="00A41ED7" w:rsidRDefault="0036264B" w:rsidP="00C11C13">
            <w:pPr>
              <w:rPr>
                <w:rFonts w:eastAsia="Times New Roman" w:cs="Times New Roman"/>
              </w:rPr>
            </w:pPr>
            <w:r w:rsidRPr="00A41ED7">
              <w:rPr>
                <w:rFonts w:eastAsia="Times New Roman" w:cs="Times New Roman"/>
              </w:rPr>
              <w:t xml:space="preserve">To obtain images of challenging Mohs slides to transmit to a </w:t>
            </w:r>
            <w:proofErr w:type="spellStart"/>
            <w:r w:rsidRPr="00A41ED7">
              <w:rPr>
                <w:rFonts w:eastAsia="Times New Roman" w:cs="Times New Roman"/>
              </w:rPr>
              <w:t>dermatopathologist</w:t>
            </w:r>
            <w:proofErr w:type="spellEnd"/>
            <w:r w:rsidRPr="00A41ED7">
              <w:rPr>
                <w:rFonts w:eastAsia="Times New Roman" w:cs="Times New Roman"/>
              </w:rPr>
              <w:t xml:space="preserve"> for expert opinion.</w:t>
            </w:r>
          </w:p>
        </w:tc>
        <w:tc>
          <w:tcPr>
            <w:tcW w:w="3475" w:type="dxa"/>
            <w:shd w:val="clear" w:color="auto" w:fill="auto"/>
            <w:hideMark/>
          </w:tcPr>
          <w:p w14:paraId="3C5EA3D5" w14:textId="77777777" w:rsidR="0036264B" w:rsidRPr="00A41ED7" w:rsidRDefault="0036264B" w:rsidP="00C11C13">
            <w:pPr>
              <w:rPr>
                <w:rFonts w:eastAsia="Times New Roman" w:cs="Times New Roman"/>
              </w:rPr>
            </w:pPr>
            <w:r w:rsidRPr="00A41ED7">
              <w:rPr>
                <w:rFonts w:eastAsia="Times New Roman" w:cs="Times New Roman"/>
              </w:rPr>
              <w:t xml:space="preserve">In 3 cases of Mohs surgery, a digital camera was placed on one eyepiece of the microscope to capture an image of a </w:t>
            </w:r>
            <w:proofErr w:type="gramStart"/>
            <w:r w:rsidRPr="00A41ED7">
              <w:rPr>
                <w:rFonts w:eastAsia="Times New Roman" w:cs="Times New Roman"/>
              </w:rPr>
              <w:t>particular area</w:t>
            </w:r>
            <w:proofErr w:type="gramEnd"/>
            <w:r w:rsidRPr="00A41ED7">
              <w:rPr>
                <w:rFonts w:eastAsia="Times New Roman" w:cs="Times New Roman"/>
              </w:rPr>
              <w:t xml:space="preserve"> of concern, which was emailed to a </w:t>
            </w:r>
            <w:proofErr w:type="spellStart"/>
            <w:r w:rsidRPr="00A41ED7">
              <w:rPr>
                <w:rFonts w:eastAsia="Times New Roman" w:cs="Times New Roman"/>
              </w:rPr>
              <w:t>dermatopathologist</w:t>
            </w:r>
            <w:proofErr w:type="spellEnd"/>
            <w:r w:rsidRPr="00A41ED7">
              <w:rPr>
                <w:rFonts w:eastAsia="Times New Roman" w:cs="Times New Roman"/>
              </w:rPr>
              <w:t xml:space="preserve"> for immediate advice.</w:t>
            </w:r>
          </w:p>
        </w:tc>
        <w:tc>
          <w:tcPr>
            <w:tcW w:w="4137" w:type="dxa"/>
            <w:shd w:val="clear" w:color="auto" w:fill="auto"/>
            <w:hideMark/>
          </w:tcPr>
          <w:p w14:paraId="15BFFA0C" w14:textId="77777777" w:rsidR="0036264B" w:rsidRPr="00A41ED7" w:rsidRDefault="0036264B" w:rsidP="00C11C13">
            <w:pPr>
              <w:rPr>
                <w:rFonts w:eastAsia="Times New Roman" w:cs="Times New Roman"/>
              </w:rPr>
            </w:pPr>
            <w:r w:rsidRPr="00A41ED7">
              <w:rPr>
                <w:rFonts w:eastAsia="Times New Roman" w:cs="Times New Roman"/>
              </w:rPr>
              <w:t>Telepathology enabled the surgeon to intraoperatively determine with the help of the pathologist that suspicious clear cells were ballooned keratinocytes rather than atypical melanocytes, that a nerve did not contain invading SCC, and that pigment laden cells represented a benign nevus without atypia.</w:t>
            </w:r>
          </w:p>
        </w:tc>
      </w:tr>
      <w:tr w:rsidR="0036264B" w:rsidRPr="00A41ED7" w14:paraId="73F31EBB" w14:textId="77777777" w:rsidTr="00C11C13">
        <w:trPr>
          <w:trHeight w:val="1780"/>
        </w:trPr>
        <w:tc>
          <w:tcPr>
            <w:tcW w:w="763" w:type="dxa"/>
            <w:shd w:val="clear" w:color="auto" w:fill="auto"/>
            <w:noWrap/>
            <w:hideMark/>
          </w:tcPr>
          <w:p w14:paraId="6E94EE03" w14:textId="77777777" w:rsidR="0036264B" w:rsidRPr="00A41ED7" w:rsidRDefault="0036264B" w:rsidP="00C11C13">
            <w:pPr>
              <w:rPr>
                <w:rFonts w:eastAsia="Times New Roman" w:cs="Times New Roman"/>
              </w:rPr>
            </w:pPr>
            <w:r w:rsidRPr="00A41ED7">
              <w:rPr>
                <w:rFonts w:eastAsia="Times New Roman" w:cs="Times New Roman"/>
              </w:rPr>
              <w:t>2005</w:t>
            </w:r>
          </w:p>
        </w:tc>
        <w:tc>
          <w:tcPr>
            <w:tcW w:w="2103" w:type="dxa"/>
            <w:shd w:val="clear" w:color="auto" w:fill="auto"/>
            <w:noWrap/>
            <w:hideMark/>
          </w:tcPr>
          <w:p w14:paraId="627BD2D0" w14:textId="77777777" w:rsidR="0036264B" w:rsidRPr="00A41ED7" w:rsidRDefault="0036264B" w:rsidP="00C11C13">
            <w:pPr>
              <w:rPr>
                <w:rFonts w:eastAsia="Times New Roman" w:cs="Times New Roman"/>
              </w:rPr>
            </w:pPr>
            <w:proofErr w:type="spellStart"/>
            <w:r w:rsidRPr="00A41ED7">
              <w:rPr>
                <w:rFonts w:eastAsia="Times New Roman" w:cs="Times New Roman"/>
              </w:rPr>
              <w:t>Sukal</w:t>
            </w:r>
            <w:proofErr w:type="spellEnd"/>
            <w:r w:rsidRPr="00A41ED7">
              <w:rPr>
                <w:rFonts w:eastAsia="Times New Roman" w:cs="Times New Roman"/>
              </w:rPr>
              <w:t xml:space="preserve"> SA et al.</w:t>
            </w:r>
            <w:r w:rsidRPr="00A41ED7">
              <w:rPr>
                <w:rFonts w:eastAsia="Times New Roman" w:cs="Times New Roman"/>
                <w:vertAlign w:val="superscript"/>
              </w:rPr>
              <w:t>17</w:t>
            </w:r>
            <w:r w:rsidRPr="00A41ED7">
              <w:rPr>
                <w:rFonts w:eastAsia="Times New Roman" w:cs="Times New Roman"/>
              </w:rPr>
              <w:t xml:space="preserve"> (USA)</w:t>
            </w:r>
          </w:p>
        </w:tc>
        <w:tc>
          <w:tcPr>
            <w:tcW w:w="2752" w:type="dxa"/>
            <w:shd w:val="clear" w:color="auto" w:fill="auto"/>
            <w:hideMark/>
          </w:tcPr>
          <w:p w14:paraId="43536654" w14:textId="77777777" w:rsidR="0036264B" w:rsidRPr="00A41ED7" w:rsidRDefault="0036264B" w:rsidP="00C11C13">
            <w:pPr>
              <w:rPr>
                <w:rFonts w:eastAsia="Times New Roman" w:cs="Times New Roman"/>
              </w:rPr>
            </w:pPr>
            <w:r w:rsidRPr="00A41ED7">
              <w:rPr>
                <w:rFonts w:eastAsia="Times New Roman" w:cs="Times New Roman"/>
              </w:rPr>
              <w:t>To evaluate the use of telepathology for intraoperative consultations on difficult frozen sections during Mohs surgery.</w:t>
            </w:r>
          </w:p>
        </w:tc>
        <w:tc>
          <w:tcPr>
            <w:tcW w:w="3475" w:type="dxa"/>
            <w:shd w:val="clear" w:color="auto" w:fill="auto"/>
            <w:hideMark/>
          </w:tcPr>
          <w:p w14:paraId="71898C83" w14:textId="77777777" w:rsidR="0036264B" w:rsidRPr="00A41ED7" w:rsidRDefault="0036264B" w:rsidP="00C11C13">
            <w:pPr>
              <w:rPr>
                <w:rFonts w:eastAsia="Times New Roman" w:cs="Times New Roman"/>
              </w:rPr>
            </w:pPr>
            <w:r w:rsidRPr="00A41ED7">
              <w:rPr>
                <w:rFonts w:eastAsia="Times New Roman" w:cs="Times New Roman"/>
              </w:rPr>
              <w:t xml:space="preserve">The </w:t>
            </w:r>
            <w:proofErr w:type="spellStart"/>
            <w:r w:rsidRPr="00A41ED7">
              <w:rPr>
                <w:rFonts w:eastAsia="Times New Roman" w:cs="Times New Roman"/>
              </w:rPr>
              <w:t>MedMicro</w:t>
            </w:r>
            <w:proofErr w:type="spellEnd"/>
            <w:r w:rsidRPr="00A41ED7">
              <w:rPr>
                <w:rFonts w:eastAsia="Times New Roman" w:cs="Times New Roman"/>
              </w:rPr>
              <w:t xml:space="preserve"> dynamic telepathology system was used for 61 intraoperative consultations with a </w:t>
            </w:r>
            <w:proofErr w:type="spellStart"/>
            <w:r w:rsidRPr="00A41ED7">
              <w:rPr>
                <w:rFonts w:eastAsia="Times New Roman" w:cs="Times New Roman"/>
              </w:rPr>
              <w:t>dermatopathologist</w:t>
            </w:r>
            <w:proofErr w:type="spellEnd"/>
            <w:r w:rsidRPr="00A41ED7">
              <w:rPr>
                <w:rFonts w:eastAsia="Times New Roman" w:cs="Times New Roman"/>
              </w:rPr>
              <w:t xml:space="preserve"> for questions arising on frozen sections during Mohs surgery.</w:t>
            </w:r>
          </w:p>
        </w:tc>
        <w:tc>
          <w:tcPr>
            <w:tcW w:w="4137" w:type="dxa"/>
            <w:shd w:val="clear" w:color="auto" w:fill="auto"/>
            <w:hideMark/>
          </w:tcPr>
          <w:p w14:paraId="44E0824A" w14:textId="77777777" w:rsidR="0036264B" w:rsidRPr="00A41ED7" w:rsidRDefault="0036264B" w:rsidP="00C11C13">
            <w:pPr>
              <w:rPr>
                <w:rFonts w:eastAsia="Times New Roman" w:cs="Times New Roman"/>
              </w:rPr>
            </w:pPr>
            <w:r w:rsidRPr="00A41ED7">
              <w:rPr>
                <w:rFonts w:eastAsia="Times New Roman" w:cs="Times New Roman"/>
              </w:rPr>
              <w:t>Dynamic telepathology consultation was useful to help distinguish BCC from a benign simulant, determine tumor histology, and distinguish inflammation from residual tumor.</w:t>
            </w:r>
          </w:p>
        </w:tc>
      </w:tr>
      <w:tr w:rsidR="0036264B" w:rsidRPr="00A41ED7" w14:paraId="2C3BEE1F" w14:textId="77777777" w:rsidTr="00C11C13">
        <w:trPr>
          <w:trHeight w:val="1540"/>
        </w:trPr>
        <w:tc>
          <w:tcPr>
            <w:tcW w:w="763" w:type="dxa"/>
            <w:shd w:val="clear" w:color="auto" w:fill="auto"/>
            <w:noWrap/>
            <w:hideMark/>
          </w:tcPr>
          <w:p w14:paraId="50EEE192" w14:textId="77777777" w:rsidR="0036264B" w:rsidRPr="00A41ED7" w:rsidRDefault="0036264B" w:rsidP="00C11C13">
            <w:pPr>
              <w:rPr>
                <w:rFonts w:eastAsia="Times New Roman" w:cs="Times New Roman"/>
              </w:rPr>
            </w:pPr>
            <w:r w:rsidRPr="00A41ED7">
              <w:rPr>
                <w:rFonts w:eastAsia="Times New Roman" w:cs="Times New Roman"/>
              </w:rPr>
              <w:t>2007</w:t>
            </w:r>
          </w:p>
        </w:tc>
        <w:tc>
          <w:tcPr>
            <w:tcW w:w="2103" w:type="dxa"/>
            <w:shd w:val="clear" w:color="auto" w:fill="auto"/>
            <w:noWrap/>
            <w:hideMark/>
          </w:tcPr>
          <w:p w14:paraId="77507EC5" w14:textId="77777777" w:rsidR="0036264B" w:rsidRPr="00A41ED7" w:rsidRDefault="0036264B" w:rsidP="00C11C13">
            <w:pPr>
              <w:rPr>
                <w:rFonts w:eastAsia="Times New Roman" w:cs="Times New Roman"/>
              </w:rPr>
            </w:pPr>
            <w:r w:rsidRPr="00A41ED7">
              <w:rPr>
                <w:rFonts w:eastAsia="Times New Roman" w:cs="Times New Roman"/>
              </w:rPr>
              <w:t>McKenna JK et al.</w:t>
            </w:r>
            <w:r w:rsidRPr="00A41ED7">
              <w:rPr>
                <w:rFonts w:eastAsia="Times New Roman" w:cs="Times New Roman"/>
                <w:vertAlign w:val="superscript"/>
              </w:rPr>
              <w:t>18</w:t>
            </w:r>
            <w:r w:rsidRPr="00A41ED7">
              <w:rPr>
                <w:rFonts w:eastAsia="Times New Roman" w:cs="Times New Roman"/>
              </w:rPr>
              <w:t xml:space="preserve"> (USA)</w:t>
            </w:r>
          </w:p>
        </w:tc>
        <w:tc>
          <w:tcPr>
            <w:tcW w:w="2752" w:type="dxa"/>
            <w:shd w:val="clear" w:color="auto" w:fill="auto"/>
            <w:hideMark/>
          </w:tcPr>
          <w:p w14:paraId="661C3883" w14:textId="77777777" w:rsidR="0036264B" w:rsidRPr="00A41ED7" w:rsidRDefault="0036264B" w:rsidP="00C11C13">
            <w:pPr>
              <w:rPr>
                <w:rFonts w:eastAsia="Times New Roman" w:cs="Times New Roman"/>
              </w:rPr>
            </w:pPr>
            <w:r w:rsidRPr="00A41ED7">
              <w:rPr>
                <w:rFonts w:eastAsia="Times New Roman" w:cs="Times New Roman"/>
              </w:rPr>
              <w:t>To determine whether dynamic telepathology can be accomplished by using readily available consumer products and software.</w:t>
            </w:r>
          </w:p>
        </w:tc>
        <w:tc>
          <w:tcPr>
            <w:tcW w:w="3475" w:type="dxa"/>
            <w:shd w:val="clear" w:color="auto" w:fill="auto"/>
            <w:hideMark/>
          </w:tcPr>
          <w:p w14:paraId="63B0D79F" w14:textId="77777777" w:rsidR="0036264B" w:rsidRPr="00A41ED7" w:rsidRDefault="0036264B" w:rsidP="00C11C13">
            <w:pPr>
              <w:rPr>
                <w:rFonts w:eastAsia="Times New Roman" w:cs="Times New Roman"/>
              </w:rPr>
            </w:pPr>
            <w:r w:rsidRPr="00A41ED7">
              <w:rPr>
                <w:rFonts w:eastAsia="Times New Roman" w:cs="Times New Roman"/>
              </w:rPr>
              <w:t xml:space="preserve">The Mohs surgeon consulted the </w:t>
            </w:r>
            <w:proofErr w:type="spellStart"/>
            <w:r w:rsidRPr="00A41ED7">
              <w:rPr>
                <w:rFonts w:eastAsia="Times New Roman" w:cs="Times New Roman"/>
              </w:rPr>
              <w:t>dermatopathologist</w:t>
            </w:r>
            <w:proofErr w:type="spellEnd"/>
            <w:r w:rsidRPr="00A41ED7">
              <w:rPr>
                <w:rFonts w:eastAsia="Times New Roman" w:cs="Times New Roman"/>
              </w:rPr>
              <w:t xml:space="preserve"> with various questions on 20 frozen section slides using iChat AV videoconferencing software.</w:t>
            </w:r>
          </w:p>
        </w:tc>
        <w:tc>
          <w:tcPr>
            <w:tcW w:w="4137" w:type="dxa"/>
            <w:shd w:val="clear" w:color="auto" w:fill="auto"/>
            <w:hideMark/>
          </w:tcPr>
          <w:p w14:paraId="124CED65" w14:textId="77777777" w:rsidR="0036264B" w:rsidRPr="00A41ED7" w:rsidRDefault="0036264B" w:rsidP="00C11C13">
            <w:pPr>
              <w:rPr>
                <w:rFonts w:eastAsia="Times New Roman" w:cs="Times New Roman"/>
              </w:rPr>
            </w:pPr>
            <w:r w:rsidRPr="00A41ED7">
              <w:rPr>
                <w:rFonts w:eastAsia="Times New Roman" w:cs="Times New Roman"/>
              </w:rPr>
              <w:t>The video images were adequate for pathologic interpretation with complete agreement on question answers for all 20 Mohs frozen section consultations</w:t>
            </w:r>
          </w:p>
        </w:tc>
      </w:tr>
      <w:tr w:rsidR="0036264B" w:rsidRPr="00A41ED7" w14:paraId="7A37B127" w14:textId="77777777" w:rsidTr="00C11C13">
        <w:trPr>
          <w:trHeight w:val="2120"/>
        </w:trPr>
        <w:tc>
          <w:tcPr>
            <w:tcW w:w="763" w:type="dxa"/>
            <w:shd w:val="clear" w:color="auto" w:fill="auto"/>
            <w:noWrap/>
            <w:hideMark/>
          </w:tcPr>
          <w:p w14:paraId="122AD81B" w14:textId="77777777" w:rsidR="0036264B" w:rsidRPr="00A41ED7" w:rsidRDefault="0036264B" w:rsidP="00C11C13">
            <w:pPr>
              <w:rPr>
                <w:rFonts w:eastAsia="Times New Roman" w:cs="Times New Roman"/>
              </w:rPr>
            </w:pPr>
            <w:r w:rsidRPr="00A41ED7">
              <w:rPr>
                <w:rFonts w:eastAsia="Times New Roman" w:cs="Times New Roman"/>
              </w:rPr>
              <w:t>2008</w:t>
            </w:r>
          </w:p>
        </w:tc>
        <w:tc>
          <w:tcPr>
            <w:tcW w:w="2103" w:type="dxa"/>
            <w:shd w:val="clear" w:color="auto" w:fill="auto"/>
            <w:noWrap/>
            <w:hideMark/>
          </w:tcPr>
          <w:p w14:paraId="10B14A2B" w14:textId="77777777" w:rsidR="0036264B" w:rsidRPr="00A41ED7" w:rsidRDefault="0036264B" w:rsidP="00C11C13">
            <w:pPr>
              <w:rPr>
                <w:rFonts w:eastAsia="Times New Roman" w:cs="Times New Roman"/>
              </w:rPr>
            </w:pPr>
            <w:r w:rsidRPr="00A41ED7">
              <w:rPr>
                <w:rFonts w:eastAsia="Times New Roman" w:cs="Times New Roman"/>
              </w:rPr>
              <w:t>Lambert DR et al.</w:t>
            </w:r>
            <w:r w:rsidRPr="00A41ED7">
              <w:rPr>
                <w:rFonts w:eastAsia="Times New Roman" w:cs="Times New Roman"/>
                <w:vertAlign w:val="superscript"/>
              </w:rPr>
              <w:t>19</w:t>
            </w:r>
            <w:r w:rsidRPr="00A41ED7">
              <w:rPr>
                <w:rFonts w:eastAsia="Times New Roman" w:cs="Times New Roman"/>
              </w:rPr>
              <w:t xml:space="preserve"> (USA)</w:t>
            </w:r>
          </w:p>
        </w:tc>
        <w:tc>
          <w:tcPr>
            <w:tcW w:w="2752" w:type="dxa"/>
            <w:shd w:val="clear" w:color="auto" w:fill="auto"/>
            <w:hideMark/>
          </w:tcPr>
          <w:p w14:paraId="7C771C99" w14:textId="77777777" w:rsidR="0036264B" w:rsidRPr="00A41ED7" w:rsidRDefault="0036264B" w:rsidP="00C11C13">
            <w:pPr>
              <w:rPr>
                <w:rFonts w:eastAsia="Times New Roman" w:cs="Times New Roman"/>
              </w:rPr>
            </w:pPr>
            <w:r w:rsidRPr="00A41ED7">
              <w:rPr>
                <w:rFonts w:eastAsia="Times New Roman" w:cs="Times New Roman"/>
              </w:rPr>
              <w:t>To present a case report of intraoperative histopathology consultation during Mohs surgery.</w:t>
            </w:r>
          </w:p>
        </w:tc>
        <w:tc>
          <w:tcPr>
            <w:tcW w:w="3475" w:type="dxa"/>
            <w:shd w:val="clear" w:color="auto" w:fill="auto"/>
            <w:hideMark/>
          </w:tcPr>
          <w:p w14:paraId="009116A4" w14:textId="77777777" w:rsidR="0036264B" w:rsidRPr="00A41ED7" w:rsidRDefault="0036264B" w:rsidP="00C11C13">
            <w:pPr>
              <w:rPr>
                <w:rFonts w:eastAsia="Times New Roman" w:cs="Times New Roman"/>
              </w:rPr>
            </w:pPr>
            <w:r w:rsidRPr="00A41ED7">
              <w:rPr>
                <w:rFonts w:eastAsia="Times New Roman" w:cs="Times New Roman"/>
              </w:rPr>
              <w:t xml:space="preserve">A patient referred for Mohs surgery for SCCIS was found to have BCC on the first stage and SCCIS on the second stage, both of which were confirmed intraoperatively via telepathology by a remote </w:t>
            </w:r>
            <w:proofErr w:type="spellStart"/>
            <w:r w:rsidRPr="00A41ED7">
              <w:rPr>
                <w:rFonts w:eastAsia="Times New Roman" w:cs="Times New Roman"/>
              </w:rPr>
              <w:t>dermatopathologist</w:t>
            </w:r>
            <w:proofErr w:type="spellEnd"/>
            <w:r w:rsidRPr="00A41ED7">
              <w:rPr>
                <w:rFonts w:eastAsia="Times New Roman" w:cs="Times New Roman"/>
              </w:rPr>
              <w:t>.</w:t>
            </w:r>
          </w:p>
        </w:tc>
        <w:tc>
          <w:tcPr>
            <w:tcW w:w="4137" w:type="dxa"/>
            <w:shd w:val="clear" w:color="auto" w:fill="auto"/>
            <w:hideMark/>
          </w:tcPr>
          <w:p w14:paraId="591E4B32" w14:textId="77777777" w:rsidR="0036264B" w:rsidRPr="00A41ED7" w:rsidRDefault="0036264B" w:rsidP="00C11C13">
            <w:pPr>
              <w:rPr>
                <w:rFonts w:eastAsia="Times New Roman" w:cs="Times New Roman"/>
              </w:rPr>
            </w:pPr>
            <w:r w:rsidRPr="00A41ED7">
              <w:rPr>
                <w:rFonts w:eastAsia="Times New Roman" w:cs="Times New Roman"/>
              </w:rPr>
              <w:t>Telepathology provides time-efficient consultation during Mohs surgery via electronic transmission of path images, expediting diagnosis confirmation and treatment decisions.</w:t>
            </w:r>
          </w:p>
        </w:tc>
      </w:tr>
      <w:tr w:rsidR="0036264B" w:rsidRPr="00A41ED7" w14:paraId="5C6B01B6" w14:textId="77777777" w:rsidTr="00C11C13">
        <w:trPr>
          <w:trHeight w:val="320"/>
        </w:trPr>
        <w:tc>
          <w:tcPr>
            <w:tcW w:w="13230" w:type="dxa"/>
            <w:gridSpan w:val="5"/>
            <w:shd w:val="clear" w:color="auto" w:fill="auto"/>
            <w:noWrap/>
            <w:hideMark/>
          </w:tcPr>
          <w:p w14:paraId="4594115D" w14:textId="77777777" w:rsidR="0036264B" w:rsidRPr="00A41ED7" w:rsidRDefault="0036264B" w:rsidP="00C11C13">
            <w:pPr>
              <w:rPr>
                <w:rFonts w:eastAsia="Times New Roman" w:cs="Times New Roman"/>
                <w:b/>
                <w:bCs/>
                <w:i/>
                <w:iCs/>
              </w:rPr>
            </w:pPr>
            <w:r w:rsidRPr="00A41ED7">
              <w:rPr>
                <w:rFonts w:eastAsia="Times New Roman" w:cs="Times New Roman"/>
                <w:b/>
                <w:bCs/>
                <w:i/>
                <w:iCs/>
              </w:rPr>
              <w:t>Intraoperative Uses</w:t>
            </w:r>
          </w:p>
        </w:tc>
      </w:tr>
      <w:tr w:rsidR="0036264B" w:rsidRPr="00A41ED7" w14:paraId="63C634BA" w14:textId="77777777" w:rsidTr="00C11C13">
        <w:trPr>
          <w:trHeight w:val="1840"/>
        </w:trPr>
        <w:tc>
          <w:tcPr>
            <w:tcW w:w="763" w:type="dxa"/>
            <w:shd w:val="clear" w:color="auto" w:fill="auto"/>
            <w:noWrap/>
            <w:hideMark/>
          </w:tcPr>
          <w:p w14:paraId="102D96A9" w14:textId="77777777" w:rsidR="0036264B" w:rsidRPr="00A41ED7" w:rsidRDefault="0036264B" w:rsidP="00C11C13">
            <w:pPr>
              <w:rPr>
                <w:rFonts w:eastAsia="Times New Roman" w:cs="Times New Roman"/>
              </w:rPr>
            </w:pPr>
            <w:r w:rsidRPr="00A41ED7">
              <w:rPr>
                <w:rFonts w:eastAsia="Times New Roman" w:cs="Times New Roman"/>
              </w:rPr>
              <w:lastRenderedPageBreak/>
              <w:t>2014</w:t>
            </w:r>
          </w:p>
        </w:tc>
        <w:tc>
          <w:tcPr>
            <w:tcW w:w="2103" w:type="dxa"/>
            <w:shd w:val="clear" w:color="auto" w:fill="auto"/>
            <w:noWrap/>
            <w:hideMark/>
          </w:tcPr>
          <w:p w14:paraId="3FF98851" w14:textId="77777777" w:rsidR="0036264B" w:rsidRPr="00A41ED7" w:rsidRDefault="0036264B" w:rsidP="00C11C13">
            <w:pPr>
              <w:rPr>
                <w:rFonts w:eastAsia="Times New Roman" w:cs="Times New Roman"/>
              </w:rPr>
            </w:pPr>
            <w:r w:rsidRPr="00A41ED7">
              <w:rPr>
                <w:rFonts w:eastAsia="Times New Roman" w:cs="Times New Roman"/>
              </w:rPr>
              <w:t>Hamann D et al.</w:t>
            </w:r>
            <w:r w:rsidRPr="00A41ED7">
              <w:rPr>
                <w:rFonts w:eastAsia="Times New Roman" w:cs="Times New Roman"/>
                <w:vertAlign w:val="superscript"/>
              </w:rPr>
              <w:t>20</w:t>
            </w:r>
            <w:r w:rsidRPr="00A41ED7">
              <w:rPr>
                <w:rFonts w:eastAsia="Times New Roman" w:cs="Times New Roman"/>
              </w:rPr>
              <w:t xml:space="preserve"> (USA)</w:t>
            </w:r>
          </w:p>
        </w:tc>
        <w:tc>
          <w:tcPr>
            <w:tcW w:w="2752" w:type="dxa"/>
            <w:shd w:val="clear" w:color="auto" w:fill="auto"/>
            <w:hideMark/>
          </w:tcPr>
          <w:p w14:paraId="62EF6ABC" w14:textId="77777777" w:rsidR="0036264B" w:rsidRPr="00A41ED7" w:rsidRDefault="0036264B" w:rsidP="00C11C13">
            <w:pPr>
              <w:rPr>
                <w:rFonts w:eastAsia="Times New Roman" w:cs="Times New Roman"/>
              </w:rPr>
            </w:pPr>
            <w:r w:rsidRPr="00A41ED7">
              <w:rPr>
                <w:rFonts w:eastAsia="Times New Roman" w:cs="Times New Roman"/>
              </w:rPr>
              <w:t xml:space="preserve">To explore the applications of </w:t>
            </w:r>
            <w:proofErr w:type="spellStart"/>
            <w:r w:rsidRPr="00A41ED7">
              <w:rPr>
                <w:rFonts w:eastAsia="Times New Roman" w:cs="Times New Roman"/>
              </w:rPr>
              <w:t>smartglasses</w:t>
            </w:r>
            <w:proofErr w:type="spellEnd"/>
            <w:r w:rsidRPr="00A41ED7">
              <w:rPr>
                <w:rFonts w:eastAsia="Times New Roman" w:cs="Times New Roman"/>
              </w:rPr>
              <w:t xml:space="preserve"> for intraoperative consultation and defect triage.</w:t>
            </w:r>
          </w:p>
        </w:tc>
        <w:tc>
          <w:tcPr>
            <w:tcW w:w="3475" w:type="dxa"/>
            <w:shd w:val="clear" w:color="auto" w:fill="auto"/>
            <w:hideMark/>
          </w:tcPr>
          <w:p w14:paraId="15DE89F0" w14:textId="77777777" w:rsidR="0036264B" w:rsidRPr="00A41ED7" w:rsidRDefault="0036264B" w:rsidP="00C11C13">
            <w:pPr>
              <w:rPr>
                <w:rFonts w:eastAsia="Times New Roman" w:cs="Times New Roman"/>
              </w:rPr>
            </w:pPr>
            <w:proofErr w:type="spellStart"/>
            <w:r w:rsidRPr="00A41ED7">
              <w:rPr>
                <w:rFonts w:eastAsia="Times New Roman" w:cs="Times New Roman"/>
              </w:rPr>
              <w:t>Smartglasses</w:t>
            </w:r>
            <w:proofErr w:type="spellEnd"/>
            <w:r w:rsidRPr="00A41ED7">
              <w:rPr>
                <w:rFonts w:eastAsia="Times New Roman" w:cs="Times New Roman"/>
              </w:rPr>
              <w:t xml:space="preserve"> were used to coordinate care and share </w:t>
            </w:r>
            <w:proofErr w:type="gramStart"/>
            <w:r w:rsidRPr="00A41ED7">
              <w:rPr>
                <w:rFonts w:eastAsia="Times New Roman" w:cs="Times New Roman"/>
              </w:rPr>
              <w:t>case-load</w:t>
            </w:r>
            <w:proofErr w:type="gramEnd"/>
            <w:r w:rsidRPr="00A41ED7">
              <w:rPr>
                <w:rFonts w:eastAsia="Times New Roman" w:cs="Times New Roman"/>
              </w:rPr>
              <w:t xml:space="preserve"> for Mohs defect reconstruction between surgeons in the Dept of Dermatology and ENT.</w:t>
            </w:r>
          </w:p>
        </w:tc>
        <w:tc>
          <w:tcPr>
            <w:tcW w:w="4137" w:type="dxa"/>
            <w:shd w:val="clear" w:color="auto" w:fill="auto"/>
            <w:hideMark/>
          </w:tcPr>
          <w:p w14:paraId="155E7549" w14:textId="77777777" w:rsidR="0036264B" w:rsidRPr="00A41ED7" w:rsidRDefault="0036264B" w:rsidP="00C11C13">
            <w:pPr>
              <w:rPr>
                <w:rFonts w:eastAsia="Times New Roman" w:cs="Times New Roman"/>
              </w:rPr>
            </w:pPr>
            <w:proofErr w:type="spellStart"/>
            <w:r w:rsidRPr="00A41ED7">
              <w:rPr>
                <w:rFonts w:eastAsia="Times New Roman" w:cs="Times New Roman"/>
              </w:rPr>
              <w:t>Smartglasses</w:t>
            </w:r>
            <w:proofErr w:type="spellEnd"/>
            <w:r w:rsidRPr="00A41ED7">
              <w:rPr>
                <w:rFonts w:eastAsia="Times New Roman" w:cs="Times New Roman"/>
              </w:rPr>
              <w:t xml:space="preserve"> facilitated care coordination by enabling transmission of photos and video recordings taken by the Mohs surgeon to the ENT surgeon as well as allowing live videoconferencing intraoperatively during Mohs surgery.</w:t>
            </w:r>
          </w:p>
        </w:tc>
      </w:tr>
      <w:tr w:rsidR="0036264B" w:rsidRPr="00A41ED7" w14:paraId="4D7441CC" w14:textId="77777777" w:rsidTr="00C11C13">
        <w:trPr>
          <w:trHeight w:val="1460"/>
        </w:trPr>
        <w:tc>
          <w:tcPr>
            <w:tcW w:w="763" w:type="dxa"/>
            <w:shd w:val="clear" w:color="auto" w:fill="auto"/>
            <w:noWrap/>
            <w:hideMark/>
          </w:tcPr>
          <w:p w14:paraId="45E1C126" w14:textId="77777777" w:rsidR="0036264B" w:rsidRPr="00A41ED7" w:rsidRDefault="0036264B" w:rsidP="00C11C13">
            <w:pPr>
              <w:rPr>
                <w:rFonts w:eastAsia="Times New Roman" w:cs="Times New Roman"/>
              </w:rPr>
            </w:pPr>
            <w:r w:rsidRPr="00A41ED7">
              <w:rPr>
                <w:rFonts w:eastAsia="Times New Roman" w:cs="Times New Roman"/>
              </w:rPr>
              <w:t>2014</w:t>
            </w:r>
          </w:p>
        </w:tc>
        <w:tc>
          <w:tcPr>
            <w:tcW w:w="2103" w:type="dxa"/>
            <w:shd w:val="clear" w:color="auto" w:fill="auto"/>
            <w:noWrap/>
            <w:hideMark/>
          </w:tcPr>
          <w:p w14:paraId="00BBB922" w14:textId="77777777" w:rsidR="0036264B" w:rsidRPr="00A41ED7" w:rsidRDefault="0036264B" w:rsidP="00C11C13">
            <w:pPr>
              <w:rPr>
                <w:rFonts w:eastAsia="Times New Roman" w:cs="Times New Roman"/>
              </w:rPr>
            </w:pPr>
            <w:r w:rsidRPr="00A41ED7">
              <w:rPr>
                <w:rFonts w:eastAsia="Times New Roman" w:cs="Times New Roman"/>
              </w:rPr>
              <w:t>Niamtu J</w:t>
            </w:r>
            <w:r w:rsidRPr="00A41ED7">
              <w:rPr>
                <w:rFonts w:eastAsia="Times New Roman" w:cs="Times New Roman"/>
                <w:vertAlign w:val="superscript"/>
              </w:rPr>
              <w:t>21</w:t>
            </w:r>
            <w:r w:rsidRPr="00A41ED7">
              <w:rPr>
                <w:rFonts w:eastAsia="Times New Roman" w:cs="Times New Roman"/>
              </w:rPr>
              <w:t xml:space="preserve"> (USA)</w:t>
            </w:r>
          </w:p>
        </w:tc>
        <w:tc>
          <w:tcPr>
            <w:tcW w:w="2752" w:type="dxa"/>
            <w:shd w:val="clear" w:color="auto" w:fill="auto"/>
            <w:hideMark/>
          </w:tcPr>
          <w:p w14:paraId="3CB9F729" w14:textId="77777777" w:rsidR="0036264B" w:rsidRPr="00A41ED7" w:rsidRDefault="0036264B" w:rsidP="00C11C13">
            <w:pPr>
              <w:rPr>
                <w:rFonts w:eastAsia="Times New Roman" w:cs="Times New Roman"/>
              </w:rPr>
            </w:pPr>
            <w:r w:rsidRPr="00A41ED7">
              <w:rPr>
                <w:rFonts w:eastAsia="Times New Roman" w:cs="Times New Roman"/>
              </w:rPr>
              <w:t>To assess the uses of Google Glass in a dermatologic cosmetic surgery practice.</w:t>
            </w:r>
          </w:p>
        </w:tc>
        <w:tc>
          <w:tcPr>
            <w:tcW w:w="3475" w:type="dxa"/>
            <w:shd w:val="clear" w:color="auto" w:fill="auto"/>
            <w:hideMark/>
          </w:tcPr>
          <w:p w14:paraId="454BC75F" w14:textId="77777777" w:rsidR="0036264B" w:rsidRPr="00A41ED7" w:rsidRDefault="0036264B" w:rsidP="00C11C13">
            <w:pPr>
              <w:rPr>
                <w:rFonts w:eastAsia="Times New Roman" w:cs="Times New Roman"/>
              </w:rPr>
            </w:pPr>
            <w:r w:rsidRPr="00A41ED7">
              <w:rPr>
                <w:rFonts w:eastAsia="Times New Roman" w:cs="Times New Roman"/>
              </w:rPr>
              <w:t>Google Glass was used for 8 weeks for both pre- and intraoperative applications.</w:t>
            </w:r>
          </w:p>
        </w:tc>
        <w:tc>
          <w:tcPr>
            <w:tcW w:w="4137" w:type="dxa"/>
            <w:shd w:val="clear" w:color="auto" w:fill="auto"/>
            <w:hideMark/>
          </w:tcPr>
          <w:p w14:paraId="072C66E6" w14:textId="77777777" w:rsidR="0036264B" w:rsidRPr="00A41ED7" w:rsidRDefault="0036264B" w:rsidP="00C11C13">
            <w:pPr>
              <w:rPr>
                <w:rFonts w:eastAsia="Times New Roman" w:cs="Times New Roman"/>
              </w:rPr>
            </w:pPr>
            <w:r w:rsidRPr="00A41ED7">
              <w:rPr>
                <w:rFonts w:eastAsia="Times New Roman" w:cs="Times New Roman"/>
              </w:rPr>
              <w:t>Google Glass enabled seamless photography and videography intraoperatively, documentation of consults, and live surgery observation for teaching purposes.</w:t>
            </w:r>
          </w:p>
        </w:tc>
      </w:tr>
      <w:tr w:rsidR="0036264B" w:rsidRPr="00A41ED7" w14:paraId="0F56A15E" w14:textId="77777777" w:rsidTr="00C11C13">
        <w:trPr>
          <w:trHeight w:val="320"/>
        </w:trPr>
        <w:tc>
          <w:tcPr>
            <w:tcW w:w="13230" w:type="dxa"/>
            <w:gridSpan w:val="5"/>
            <w:shd w:val="clear" w:color="auto" w:fill="auto"/>
            <w:noWrap/>
            <w:hideMark/>
          </w:tcPr>
          <w:p w14:paraId="000D0A74" w14:textId="77777777" w:rsidR="0036264B" w:rsidRPr="00A41ED7" w:rsidRDefault="0036264B" w:rsidP="00C11C13">
            <w:pPr>
              <w:rPr>
                <w:rFonts w:eastAsia="Times New Roman" w:cs="Times New Roman"/>
                <w:b/>
                <w:bCs/>
                <w:i/>
                <w:iCs/>
              </w:rPr>
            </w:pPr>
            <w:r w:rsidRPr="00A41ED7">
              <w:rPr>
                <w:rFonts w:eastAsia="Times New Roman" w:cs="Times New Roman"/>
                <w:b/>
                <w:bCs/>
                <w:i/>
                <w:iCs/>
              </w:rPr>
              <w:t>Postoperative Care</w:t>
            </w:r>
          </w:p>
        </w:tc>
      </w:tr>
      <w:tr w:rsidR="0036264B" w:rsidRPr="00A41ED7" w14:paraId="1A7F03D6" w14:textId="77777777" w:rsidTr="00C11C13">
        <w:trPr>
          <w:trHeight w:val="1760"/>
        </w:trPr>
        <w:tc>
          <w:tcPr>
            <w:tcW w:w="763" w:type="dxa"/>
            <w:shd w:val="clear" w:color="auto" w:fill="auto"/>
            <w:noWrap/>
            <w:hideMark/>
          </w:tcPr>
          <w:p w14:paraId="0979407C" w14:textId="77777777" w:rsidR="0036264B" w:rsidRPr="00A41ED7" w:rsidRDefault="0036264B" w:rsidP="00C11C13">
            <w:pPr>
              <w:rPr>
                <w:rFonts w:eastAsia="Times New Roman" w:cs="Times New Roman"/>
              </w:rPr>
            </w:pPr>
            <w:r w:rsidRPr="00A41ED7">
              <w:rPr>
                <w:rFonts w:eastAsia="Times New Roman" w:cs="Times New Roman"/>
              </w:rPr>
              <w:t>2018</w:t>
            </w:r>
          </w:p>
        </w:tc>
        <w:tc>
          <w:tcPr>
            <w:tcW w:w="2103" w:type="dxa"/>
            <w:shd w:val="clear" w:color="auto" w:fill="auto"/>
            <w:noWrap/>
            <w:hideMark/>
          </w:tcPr>
          <w:p w14:paraId="0BAB9210" w14:textId="77777777" w:rsidR="0036264B" w:rsidRPr="00A41ED7" w:rsidRDefault="0036264B" w:rsidP="00C11C13">
            <w:pPr>
              <w:rPr>
                <w:rFonts w:eastAsia="Times New Roman" w:cs="Times New Roman"/>
              </w:rPr>
            </w:pPr>
            <w:r w:rsidRPr="00A41ED7">
              <w:rPr>
                <w:rFonts w:eastAsia="Times New Roman" w:cs="Times New Roman"/>
              </w:rPr>
              <w:t>Hawkins et al.</w:t>
            </w:r>
            <w:r w:rsidRPr="00A41ED7">
              <w:rPr>
                <w:rFonts w:eastAsia="Times New Roman" w:cs="Times New Roman"/>
                <w:vertAlign w:val="superscript"/>
              </w:rPr>
              <w:t>22</w:t>
            </w:r>
            <w:r w:rsidRPr="00A41ED7">
              <w:rPr>
                <w:rFonts w:eastAsia="Times New Roman" w:cs="Times New Roman"/>
              </w:rPr>
              <w:t xml:space="preserve"> (USA)</w:t>
            </w:r>
          </w:p>
        </w:tc>
        <w:tc>
          <w:tcPr>
            <w:tcW w:w="2752" w:type="dxa"/>
            <w:shd w:val="clear" w:color="auto" w:fill="auto"/>
            <w:hideMark/>
          </w:tcPr>
          <w:p w14:paraId="500F15E5" w14:textId="77777777" w:rsidR="0036264B" w:rsidRPr="00A41ED7" w:rsidRDefault="0036264B" w:rsidP="00C11C13">
            <w:pPr>
              <w:rPr>
                <w:rFonts w:eastAsia="Times New Roman" w:cs="Times New Roman"/>
              </w:rPr>
            </w:pPr>
            <w:r w:rsidRPr="00A41ED7">
              <w:rPr>
                <w:rFonts w:eastAsia="Times New Roman" w:cs="Times New Roman"/>
              </w:rPr>
              <w:t>To develop and evaluate perioperative resources for Mohs surgery patients including video modules and postoperative text messaging.</w:t>
            </w:r>
          </w:p>
        </w:tc>
        <w:tc>
          <w:tcPr>
            <w:tcW w:w="3475" w:type="dxa"/>
            <w:shd w:val="clear" w:color="auto" w:fill="auto"/>
            <w:hideMark/>
          </w:tcPr>
          <w:p w14:paraId="6DC7CEAB" w14:textId="77777777" w:rsidR="0036264B" w:rsidRPr="00A41ED7" w:rsidRDefault="0036264B" w:rsidP="00C11C13">
            <w:pPr>
              <w:rPr>
                <w:rFonts w:eastAsia="Times New Roman" w:cs="Times New Roman"/>
              </w:rPr>
            </w:pPr>
            <w:r w:rsidRPr="00A41ED7">
              <w:rPr>
                <w:rFonts w:eastAsia="Times New Roman" w:cs="Times New Roman"/>
              </w:rPr>
              <w:t>Pre-operative anxiety and knowledge of Mohs surgery and post-operative care were evaluated among 90 patients randomized to videos with text messages, videos only, text messages only, or control.</w:t>
            </w:r>
          </w:p>
        </w:tc>
        <w:tc>
          <w:tcPr>
            <w:tcW w:w="4137" w:type="dxa"/>
            <w:shd w:val="clear" w:color="auto" w:fill="auto"/>
            <w:hideMark/>
          </w:tcPr>
          <w:p w14:paraId="25507401" w14:textId="77777777" w:rsidR="0036264B" w:rsidRPr="00A41ED7" w:rsidRDefault="0036264B" w:rsidP="00C11C13">
            <w:pPr>
              <w:rPr>
                <w:rFonts w:eastAsia="Times New Roman" w:cs="Times New Roman"/>
              </w:rPr>
            </w:pPr>
            <w:r w:rsidRPr="00A41ED7">
              <w:rPr>
                <w:rFonts w:eastAsia="Times New Roman" w:cs="Times New Roman"/>
              </w:rPr>
              <w:t>The Mohs video reduced patient anxiety by 19% (</w:t>
            </w:r>
            <w:r w:rsidRPr="00A41ED7">
              <w:rPr>
                <w:rFonts w:eastAsia="Times New Roman" w:cs="Times New Roman"/>
                <w:i/>
                <w:iCs/>
              </w:rPr>
              <w:t xml:space="preserve">p </w:t>
            </w:r>
            <w:r w:rsidRPr="00A41ED7">
              <w:rPr>
                <w:rFonts w:eastAsia="Times New Roman" w:cs="Times New Roman"/>
              </w:rPr>
              <w:t>= 0.00062). There was no difference in knowledge after the wound care video. Patients prefer text message-based wound care instructions over pamphlets but do not find them more helpful.</w:t>
            </w:r>
          </w:p>
        </w:tc>
      </w:tr>
      <w:tr w:rsidR="0036264B" w:rsidRPr="00A41ED7" w14:paraId="1BA78E9A" w14:textId="77777777" w:rsidTr="00C11C13">
        <w:trPr>
          <w:trHeight w:val="2100"/>
        </w:trPr>
        <w:tc>
          <w:tcPr>
            <w:tcW w:w="763" w:type="dxa"/>
            <w:shd w:val="clear" w:color="auto" w:fill="auto"/>
            <w:noWrap/>
            <w:hideMark/>
          </w:tcPr>
          <w:p w14:paraId="15C2E86F" w14:textId="77777777" w:rsidR="0036264B" w:rsidRPr="00A41ED7" w:rsidRDefault="0036264B" w:rsidP="00C11C13">
            <w:pPr>
              <w:rPr>
                <w:rFonts w:eastAsia="Times New Roman" w:cs="Times New Roman"/>
              </w:rPr>
            </w:pPr>
            <w:r w:rsidRPr="00A41ED7">
              <w:rPr>
                <w:rFonts w:eastAsia="Times New Roman" w:cs="Times New Roman"/>
              </w:rPr>
              <w:t>2017</w:t>
            </w:r>
          </w:p>
        </w:tc>
        <w:tc>
          <w:tcPr>
            <w:tcW w:w="2103" w:type="dxa"/>
            <w:shd w:val="clear" w:color="auto" w:fill="auto"/>
            <w:noWrap/>
            <w:hideMark/>
          </w:tcPr>
          <w:p w14:paraId="715BACEF" w14:textId="77777777" w:rsidR="0036264B" w:rsidRPr="00A41ED7" w:rsidRDefault="0036264B" w:rsidP="00C11C13">
            <w:pPr>
              <w:rPr>
                <w:rFonts w:eastAsia="Times New Roman" w:cs="Times New Roman"/>
              </w:rPr>
            </w:pPr>
            <w:r w:rsidRPr="00A41ED7">
              <w:rPr>
                <w:rFonts w:eastAsia="Times New Roman" w:cs="Times New Roman"/>
              </w:rPr>
              <w:t>Chee SN et al.</w:t>
            </w:r>
            <w:r w:rsidRPr="00A41ED7">
              <w:rPr>
                <w:rFonts w:eastAsia="Times New Roman" w:cs="Times New Roman"/>
                <w:vertAlign w:val="superscript"/>
              </w:rPr>
              <w:t>23</w:t>
            </w:r>
            <w:r w:rsidRPr="00A41ED7">
              <w:rPr>
                <w:rFonts w:eastAsia="Times New Roman" w:cs="Times New Roman"/>
              </w:rPr>
              <w:t xml:space="preserve"> (Australia)</w:t>
            </w:r>
          </w:p>
        </w:tc>
        <w:tc>
          <w:tcPr>
            <w:tcW w:w="2752" w:type="dxa"/>
            <w:shd w:val="clear" w:color="auto" w:fill="auto"/>
            <w:hideMark/>
          </w:tcPr>
          <w:p w14:paraId="65063905" w14:textId="77777777" w:rsidR="0036264B" w:rsidRPr="00A41ED7" w:rsidRDefault="0036264B" w:rsidP="00C11C13">
            <w:pPr>
              <w:rPr>
                <w:rFonts w:eastAsia="Times New Roman" w:cs="Times New Roman"/>
              </w:rPr>
            </w:pPr>
            <w:r w:rsidRPr="00A41ED7">
              <w:rPr>
                <w:rFonts w:eastAsia="Times New Roman" w:cs="Times New Roman"/>
              </w:rPr>
              <w:t>To identify the benefits, barriers, and patient attitudes towards smartphone monitoring post-laser resurfacing.</w:t>
            </w:r>
          </w:p>
        </w:tc>
        <w:tc>
          <w:tcPr>
            <w:tcW w:w="3475" w:type="dxa"/>
            <w:shd w:val="clear" w:color="auto" w:fill="auto"/>
            <w:hideMark/>
          </w:tcPr>
          <w:p w14:paraId="3AC659BF" w14:textId="77777777" w:rsidR="0036264B" w:rsidRPr="00A41ED7" w:rsidRDefault="0036264B" w:rsidP="00C11C13">
            <w:pPr>
              <w:rPr>
                <w:rFonts w:eastAsia="Times New Roman" w:cs="Times New Roman"/>
              </w:rPr>
            </w:pPr>
            <w:r w:rsidRPr="00A41ED7">
              <w:rPr>
                <w:rFonts w:eastAsia="Times New Roman" w:cs="Times New Roman"/>
              </w:rPr>
              <w:t>A web-based survey was distributed to 125 patients who had undergone laser resurfacing, 59 of whom had used the smartphone monitoring service, which entailed emailing photos of themselves to the dermatologist.</w:t>
            </w:r>
          </w:p>
        </w:tc>
        <w:tc>
          <w:tcPr>
            <w:tcW w:w="4137" w:type="dxa"/>
            <w:shd w:val="clear" w:color="auto" w:fill="auto"/>
            <w:hideMark/>
          </w:tcPr>
          <w:p w14:paraId="666DC190" w14:textId="77777777" w:rsidR="0036264B" w:rsidRPr="00A41ED7" w:rsidRDefault="0036264B" w:rsidP="00C11C13">
            <w:pPr>
              <w:rPr>
                <w:rFonts w:eastAsia="Times New Roman" w:cs="Times New Roman"/>
              </w:rPr>
            </w:pPr>
            <w:r w:rsidRPr="00A41ED7">
              <w:rPr>
                <w:rFonts w:eastAsia="Times New Roman" w:cs="Times New Roman"/>
              </w:rPr>
              <w:t xml:space="preserve">The entire </w:t>
            </w:r>
            <w:proofErr w:type="spellStart"/>
            <w:r w:rsidRPr="00A41ED7">
              <w:rPr>
                <w:rFonts w:eastAsia="Times New Roman" w:cs="Times New Roman"/>
              </w:rPr>
              <w:t>teledermatology</w:t>
            </w:r>
            <w:proofErr w:type="spellEnd"/>
            <w:r w:rsidRPr="00A41ED7">
              <w:rPr>
                <w:rFonts w:eastAsia="Times New Roman" w:cs="Times New Roman"/>
              </w:rPr>
              <w:t xml:space="preserve"> cohort felt that the smartphone monitoring service was a positive initiative for post-laser patients. Patients undergoing smartphone monitoring required fewer face-to-face consultations.</w:t>
            </w:r>
          </w:p>
        </w:tc>
      </w:tr>
    </w:tbl>
    <w:p w14:paraId="37899F54" w14:textId="77777777" w:rsidR="00E3463C" w:rsidRDefault="00E3463C">
      <w:bookmarkStart w:id="0" w:name="_GoBack"/>
      <w:bookmarkEnd w:id="0"/>
    </w:p>
    <w:sectPr w:rsidR="00E3463C" w:rsidSect="0036264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4B"/>
    <w:rsid w:val="0036264B"/>
    <w:rsid w:val="007D438C"/>
    <w:rsid w:val="00E3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E5F6"/>
  <w15:chartTrackingRefBased/>
  <w15:docId w15:val="{FE01F4E9-95E8-479E-B826-DAEEF78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64B"/>
    <w:pPr>
      <w:spacing w:after="0" w:line="240" w:lineRule="auto"/>
    </w:pPr>
    <w:rPr>
      <w:rFonts w:ascii="Times New Roman" w:eastAsiaTheme="minorEastAsia"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76C47C3693D40B0AADB875706CC37" ma:contentTypeVersion="10" ma:contentTypeDescription="Create a new document." ma:contentTypeScope="" ma:versionID="4e6a0bab9ccade06adbe5ebd64361c69">
  <xsd:schema xmlns:xsd="http://www.w3.org/2001/XMLSchema" xmlns:xs="http://www.w3.org/2001/XMLSchema" xmlns:p="http://schemas.microsoft.com/office/2006/metadata/properties" xmlns:ns3="1f888cdc-56fa-42a1-8629-50ee494d5fb7" targetNamespace="http://schemas.microsoft.com/office/2006/metadata/properties" ma:root="true" ma:fieldsID="158432e0c7aa6f4d41949a188e42c024" ns3:_="">
    <xsd:import namespace="1f888cdc-56fa-42a1-8629-50ee494d5f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88cdc-56fa-42a1-8629-50ee494d5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EF38F-E4CB-4A5D-8BEB-3D9BB740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88cdc-56fa-42a1-8629-50ee494d5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2BE8B-EDFE-42BD-B66B-4E7E9376CE59}">
  <ds:schemaRefs>
    <ds:schemaRef ds:uri="http://schemas.microsoft.com/sharepoint/v3/contenttype/forms"/>
  </ds:schemaRefs>
</ds:datastoreItem>
</file>

<file path=customXml/itemProps3.xml><?xml version="1.0" encoding="utf-8"?>
<ds:datastoreItem xmlns:ds="http://schemas.openxmlformats.org/officeDocument/2006/customXml" ds:itemID="{0EBEF0AB-EC58-42C6-88AB-0F6992DBB8E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f888cdc-56fa-42a1-8629-50ee494d5fb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Lambrecht, Nora</dc:creator>
  <cp:keywords/>
  <dc:description/>
  <cp:lastModifiedBy>Lambrecht, Nora</cp:lastModifiedBy>
  <cp:revision>1</cp:revision>
  <dcterms:created xsi:type="dcterms:W3CDTF">2020-01-30T18:21:00Z</dcterms:created>
  <dcterms:modified xsi:type="dcterms:W3CDTF">2020-01-30T18:22:00Z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0x0101005F976C47C3693D40B0AADB875706CC37</vt:lpwstr>
  </property>
</Properties>
</file>