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59" w:rsidRPr="005C7905" w:rsidRDefault="00932759" w:rsidP="00932759">
      <w:pPr>
        <w:spacing w:line="480" w:lineRule="auto"/>
        <w:rPr>
          <w:b/>
          <w:lang w:val="en-GB"/>
        </w:rPr>
      </w:pPr>
      <w:proofErr w:type="spellStart"/>
      <w:proofErr w:type="gramStart"/>
      <w:r w:rsidRPr="005844DF">
        <w:rPr>
          <w:b/>
          <w:lang w:val="en-GB"/>
        </w:rPr>
        <w:t>eTable</w:t>
      </w:r>
      <w:proofErr w:type="spellEnd"/>
      <w:proofErr w:type="gramEnd"/>
      <w:r>
        <w:rPr>
          <w:b/>
          <w:lang w:val="en-GB"/>
        </w:rPr>
        <w:t xml:space="preserve"> </w:t>
      </w:r>
      <w:r w:rsidRPr="005844DF">
        <w:rPr>
          <w:b/>
          <w:lang w:val="en-GB"/>
        </w:rPr>
        <w:t>1</w:t>
      </w:r>
      <w:r w:rsidRPr="005C7905">
        <w:rPr>
          <w:b/>
          <w:lang w:val="en-GB"/>
        </w:rPr>
        <w:t xml:space="preserve">. Risk factors at birth for childhood asthma in the original BAMSE birth cohort in Stockholm, as well as for children with questionnaire data on symptoms over 12 years and specific </w:t>
      </w:r>
      <w:proofErr w:type="spellStart"/>
      <w:r w:rsidRPr="005C7905">
        <w:rPr>
          <w:b/>
          <w:lang w:val="en-GB"/>
        </w:rPr>
        <w:t>IgE</w:t>
      </w:r>
      <w:proofErr w:type="spellEnd"/>
      <w:r w:rsidRPr="005C7905">
        <w:rPr>
          <w:b/>
          <w:lang w:val="en-GB"/>
        </w:rPr>
        <w:t xml:space="preserve"> from blood test at 8 years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59"/>
        <w:gridCol w:w="1985"/>
        <w:gridCol w:w="1984"/>
      </w:tblGrid>
      <w:tr w:rsidR="00932759" w:rsidRPr="00932759" w:rsidTr="00943485">
        <w:trPr>
          <w:trHeight w:val="1879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b/>
                <w:sz w:val="22"/>
                <w:szCs w:val="22"/>
                <w:lang w:val="en-GB"/>
              </w:rPr>
            </w:pPr>
            <w:r>
              <w:rPr>
                <w:rFonts w:eastAsia="Calibri"/>
                <w:b/>
                <w:sz w:val="22"/>
                <w:szCs w:val="22"/>
                <w:lang w:val="en-GB"/>
              </w:rPr>
              <w:t>Covariates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2759" w:rsidRDefault="00932759" w:rsidP="00943485">
            <w:pPr>
              <w:spacing w:line="480" w:lineRule="auto"/>
              <w:rPr>
                <w:rFonts w:eastAsia="Calibri"/>
                <w:b/>
                <w:sz w:val="22"/>
                <w:szCs w:val="22"/>
                <w:lang w:val="en-GB"/>
              </w:rPr>
            </w:pPr>
            <w:r>
              <w:rPr>
                <w:rFonts w:eastAsia="Calibri"/>
                <w:b/>
                <w:sz w:val="22"/>
                <w:szCs w:val="22"/>
                <w:lang w:val="en-GB"/>
              </w:rPr>
              <w:t>Original cohort</w:t>
            </w:r>
          </w:p>
          <w:p w:rsidR="00932759" w:rsidRDefault="00932759" w:rsidP="00943485">
            <w:pPr>
              <w:spacing w:line="480" w:lineRule="auto"/>
              <w:rPr>
                <w:rFonts w:eastAsia="Calibri"/>
                <w:b/>
                <w:sz w:val="22"/>
                <w:szCs w:val="22"/>
                <w:lang w:val="en-GB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val="en-GB"/>
              </w:rPr>
              <w:t>n</w:t>
            </w:r>
            <w:proofErr w:type="gramEnd"/>
            <w:r>
              <w:rPr>
                <w:rFonts w:eastAsia="Calibri"/>
                <w:b/>
                <w:sz w:val="22"/>
                <w:szCs w:val="22"/>
                <w:lang w:val="en-GB"/>
              </w:rPr>
              <w:t xml:space="preserve"> (%)</w:t>
            </w:r>
          </w:p>
          <w:p w:rsidR="00932759" w:rsidRPr="0055414D" w:rsidRDefault="00932759" w:rsidP="00943485">
            <w:pPr>
              <w:spacing w:line="480" w:lineRule="auto"/>
              <w:rPr>
                <w:rFonts w:eastAsia="Calibri"/>
                <w:b/>
                <w:sz w:val="22"/>
                <w:szCs w:val="22"/>
                <w:lang w:val="en-GB"/>
              </w:rPr>
            </w:pPr>
            <w:r>
              <w:rPr>
                <w:b/>
                <w:lang w:val="en-GB"/>
              </w:rPr>
              <w:t>(</w:t>
            </w:r>
            <w:r>
              <w:rPr>
                <w:rFonts w:eastAsia="Calibri"/>
                <w:b/>
                <w:sz w:val="22"/>
                <w:szCs w:val="22"/>
                <w:lang w:val="en-GB"/>
              </w:rPr>
              <w:t>N = 4089</w:t>
            </w:r>
            <w:r>
              <w:rPr>
                <w:b/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b/>
                <w:sz w:val="22"/>
                <w:szCs w:val="22"/>
                <w:lang w:val="en-GB"/>
              </w:rPr>
            </w:pPr>
            <w:r>
              <w:rPr>
                <w:rFonts w:eastAsia="Calibri"/>
                <w:b/>
                <w:sz w:val="22"/>
                <w:szCs w:val="22"/>
                <w:lang w:val="en-GB"/>
              </w:rPr>
              <w:t xml:space="preserve">Questionnaire data on symptoms over 12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GB"/>
              </w:rPr>
              <w:t>yrs</w:t>
            </w:r>
            <w:r>
              <w:rPr>
                <w:rFonts w:eastAsia="Calibri"/>
                <w:b/>
                <w:sz w:val="22"/>
                <w:szCs w:val="22"/>
                <w:vertAlign w:val="superscript"/>
                <w:lang w:val="en-GB"/>
              </w:rPr>
              <w:t>a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GB"/>
              </w:rPr>
              <w:t xml:space="preserve"> n (%) </w:t>
            </w:r>
            <w:r>
              <w:rPr>
                <w:b/>
                <w:lang w:val="en-GB"/>
              </w:rPr>
              <w:t>(N=3633)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759" w:rsidRDefault="00932759" w:rsidP="00943485">
            <w:pPr>
              <w:spacing w:line="480" w:lineRule="auto"/>
              <w:rPr>
                <w:rFonts w:eastAsia="Calibri"/>
                <w:b/>
                <w:sz w:val="22"/>
                <w:szCs w:val="22"/>
                <w:lang w:val="en-GB"/>
              </w:rPr>
            </w:pPr>
            <w:r>
              <w:rPr>
                <w:rFonts w:eastAsia="Calibri"/>
                <w:b/>
                <w:sz w:val="22"/>
                <w:szCs w:val="22"/>
                <w:lang w:val="en-GB"/>
              </w:rPr>
              <w:t xml:space="preserve">Blood test for specific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GB"/>
              </w:rPr>
              <w:t>IgE</w:t>
            </w:r>
            <w:proofErr w:type="spellEnd"/>
          </w:p>
          <w:p w:rsidR="00932759" w:rsidRDefault="00932759" w:rsidP="00943485">
            <w:pPr>
              <w:spacing w:line="480" w:lineRule="auto"/>
              <w:rPr>
                <w:rFonts w:eastAsia="Calibri"/>
                <w:b/>
                <w:sz w:val="22"/>
                <w:szCs w:val="22"/>
                <w:lang w:val="en-GB"/>
              </w:rPr>
            </w:pPr>
            <w:r>
              <w:rPr>
                <w:rFonts w:eastAsia="Calibri"/>
                <w:b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val="en-GB"/>
              </w:rPr>
              <w:t>at</w:t>
            </w:r>
            <w:proofErr w:type="gramEnd"/>
            <w:r>
              <w:rPr>
                <w:rFonts w:eastAsia="Calibri"/>
                <w:b/>
                <w:sz w:val="22"/>
                <w:szCs w:val="22"/>
                <w:lang w:val="en-GB"/>
              </w:rPr>
              <w:t xml:space="preserve"> 8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GB"/>
              </w:rPr>
              <w:t>yrs</w:t>
            </w:r>
            <w:r w:rsidRPr="00421D9A">
              <w:rPr>
                <w:rFonts w:eastAsia="Calibri"/>
                <w:b/>
                <w:sz w:val="22"/>
                <w:szCs w:val="22"/>
                <w:vertAlign w:val="superscript"/>
                <w:lang w:val="en-GB"/>
              </w:rPr>
              <w:t>b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GB"/>
              </w:rPr>
              <w:t xml:space="preserve"> n (</w:t>
            </w:r>
            <w:r w:rsidRPr="0055414D">
              <w:rPr>
                <w:rFonts w:eastAsia="Calibri"/>
                <w:b/>
                <w:sz w:val="22"/>
                <w:szCs w:val="22"/>
                <w:lang w:val="en-GB"/>
              </w:rPr>
              <w:t>%</w:t>
            </w:r>
            <w:r>
              <w:rPr>
                <w:rFonts w:eastAsia="Calibri"/>
                <w:b/>
                <w:sz w:val="22"/>
                <w:szCs w:val="22"/>
                <w:lang w:val="en-GB"/>
              </w:rPr>
              <w:t xml:space="preserve">) </w:t>
            </w:r>
            <w:r>
              <w:rPr>
                <w:b/>
                <w:lang w:val="en-GB"/>
              </w:rPr>
              <w:t>(N=2378)</w:t>
            </w:r>
          </w:p>
        </w:tc>
      </w:tr>
      <w:tr w:rsidR="00932759" w:rsidRPr="00CD28E6" w:rsidTr="0094348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</w:p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Socioeconomic status of parents:</w:t>
            </w:r>
          </w:p>
          <w:p w:rsidR="00932759" w:rsidRPr="0055414D" w:rsidRDefault="00932759" w:rsidP="00943485">
            <w:pPr>
              <w:spacing w:line="480" w:lineRule="auto"/>
              <w:ind w:left="360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 xml:space="preserve">Blue-collar workers </w:t>
            </w:r>
          </w:p>
          <w:p w:rsidR="00932759" w:rsidRPr="0055414D" w:rsidRDefault="00932759" w:rsidP="00943485">
            <w:pPr>
              <w:spacing w:line="480" w:lineRule="auto"/>
              <w:ind w:left="360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White</w:t>
            </w:r>
            <w:r>
              <w:rPr>
                <w:rFonts w:eastAsia="Calibri"/>
                <w:sz w:val="22"/>
                <w:szCs w:val="22"/>
                <w:lang w:val="en-GB"/>
              </w:rPr>
              <w:t>-</w:t>
            </w:r>
            <w:r w:rsidRPr="0055414D">
              <w:rPr>
                <w:rFonts w:eastAsia="Calibri"/>
                <w:sz w:val="22"/>
                <w:szCs w:val="22"/>
                <w:lang w:val="en-GB"/>
              </w:rPr>
              <w:t>collar worker</w:t>
            </w:r>
            <w:r>
              <w:rPr>
                <w:rFonts w:eastAsia="Calibri"/>
                <w:sz w:val="22"/>
                <w:szCs w:val="22"/>
                <w:lang w:val="en-GB"/>
              </w:rPr>
              <w:t>s</w:t>
            </w:r>
            <w:r w:rsidRPr="0055414D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</w:p>
          <w:p w:rsidR="00932759" w:rsidRPr="0055414D" w:rsidRDefault="00932759" w:rsidP="00943485">
            <w:pPr>
              <w:spacing w:line="480" w:lineRule="auto"/>
              <w:ind w:left="360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 xml:space="preserve">Other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</w:p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695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r w:rsidRPr="0055414D">
              <w:rPr>
                <w:rFonts w:eastAsia="Calibri"/>
                <w:sz w:val="22"/>
                <w:szCs w:val="22"/>
                <w:lang w:val="en-GB"/>
              </w:rPr>
              <w:t>17.1</w:t>
            </w:r>
            <w:r>
              <w:rPr>
                <w:rFonts w:eastAsia="Calibri"/>
                <w:sz w:val="22"/>
                <w:szCs w:val="22"/>
                <w:lang w:val="en-GB"/>
              </w:rPr>
              <w:t>)</w:t>
            </w:r>
          </w:p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3323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r w:rsidRPr="0055414D">
              <w:rPr>
                <w:rFonts w:eastAsia="Calibri"/>
                <w:sz w:val="22"/>
                <w:szCs w:val="22"/>
                <w:lang w:val="en-GB"/>
              </w:rPr>
              <w:t>81.6</w:t>
            </w:r>
            <w:r>
              <w:rPr>
                <w:rFonts w:eastAsia="Calibri"/>
                <w:sz w:val="22"/>
                <w:szCs w:val="22"/>
                <w:lang w:val="en-GB"/>
              </w:rPr>
              <w:t>)</w:t>
            </w:r>
          </w:p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54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(1.3)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601 (16.2)</w:t>
            </w: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2992 (82.8)</w:t>
            </w:r>
          </w:p>
          <w:p w:rsidR="00932759" w:rsidRPr="00484A46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40 (1.0)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759" w:rsidRDefault="00932759" w:rsidP="00943485">
            <w:pPr>
              <w:spacing w:line="480" w:lineRule="auto"/>
              <w:rPr>
                <w:rFonts w:eastAsia="Calibri"/>
                <w:b/>
                <w:sz w:val="22"/>
                <w:szCs w:val="22"/>
                <w:lang w:val="en-GB"/>
              </w:rPr>
            </w:pP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484A46">
              <w:rPr>
                <w:rFonts w:eastAsia="Calibri"/>
                <w:sz w:val="22"/>
                <w:szCs w:val="22"/>
                <w:lang w:val="en-GB"/>
              </w:rPr>
              <w:t>358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(15.1)</w:t>
            </w: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1994 (83.8)</w:t>
            </w:r>
          </w:p>
          <w:p w:rsidR="00932759" w:rsidRPr="00484A46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26 (1.1)</w:t>
            </w:r>
          </w:p>
        </w:tc>
      </w:tr>
      <w:tr w:rsidR="00932759" w:rsidRPr="00263C72" w:rsidTr="00943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 xml:space="preserve">Year 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the </w:t>
            </w:r>
            <w:r w:rsidRPr="0055414D">
              <w:rPr>
                <w:rFonts w:eastAsia="Calibri"/>
                <w:sz w:val="22"/>
                <w:szCs w:val="22"/>
                <w:lang w:val="en-GB"/>
              </w:rPr>
              <w:t>house was built</w:t>
            </w:r>
            <w:r>
              <w:rPr>
                <w:rFonts w:eastAsia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</w:tr>
      <w:tr w:rsidR="00932759" w:rsidRPr="00484A46" w:rsidTr="00943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759" w:rsidRPr="00151F51" w:rsidRDefault="00932759" w:rsidP="00943485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     </w:t>
            </w:r>
            <w:r w:rsidRPr="0055414D">
              <w:rPr>
                <w:rFonts w:eastAsia="Calibri"/>
                <w:sz w:val="22"/>
                <w:szCs w:val="22"/>
                <w:lang w:val="en-GB"/>
              </w:rPr>
              <w:t>Before 1940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1270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(31.1)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759" w:rsidRPr="006A7032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1134 (31.6)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769 (32.3)</w:t>
            </w:r>
          </w:p>
        </w:tc>
      </w:tr>
      <w:tr w:rsidR="00932759" w:rsidRPr="00484A46" w:rsidTr="00943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759" w:rsidRPr="00EC55BC" w:rsidRDefault="00932759" w:rsidP="00943485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     </w:t>
            </w:r>
            <w:r w:rsidRPr="0055414D">
              <w:rPr>
                <w:rFonts w:eastAsia="Calibri"/>
                <w:sz w:val="22"/>
                <w:szCs w:val="22"/>
                <w:lang w:val="en-GB"/>
              </w:rPr>
              <w:t xml:space="preserve">1940–1975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1701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(41.6)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759" w:rsidRPr="006A7032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1523 (41.7)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973 (40.9)</w:t>
            </w:r>
          </w:p>
        </w:tc>
      </w:tr>
      <w:tr w:rsidR="00932759" w:rsidRPr="00484A46" w:rsidTr="00943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759" w:rsidRPr="00EC55BC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     </w:t>
            </w:r>
            <w:r w:rsidRPr="0055414D">
              <w:rPr>
                <w:rFonts w:eastAsia="Calibri"/>
                <w:sz w:val="22"/>
                <w:szCs w:val="22"/>
                <w:lang w:val="en-GB"/>
              </w:rPr>
              <w:t>After 1975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1115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(27.3)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759" w:rsidRPr="00484A46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976 (</w:t>
            </w:r>
            <w:r w:rsidRPr="00484A46">
              <w:rPr>
                <w:rFonts w:eastAsia="Calibri"/>
                <w:sz w:val="22"/>
                <w:szCs w:val="22"/>
                <w:lang w:val="en-GB"/>
              </w:rPr>
              <w:t>26.7</w:t>
            </w:r>
            <w:r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636 (26.8)</w:t>
            </w:r>
          </w:p>
        </w:tc>
      </w:tr>
      <w:tr w:rsidR="00932759" w:rsidRPr="00CD28E6" w:rsidTr="00943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Heredity:</w:t>
            </w:r>
          </w:p>
          <w:p w:rsidR="00932759" w:rsidRPr="0055414D" w:rsidRDefault="00932759" w:rsidP="00943485">
            <w:pPr>
              <w:spacing w:line="480" w:lineRule="auto"/>
              <w:ind w:left="360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 xml:space="preserve">No parental allergy or asthma </w:t>
            </w:r>
          </w:p>
          <w:p w:rsidR="00932759" w:rsidRPr="0055414D" w:rsidRDefault="00932759" w:rsidP="00943485">
            <w:pPr>
              <w:spacing w:line="480" w:lineRule="auto"/>
              <w:ind w:left="360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One parent with allergy or asthma</w:t>
            </w:r>
          </w:p>
          <w:p w:rsidR="00932759" w:rsidRPr="0055414D" w:rsidRDefault="00932759" w:rsidP="00943485">
            <w:pPr>
              <w:spacing w:line="480" w:lineRule="auto"/>
              <w:ind w:left="360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Both parents with allergy or asthma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</w:p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2841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(70.5)</w:t>
            </w: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1066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(26.4)</w:t>
            </w:r>
          </w:p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125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(3.1)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2540 (69.7)</w:t>
            </w: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977 (27.1)</w:t>
            </w:r>
          </w:p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116 (3.2)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1614 (67.9)</w:t>
            </w: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686 (28.8)</w:t>
            </w:r>
          </w:p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78 (3.3)</w:t>
            </w:r>
          </w:p>
        </w:tc>
      </w:tr>
      <w:tr w:rsidR="00932759" w:rsidRPr="00CD28E6" w:rsidTr="00943485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Municipality:</w:t>
            </w:r>
          </w:p>
          <w:p w:rsidR="00932759" w:rsidRPr="0055414D" w:rsidRDefault="00932759" w:rsidP="00943485">
            <w:pPr>
              <w:spacing w:line="480" w:lineRule="auto"/>
              <w:ind w:left="360"/>
            </w:pPr>
            <w:r w:rsidRPr="0055414D">
              <w:t>Stockholm</w:t>
            </w:r>
          </w:p>
          <w:p w:rsidR="00932759" w:rsidRPr="0055414D" w:rsidRDefault="00932759" w:rsidP="00943485">
            <w:pPr>
              <w:spacing w:line="480" w:lineRule="auto"/>
              <w:ind w:left="360"/>
            </w:pPr>
            <w:r w:rsidRPr="0055414D">
              <w:t>Järfälla</w:t>
            </w:r>
          </w:p>
          <w:p w:rsidR="00932759" w:rsidRPr="0055414D" w:rsidRDefault="00932759" w:rsidP="00943485">
            <w:pPr>
              <w:spacing w:line="480" w:lineRule="auto"/>
              <w:ind w:left="360"/>
            </w:pPr>
            <w:r w:rsidRPr="0055414D">
              <w:t>Solna</w:t>
            </w:r>
          </w:p>
          <w:p w:rsidR="00932759" w:rsidRPr="00F3386F" w:rsidRDefault="00932759" w:rsidP="00943485">
            <w:pPr>
              <w:spacing w:line="480" w:lineRule="auto"/>
              <w:ind w:left="360"/>
            </w:pPr>
            <w:r w:rsidRPr="0055414D">
              <w:t>Sundbyberg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b/>
                <w:sz w:val="22"/>
                <w:szCs w:val="22"/>
                <w:lang w:val="en-GB"/>
              </w:rPr>
            </w:pPr>
          </w:p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1205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(29.6)</w:t>
            </w:r>
          </w:p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1173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(28.8)</w:t>
            </w:r>
          </w:p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1074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(26.4)</w:t>
            </w:r>
          </w:p>
          <w:p w:rsidR="00932759" w:rsidRPr="0055414D" w:rsidRDefault="00932759" w:rsidP="00943485">
            <w:pPr>
              <w:spacing w:line="480" w:lineRule="auto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5414D">
              <w:rPr>
                <w:rFonts w:eastAsia="Calibri"/>
                <w:sz w:val="22"/>
                <w:szCs w:val="22"/>
                <w:lang w:val="en-GB"/>
              </w:rPr>
              <w:t>619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(15.2)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1077 (30.0)</w:t>
            </w: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1067 (29.2)</w:t>
            </w: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958 (26.2)</w:t>
            </w:r>
          </w:p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531 (14.6)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719 (30.2)</w:t>
            </w: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703 (29.6)</w:t>
            </w:r>
          </w:p>
          <w:p w:rsidR="00932759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599 (25.2)</w:t>
            </w:r>
          </w:p>
          <w:p w:rsidR="00932759" w:rsidRPr="0055414D" w:rsidRDefault="00932759" w:rsidP="00943485">
            <w:pPr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357 (15.0)</w:t>
            </w:r>
          </w:p>
        </w:tc>
      </w:tr>
      <w:tr w:rsidR="00932759" w:rsidRPr="00263C72" w:rsidTr="00943485"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2759" w:rsidRDefault="00932759" w:rsidP="00943485">
            <w:pPr>
              <w:spacing w:line="276" w:lineRule="auto"/>
              <w:rPr>
                <w:lang w:val="en-US"/>
              </w:rPr>
            </w:pPr>
            <w:r>
              <w:rPr>
                <w:vertAlign w:val="superscript"/>
                <w:lang w:val="en-US"/>
              </w:rPr>
              <w:t>a</w:t>
            </w:r>
            <w:r>
              <w:rPr>
                <w:lang w:val="en-US"/>
              </w:rPr>
              <w:t xml:space="preserve"> Reported symptoms at a minimum 3 out of 5 time occasions</w:t>
            </w:r>
          </w:p>
          <w:p w:rsidR="00932759" w:rsidRPr="00CC117F" w:rsidRDefault="00932759" w:rsidP="00943485">
            <w:pPr>
              <w:spacing w:line="276" w:lineRule="auto"/>
              <w:rPr>
                <w:lang w:val="en-US"/>
              </w:rPr>
            </w:pPr>
            <w:r w:rsidRPr="00421D9A">
              <w:rPr>
                <w:vertAlign w:val="superscript"/>
                <w:lang w:val="en-US"/>
              </w:rPr>
              <w:t>b</w:t>
            </w:r>
            <w:r>
              <w:rPr>
                <w:lang w:val="en-US"/>
              </w:rPr>
              <w:t xml:space="preserve"> Including only children with questionnaire data</w:t>
            </w:r>
          </w:p>
        </w:tc>
      </w:tr>
    </w:tbl>
    <w:p w:rsidR="00932759" w:rsidRDefault="00932759" w:rsidP="009E0A07">
      <w:pPr>
        <w:spacing w:line="360" w:lineRule="auto"/>
        <w:rPr>
          <w:b/>
          <w:lang w:val="en-US"/>
        </w:rPr>
        <w:sectPr w:rsidR="00932759" w:rsidSect="00932759"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:rsidR="009E0A07" w:rsidRPr="005A6835" w:rsidRDefault="0095744B" w:rsidP="009E0A07">
      <w:pPr>
        <w:spacing w:line="360" w:lineRule="auto"/>
        <w:rPr>
          <w:b/>
          <w:lang w:val="en-US"/>
        </w:rPr>
      </w:pPr>
      <w:proofErr w:type="spellStart"/>
      <w:proofErr w:type="gramStart"/>
      <w:r w:rsidRPr="008075A8">
        <w:rPr>
          <w:b/>
          <w:lang w:val="en-GB"/>
        </w:rPr>
        <w:lastRenderedPageBreak/>
        <w:t>eTable</w:t>
      </w:r>
      <w:proofErr w:type="spellEnd"/>
      <w:proofErr w:type="gramEnd"/>
      <w:r>
        <w:rPr>
          <w:b/>
          <w:lang w:val="en-GB"/>
        </w:rPr>
        <w:t xml:space="preserve"> 2</w:t>
      </w:r>
      <w:r w:rsidR="009E0A07">
        <w:rPr>
          <w:b/>
          <w:lang w:val="en-GB"/>
        </w:rPr>
        <w:t xml:space="preserve">. </w:t>
      </w:r>
      <w:r w:rsidR="009E0A07" w:rsidRPr="00E54307">
        <w:rPr>
          <w:b/>
          <w:lang w:val="en-US"/>
        </w:rPr>
        <w:t xml:space="preserve">Associations </w:t>
      </w:r>
      <w:r w:rsidR="009E0A07">
        <w:rPr>
          <w:b/>
          <w:lang w:val="en-US"/>
        </w:rPr>
        <w:t>between exposure to</w:t>
      </w:r>
      <w:r w:rsidR="009E0A07" w:rsidRPr="00E54307">
        <w:rPr>
          <w:b/>
          <w:lang w:val="en-US"/>
        </w:rPr>
        <w:t xml:space="preserve"> </w:t>
      </w:r>
      <w:r w:rsidR="009E0A07">
        <w:rPr>
          <w:b/>
          <w:lang w:val="en-US"/>
        </w:rPr>
        <w:t>PM</w:t>
      </w:r>
      <w:r w:rsidR="009E0A07" w:rsidRPr="0080638C">
        <w:rPr>
          <w:b/>
          <w:vertAlign w:val="subscript"/>
          <w:lang w:val="en-US"/>
        </w:rPr>
        <w:t>10</w:t>
      </w:r>
      <w:r w:rsidR="009E0A07">
        <w:rPr>
          <w:b/>
          <w:lang w:val="en-US"/>
        </w:rPr>
        <w:t xml:space="preserve"> and </w:t>
      </w:r>
      <w:proofErr w:type="spellStart"/>
      <w:r w:rsidR="009E0A07">
        <w:rPr>
          <w:b/>
          <w:lang w:val="en-US"/>
        </w:rPr>
        <w:t>NO</w:t>
      </w:r>
      <w:r w:rsidR="009E0A07" w:rsidRPr="00CF529F">
        <w:rPr>
          <w:b/>
          <w:vertAlign w:val="subscript"/>
          <w:lang w:val="en-US"/>
        </w:rPr>
        <w:t>x</w:t>
      </w:r>
      <w:proofErr w:type="spellEnd"/>
      <w:r w:rsidR="009E0A07">
        <w:rPr>
          <w:b/>
          <w:lang w:val="en-US"/>
        </w:rPr>
        <w:t xml:space="preserve"> from road traffic,</w:t>
      </w:r>
      <w:r w:rsidR="009E0A07" w:rsidRPr="00E54307">
        <w:rPr>
          <w:b/>
          <w:lang w:val="en-US"/>
        </w:rPr>
        <w:t xml:space="preserve"> and </w:t>
      </w:r>
      <w:r w:rsidR="009E0A07">
        <w:rPr>
          <w:b/>
          <w:lang w:val="en-US"/>
        </w:rPr>
        <w:t xml:space="preserve">prevalent or incident </w:t>
      </w:r>
      <w:r w:rsidR="009E0A07" w:rsidRPr="00E54307">
        <w:rPr>
          <w:b/>
          <w:lang w:val="en-US"/>
        </w:rPr>
        <w:t>asthma</w:t>
      </w:r>
      <w:r w:rsidR="009E0A07">
        <w:rPr>
          <w:b/>
          <w:lang w:val="en-US"/>
        </w:rPr>
        <w:t>,</w:t>
      </w:r>
      <w:r w:rsidR="009E0A07" w:rsidRPr="00E54307">
        <w:rPr>
          <w:b/>
          <w:lang w:val="en-US"/>
        </w:rPr>
        <w:t xml:space="preserve"> and wheeze during the </w:t>
      </w:r>
      <w:r w:rsidR="009E0A07">
        <w:rPr>
          <w:b/>
          <w:lang w:val="en-US"/>
        </w:rPr>
        <w:t xml:space="preserve">first 12 </w:t>
      </w:r>
      <w:r w:rsidR="009E0A07" w:rsidRPr="00E54307">
        <w:rPr>
          <w:b/>
          <w:lang w:val="en-US"/>
        </w:rPr>
        <w:t>years of life</w:t>
      </w:r>
      <w:r w:rsidR="009E0A07">
        <w:rPr>
          <w:b/>
          <w:lang w:val="en-US"/>
        </w:rPr>
        <w:t xml:space="preserve"> among children in the BAMSE birth cohort in Stockholm</w:t>
      </w: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931"/>
        <w:gridCol w:w="2126"/>
        <w:gridCol w:w="2126"/>
        <w:gridCol w:w="1985"/>
        <w:gridCol w:w="2134"/>
        <w:gridCol w:w="2118"/>
      </w:tblGrid>
      <w:tr w:rsidR="009E0A07" w:rsidRPr="005B1C6E" w:rsidTr="005B1C6E">
        <w:trPr>
          <w:trHeight w:val="307"/>
        </w:trPr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sz w:val="22"/>
                <w:szCs w:val="22"/>
                <w:lang w:val="en-GB" w:eastAsia="en-US"/>
              </w:rPr>
            </w:pPr>
          </w:p>
          <w:p w:rsidR="009E0A07" w:rsidRPr="005B1C6E" w:rsidRDefault="009E0A07" w:rsidP="005B1C6E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N=3633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NO</w:t>
            </w:r>
            <w:r w:rsidRPr="00F950F2">
              <w:rPr>
                <w:rFonts w:eastAsia="Calibri"/>
                <w:b/>
                <w:sz w:val="22"/>
                <w:szCs w:val="22"/>
                <w:vertAlign w:val="subscript"/>
                <w:lang w:val="en-GB" w:eastAsia="en-US"/>
              </w:rPr>
              <w:t>x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PM</w:t>
            </w:r>
            <w:r w:rsidRPr="00F950F2">
              <w:rPr>
                <w:rFonts w:eastAsia="Calibri"/>
                <w:b/>
                <w:sz w:val="22"/>
                <w:szCs w:val="22"/>
                <w:vertAlign w:val="subscript"/>
                <w:lang w:val="en-GB" w:eastAsia="en-US"/>
              </w:rPr>
              <w:t>10</w:t>
            </w:r>
          </w:p>
        </w:tc>
      </w:tr>
      <w:tr w:rsidR="009E0A07" w:rsidRPr="005B1C6E" w:rsidTr="005B1C6E">
        <w:trPr>
          <w:trHeight w:val="585"/>
        </w:trPr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Asthma 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OR</w:t>
            </w:r>
            <w:r w:rsidRPr="005B1C6E">
              <w:rPr>
                <w:rFonts w:eastAsia="Calibri"/>
                <w:b/>
                <w:sz w:val="22"/>
                <w:szCs w:val="22"/>
                <w:vertAlign w:val="superscript"/>
                <w:lang w:val="en-GB" w:eastAsia="en-US"/>
              </w:rPr>
              <w:t>a</w:t>
            </w:r>
            <w:proofErr w:type="spellEnd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 (95% CI)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Wheeze ( ≥1 </w:t>
            </w:r>
            <w:proofErr w:type="spellStart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epis</w:t>
            </w:r>
            <w:proofErr w:type="spellEnd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OR</w:t>
            </w:r>
            <w:r w:rsidRPr="005B1C6E">
              <w:rPr>
                <w:rFonts w:eastAsia="Calibri"/>
                <w:b/>
                <w:sz w:val="22"/>
                <w:szCs w:val="22"/>
                <w:vertAlign w:val="superscript"/>
                <w:lang w:val="en-GB" w:eastAsia="en-US"/>
              </w:rPr>
              <w:t>a</w:t>
            </w:r>
            <w:proofErr w:type="spellEnd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 (95% CI)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Wheeze ( ≥3 </w:t>
            </w:r>
            <w:proofErr w:type="spellStart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epis</w:t>
            </w:r>
            <w:proofErr w:type="spellEnd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OR</w:t>
            </w:r>
            <w:r w:rsidRPr="005B1C6E">
              <w:rPr>
                <w:rFonts w:eastAsia="Calibri"/>
                <w:b/>
                <w:sz w:val="22"/>
                <w:szCs w:val="22"/>
                <w:vertAlign w:val="superscript"/>
                <w:lang w:val="en-GB" w:eastAsia="en-US"/>
              </w:rPr>
              <w:t>a</w:t>
            </w:r>
            <w:proofErr w:type="spellEnd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 (95% CI)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Asthma 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OR</w:t>
            </w:r>
            <w:r w:rsidRPr="005B1C6E">
              <w:rPr>
                <w:rFonts w:eastAsia="Calibri"/>
                <w:b/>
                <w:sz w:val="22"/>
                <w:szCs w:val="22"/>
                <w:vertAlign w:val="superscript"/>
                <w:lang w:val="en-GB" w:eastAsia="en-US"/>
              </w:rPr>
              <w:t>a</w:t>
            </w:r>
            <w:proofErr w:type="spellEnd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 (95% CI)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Wheeze ( ≥1 </w:t>
            </w:r>
            <w:proofErr w:type="spellStart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epis</w:t>
            </w:r>
            <w:proofErr w:type="spellEnd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OR</w:t>
            </w:r>
            <w:r w:rsidRPr="005B1C6E">
              <w:rPr>
                <w:rFonts w:eastAsia="Calibri"/>
                <w:b/>
                <w:sz w:val="22"/>
                <w:szCs w:val="22"/>
                <w:vertAlign w:val="superscript"/>
                <w:lang w:val="en-GB" w:eastAsia="en-US"/>
              </w:rPr>
              <w:t>a</w:t>
            </w:r>
            <w:proofErr w:type="spellEnd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 (95% CI)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Wheeze ( ≥3 </w:t>
            </w:r>
            <w:proofErr w:type="spellStart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epis</w:t>
            </w:r>
            <w:proofErr w:type="spellEnd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OR</w:t>
            </w:r>
            <w:r w:rsidRPr="005B1C6E">
              <w:rPr>
                <w:rFonts w:eastAsia="Calibri"/>
                <w:b/>
                <w:sz w:val="22"/>
                <w:szCs w:val="22"/>
                <w:vertAlign w:val="superscript"/>
                <w:lang w:val="en-GB" w:eastAsia="en-US"/>
              </w:rPr>
              <w:t>a</w:t>
            </w:r>
            <w:proofErr w:type="spellEnd"/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 (95% CI)</w:t>
            </w:r>
          </w:p>
        </w:tc>
      </w:tr>
      <w:tr w:rsidR="009E0A07" w:rsidRPr="00263C72" w:rsidTr="005B1C6E">
        <w:trPr>
          <w:trHeight w:val="564"/>
        </w:trPr>
        <w:tc>
          <w:tcPr>
            <w:tcW w:w="140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9E0A07">
            <w:pPr>
              <w:numPr>
                <w:ilvl w:val="0"/>
                <w:numId w:val="1"/>
              </w:num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Air pollution exposure during the first year of life and prevalent asthma and wheeze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9E0A07" w:rsidRPr="005B1C6E" w:rsidTr="005B1C6E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CC088D" w:rsidRDefault="009E0A07" w:rsidP="005B1C6E">
            <w:pPr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CC088D">
              <w:rPr>
                <w:rFonts w:eastAsia="Calibri"/>
                <w:b/>
                <w:sz w:val="22"/>
                <w:szCs w:val="22"/>
                <w:lang w:val="en-GB" w:eastAsia="en-US"/>
              </w:rPr>
              <w:t>Overall effect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1.18 (0.75 – 1.84)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1.12 (0.84 – 1.49)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1.10 (0.73 – 1.66)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1.26 (0.73 – 2.16)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1.15 (0.81 – 1.63)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1.14 (0.70 – 1.86)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</w:tr>
      <w:tr w:rsidR="009E0A07" w:rsidRPr="005B1C6E" w:rsidTr="005B1C6E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1 year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0.90 (0.47 – 1.71)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1.22 (0.87 – 1.70)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1.20 (0.74 – 1.95)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0.81 (0.39 – 1.66)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1.23 (0.82 – 1.83)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1.13 (0.64 – 2.01)</w:t>
            </w:r>
          </w:p>
        </w:tc>
      </w:tr>
      <w:tr w:rsidR="009E0A07" w:rsidRPr="005B1C6E" w:rsidTr="005B1C6E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2 years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0.77 (0.43 – 1.40)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1.03 (0.74 – 1.44)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0.97 (0.60 – 1.55)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0.86 (0.45 – 1.65)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1.07 (0.73 – 1.59)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1.02 (0.59 – 1.75)</w:t>
            </w:r>
          </w:p>
        </w:tc>
      </w:tr>
      <w:tr w:rsidR="009E0A07" w:rsidRPr="005B1C6E" w:rsidTr="005B1C6E">
        <w:trPr>
          <w:trHeight w:val="30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4 years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1.04 (0.61 – 1.77)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1.06 (0.75 – 1.49)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1.09 (0.62 – 1.90)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1.01 (0.54 – 1.87)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1.03 (0.68 – 1.54)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1.08 (0.57 – 2.04)</w:t>
            </w:r>
          </w:p>
        </w:tc>
      </w:tr>
      <w:tr w:rsidR="009E0A07" w:rsidRPr="005B1C6E" w:rsidTr="005B1C6E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8 years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1.35 (0.80 – 2.27)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1.09 (0.74 – 1.61)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1.06 (0.57 – 1.98)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1.51 (0.82 – 2.78)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1.12 (0.72 – 1.75)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1.17 (0.59 – 2.33)</w:t>
            </w:r>
          </w:p>
        </w:tc>
      </w:tr>
      <w:tr w:rsidR="009E0A07" w:rsidRPr="005B1C6E" w:rsidTr="005B1C6E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12 years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1.66 (1.01 – 2.72)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1.19 (0.81 – 1.77)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1.30 (0.76 – 2.21)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1.96 (1.08 – 3.53)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1.29 (0.82 – 2.02)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263C72" w:rsidP="009E0A07">
            <w:pPr>
              <w:numPr>
                <w:ilvl w:val="1"/>
                <w:numId w:val="2"/>
              </w:num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val="en-GB" w:eastAsia="en-US"/>
              </w:rPr>
              <w:t>(</w:t>
            </w:r>
            <w:r w:rsidR="009E0A07" w:rsidRPr="005B1C6E">
              <w:rPr>
                <w:rFonts w:eastAsia="Calibri"/>
                <w:sz w:val="22"/>
                <w:szCs w:val="22"/>
                <w:lang w:val="en-GB" w:eastAsia="en-US"/>
              </w:rPr>
              <w:t>0.78 – 2.63)</w:t>
            </w:r>
          </w:p>
        </w:tc>
      </w:tr>
      <w:tr w:rsidR="009E0A07" w:rsidRPr="00263C72" w:rsidTr="005B1C6E"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A07" w:rsidRPr="005B1C6E" w:rsidRDefault="009E0A07" w:rsidP="009E0A07">
            <w:pPr>
              <w:numPr>
                <w:ilvl w:val="0"/>
                <w:numId w:val="1"/>
              </w:num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Air pollution exposure during the first year of life and incident asthma and wheeze</w:t>
            </w:r>
          </w:p>
          <w:p w:rsidR="009E0A07" w:rsidRPr="005B1C6E" w:rsidRDefault="009E0A07" w:rsidP="005B1C6E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9E0A07" w:rsidRPr="005B1C6E" w:rsidTr="005B1C6E">
        <w:tblPrEx>
          <w:tblLook w:val="04A0" w:firstRow="1" w:lastRow="0" w:firstColumn="1" w:lastColumn="0" w:noHBand="0" w:noVBand="1"/>
        </w:tblPrEx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CC088D" w:rsidRDefault="009E0A07" w:rsidP="005B1C6E">
            <w:pPr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CC088D">
              <w:rPr>
                <w:rFonts w:eastAsia="Calibri"/>
                <w:b/>
                <w:sz w:val="22"/>
                <w:szCs w:val="22"/>
                <w:lang w:val="en-GB" w:eastAsia="en-US"/>
              </w:rPr>
              <w:t>Overall effect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1.21 (0.79 – 1.84)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1.06 (0.80 – 1.41)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1.13 (0.76 – 1.67)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1.34 (0.80 – 2.23)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1.07 (0.76 – 1.52)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1.12 (0.69 – 1.80)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</w:tr>
      <w:tr w:rsidR="009E0A07" w:rsidRPr="005B1C6E" w:rsidTr="005B1C6E">
        <w:tblPrEx>
          <w:tblLook w:val="04A0" w:firstRow="1" w:lastRow="0" w:firstColumn="1" w:lastColumn="0" w:noHBand="0" w:noVBand="1"/>
        </w:tblPrEx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1 year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0.85 (0.44 – 1.62)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1.09 (0.77 – 1.52)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1.11 (0.68 – 1.80)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0.79 (0.39 – 1.62)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1.06 (0.71 – 1.58)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1.00 (0.56 – 1.77)</w:t>
            </w:r>
          </w:p>
        </w:tc>
      </w:tr>
      <w:tr w:rsidR="009E0A07" w:rsidRPr="005B1C6E" w:rsidTr="005B1C6E">
        <w:tblPrEx>
          <w:tblLook w:val="04A0" w:firstRow="1" w:lastRow="0" w:firstColumn="1" w:lastColumn="0" w:noHBand="0" w:noVBand="1"/>
        </w:tblPrEx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2 years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0.96 (0.51 – 1.80)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1.09 (0.75 – 1.57)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1.09 (0.67 – 1.79)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1.14 (0.57 – 2.25)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1.11 (0.72 – 1.70)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1.13 (0.64 – 1.99)</w:t>
            </w:r>
          </w:p>
        </w:tc>
      </w:tr>
      <w:tr w:rsidR="009E0A07" w:rsidRPr="005B1C6E" w:rsidTr="005B1C6E">
        <w:tblPrEx>
          <w:tblLook w:val="04A0" w:firstRow="1" w:lastRow="0" w:firstColumn="1" w:lastColumn="0" w:noHBand="0" w:noVBand="1"/>
        </w:tblPrEx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4 years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1.48 (0.85 – 2.57)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0.95 (0.59 – 1.52)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1.13 (0.54 – 2.39)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1.59 (0.83 – 3.05)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0.97 (0.58 – 1.62)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1.13 (0.50 – 2.56)</w:t>
            </w:r>
          </w:p>
        </w:tc>
      </w:tr>
      <w:tr w:rsidR="009E0A07" w:rsidRPr="005B1C6E" w:rsidTr="005B1C6E">
        <w:tblPrEx>
          <w:tblLook w:val="04A0" w:firstRow="1" w:lastRow="0" w:firstColumn="1" w:lastColumn="0" w:noHBand="0" w:noVBand="1"/>
        </w:tblPrEx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8 years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1.07 (0.53 – 2.14)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0.96 (0.51 – 1.78)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0.85 (0.34 – 2.10)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1.30 (0.61 – 2.74)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0.98 (0.51 – 1.92)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0.98 (0.39 – 2.47)</w:t>
            </w:r>
          </w:p>
        </w:tc>
      </w:tr>
      <w:tr w:rsidR="009E0A07" w:rsidRPr="005B1C6E" w:rsidTr="005B1C6E">
        <w:tblPrEx>
          <w:tblLook w:val="04A0" w:firstRow="1" w:lastRow="0" w:firstColumn="1" w:lastColumn="0" w:noHBand="0" w:noVBand="1"/>
        </w:tblPrEx>
        <w:tc>
          <w:tcPr>
            <w:tcW w:w="16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12 years</w:t>
            </w:r>
          </w:p>
        </w:tc>
        <w:tc>
          <w:tcPr>
            <w:tcW w:w="19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1.87 (1.01 – 3.44)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1.21 (0.64 – 2.29)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1.46 (0.75 – 2.83)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 w:eastAsia="en-US"/>
              </w:rPr>
              <w:t>2.39 (1.18 – 4.86)</w:t>
            </w:r>
          </w:p>
        </w:tc>
        <w:tc>
          <w:tcPr>
            <w:tcW w:w="2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1.37 (0.68 – 2.75)</w:t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5B1C6E">
              <w:rPr>
                <w:rFonts w:eastAsia="Calibri"/>
                <w:sz w:val="22"/>
                <w:szCs w:val="22"/>
                <w:lang w:val="en-GB" w:eastAsia="en-US"/>
              </w:rPr>
              <w:t>1.57 (0.74 – 3.32)</w:t>
            </w:r>
          </w:p>
        </w:tc>
      </w:tr>
    </w:tbl>
    <w:p w:rsidR="009E0A07" w:rsidRPr="005B1C6E" w:rsidRDefault="0095744B" w:rsidP="009E0A07">
      <w:pPr>
        <w:rPr>
          <w:sz w:val="22"/>
          <w:szCs w:val="22"/>
          <w:lang w:val="en-US"/>
        </w:rPr>
      </w:pPr>
      <w:proofErr w:type="spellStart"/>
      <w:proofErr w:type="gramStart"/>
      <w:r w:rsidRPr="008075A8">
        <w:rPr>
          <w:b/>
          <w:lang w:val="en-GB"/>
        </w:rPr>
        <w:lastRenderedPageBreak/>
        <w:t>eTable</w:t>
      </w:r>
      <w:proofErr w:type="spellEnd"/>
      <w:proofErr w:type="gramEnd"/>
      <w:r>
        <w:rPr>
          <w:b/>
          <w:lang w:val="en-GB"/>
        </w:rPr>
        <w:t xml:space="preserve"> 2</w:t>
      </w:r>
      <w:r w:rsidR="009E0A07" w:rsidRPr="005B1C6E">
        <w:rPr>
          <w:sz w:val="22"/>
          <w:szCs w:val="22"/>
          <w:lang w:val="en-US"/>
        </w:rPr>
        <w:t xml:space="preserve">. </w:t>
      </w:r>
      <w:r w:rsidR="009E0A07" w:rsidRPr="00F950F2">
        <w:rPr>
          <w:b/>
          <w:sz w:val="22"/>
          <w:szCs w:val="22"/>
          <w:lang w:val="en-US"/>
        </w:rPr>
        <w:t>Continued</w:t>
      </w: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5"/>
        <w:gridCol w:w="1984"/>
        <w:gridCol w:w="1951"/>
        <w:gridCol w:w="2090"/>
        <w:gridCol w:w="2090"/>
        <w:gridCol w:w="2091"/>
      </w:tblGrid>
      <w:tr w:rsidR="009E0A07" w:rsidRPr="005B1C6E" w:rsidTr="005B1C6E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  <w:p w:rsidR="009E0A07" w:rsidRPr="005B1C6E" w:rsidRDefault="009E0A07" w:rsidP="005B1C6E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F950F2">
              <w:rPr>
                <w:rFonts w:eastAsia="Calibri"/>
                <w:b/>
                <w:sz w:val="22"/>
                <w:szCs w:val="22"/>
                <w:lang w:val="en-GB"/>
              </w:rPr>
              <w:t>N=3477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CC088D" w:rsidRDefault="009E0A07" w:rsidP="005B1C6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proofErr w:type="spellStart"/>
            <w:r w:rsidRPr="00F950F2">
              <w:rPr>
                <w:rFonts w:eastAsia="Calibri"/>
                <w:b/>
                <w:sz w:val="22"/>
                <w:szCs w:val="22"/>
                <w:lang w:val="en-GB"/>
              </w:rPr>
              <w:t>NO</w:t>
            </w:r>
            <w:r w:rsidRPr="00F950F2">
              <w:rPr>
                <w:rFonts w:eastAsia="Calibri"/>
                <w:b/>
                <w:sz w:val="22"/>
                <w:szCs w:val="22"/>
                <w:vertAlign w:val="subscript"/>
                <w:lang w:val="en-GB"/>
              </w:rPr>
              <w:t>x</w:t>
            </w:r>
            <w:proofErr w:type="spellEnd"/>
          </w:p>
        </w:tc>
        <w:tc>
          <w:tcPr>
            <w:tcW w:w="6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F950F2">
              <w:rPr>
                <w:rFonts w:eastAsia="Calibri"/>
                <w:b/>
                <w:sz w:val="22"/>
                <w:szCs w:val="22"/>
                <w:lang w:val="en-GB"/>
              </w:rPr>
              <w:t>PM</w:t>
            </w:r>
            <w:r w:rsidRPr="00F950F2">
              <w:rPr>
                <w:rFonts w:eastAsia="Calibri"/>
                <w:b/>
                <w:sz w:val="22"/>
                <w:szCs w:val="22"/>
                <w:vertAlign w:val="subscript"/>
                <w:lang w:val="en-GB"/>
              </w:rPr>
              <w:t>10</w:t>
            </w:r>
          </w:p>
        </w:tc>
      </w:tr>
      <w:tr w:rsidR="009E0A07" w:rsidRPr="005B1C6E" w:rsidTr="005B1C6E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CC088D" w:rsidRDefault="009E0A07" w:rsidP="005B1C6E">
            <w:pPr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 xml:space="preserve">Asthma 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 xml:space="preserve">Wheeze ( ≥ 1 </w:t>
            </w:r>
            <w:proofErr w:type="spellStart"/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epis</w:t>
            </w:r>
            <w:proofErr w:type="spellEnd"/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 xml:space="preserve">Wheeze ( ≥ 3 </w:t>
            </w:r>
            <w:proofErr w:type="spellStart"/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epis</w:t>
            </w:r>
            <w:proofErr w:type="spellEnd"/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 xml:space="preserve">Asthma 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 xml:space="preserve">Wheeze ( ≥ 1 </w:t>
            </w:r>
            <w:proofErr w:type="spellStart"/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epis</w:t>
            </w:r>
            <w:proofErr w:type="spellEnd"/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 xml:space="preserve">Wheeze ( ≥ 3 </w:t>
            </w:r>
            <w:proofErr w:type="spellStart"/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epis</w:t>
            </w:r>
            <w:proofErr w:type="spellEnd"/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)</w:t>
            </w:r>
          </w:p>
        </w:tc>
      </w:tr>
      <w:tr w:rsidR="009E0A07" w:rsidRPr="00263C72" w:rsidTr="005B1C6E">
        <w:trPr>
          <w:trHeight w:val="371"/>
        </w:trPr>
        <w:tc>
          <w:tcPr>
            <w:tcW w:w="137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A07" w:rsidRPr="005B1C6E" w:rsidRDefault="009E0A07" w:rsidP="009E0A07">
            <w:pPr>
              <w:numPr>
                <w:ilvl w:val="0"/>
                <w:numId w:val="1"/>
              </w:num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Air pollution exposure during since the previous follow-up and prevalent asthma and wheeze</w:t>
            </w:r>
          </w:p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</w:tr>
      <w:tr w:rsidR="009E0A07" w:rsidRPr="005B1C6E" w:rsidTr="005B1C6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Overall effect</w:t>
            </w:r>
          </w:p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0.72 (0.45 – 1.14)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1.07 (0.82 – 1.39)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1.04 (0.71 – 1.52)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0.89 (0.63 – 1.25)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1.03 (0.81 – 1.30)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0.94 (0.67 – 1.33)</w:t>
            </w:r>
          </w:p>
        </w:tc>
      </w:tr>
      <w:tr w:rsidR="009E0A07" w:rsidRPr="005B1C6E" w:rsidTr="005B1C6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1 year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0.82 (0.47 – 1.44)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1.16 (0.87 – 1.55)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1.15 (0.75 – 1.76)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0.74 (0.41 – 1.33)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1.18 (0.86 – 1.62)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1.07 (0.67 – 1.71)</w:t>
            </w:r>
          </w:p>
        </w:tc>
      </w:tr>
      <w:tr w:rsidR="009E0A07" w:rsidRPr="005B1C6E" w:rsidTr="005B1C6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2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0.65 (0.37 – 1.14)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0.98 (0.72 – 1.33)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0.97 (0.62 – 1.51)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0.77 (0.46 – 1.29)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1.06 (0.77 – 1.44)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1.02 (0.66 – 1.58)</w:t>
            </w:r>
          </w:p>
        </w:tc>
      </w:tr>
      <w:tr w:rsidR="009E0A07" w:rsidRPr="005B1C6E" w:rsidTr="005B1C6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0.65 (0.33 – 1.28)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1.00 (0.65 – 1.55)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 xml:space="preserve">0.86 (0.40 – 1.86)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0.75 (0.46 – 1.24)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1.01 (0.72 – 1.42)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1.01 (0.57 – 1.79)</w:t>
            </w:r>
          </w:p>
        </w:tc>
      </w:tr>
      <w:tr w:rsidR="009E0A07" w:rsidRPr="005B1C6E" w:rsidTr="005B1C6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8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0.73 (0.30 – 1.82)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0.76 (0.39 – 1.51)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0.41 (0.11 – 1.46)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0.90 (0.52 – 1.55)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0.86 (0.57 – 1.30)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0.65 (0.32 – 1.34)</w:t>
            </w:r>
          </w:p>
        </w:tc>
      </w:tr>
      <w:tr w:rsidR="009E0A07" w:rsidRPr="005B1C6E" w:rsidTr="005B1C6E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12 years</w:t>
            </w:r>
          </w:p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0.86 (0.26 – 2.91)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0.74 (0.28 – 1.96)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0.48 (0.11 – 2.03)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1.02 (0.68 – 1.54)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0.93 (0.67 – 1.30)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 xml:space="preserve">   0.84 (0.53 – 1.35)</w:t>
            </w:r>
          </w:p>
        </w:tc>
      </w:tr>
      <w:tr w:rsidR="009E0A07" w:rsidRPr="00263C72" w:rsidTr="005B1C6E">
        <w:trPr>
          <w:trHeight w:val="485"/>
        </w:trPr>
        <w:tc>
          <w:tcPr>
            <w:tcW w:w="13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A07" w:rsidRPr="005B1C6E" w:rsidRDefault="009E0A07" w:rsidP="009E0A07">
            <w:pPr>
              <w:numPr>
                <w:ilvl w:val="0"/>
                <w:numId w:val="1"/>
              </w:num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Air pollution exposure during since the previous follow-up and incident asthma and wheeze</w:t>
            </w:r>
          </w:p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</w:tr>
      <w:tr w:rsidR="009E0A07" w:rsidRPr="005B1C6E" w:rsidTr="005B1C6E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</w:p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Overall effect</w:t>
            </w:r>
          </w:p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0.83 (0.51 – 1.34)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1.02 (0.76– 1.35)</w:t>
            </w: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1.06 (0.71 – 1.58)</w:t>
            </w:r>
          </w:p>
        </w:tc>
        <w:tc>
          <w:tcPr>
            <w:tcW w:w="20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0.93 (0.63 – 1.39)</w:t>
            </w:r>
          </w:p>
        </w:tc>
        <w:tc>
          <w:tcPr>
            <w:tcW w:w="20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0.98 (0.73 – 1.30)</w:t>
            </w: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0.99 (0.67 – 1.45)</w:t>
            </w:r>
          </w:p>
        </w:tc>
      </w:tr>
      <w:tr w:rsidR="009E0A07" w:rsidRPr="005B1C6E" w:rsidTr="005B1C6E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1 year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0.79 (0.43 – 1.47)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1.05 (0.76 – 1.45)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1.08 (0.68 – 1.70)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0.87 (0.26 – 2.85)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1.02 (0.71 – 1.46)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0.98 (0.59 – 1.62)</w:t>
            </w:r>
          </w:p>
        </w:tc>
      </w:tr>
      <w:tr w:rsidR="009E0A07" w:rsidRPr="005B1C6E" w:rsidTr="005B1C6E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2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0.80 (0.40 – 1.59)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1.01 (0.68 – 1.50)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1.11 (0.66 – 1.85)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0.90 (0.47 – 1.72)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1.05 (0.70 – 1.57)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1.17 (0.70 – 1.97)</w:t>
            </w:r>
          </w:p>
        </w:tc>
      </w:tr>
      <w:tr w:rsidR="009E0A07" w:rsidRPr="005B1C6E" w:rsidTr="005B1C6E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1.12 (0.49 – 2.54)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0.92 (0.47 – 1.80)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 xml:space="preserve">0.79 (0.25 – 2.54)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1.15 (0.60 – 2.18)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1.00 (0.59 – 1.70)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0.97 (0.41 – 2.29)</w:t>
            </w:r>
          </w:p>
        </w:tc>
      </w:tr>
      <w:tr w:rsidR="009E0A07" w:rsidRPr="005B1C6E" w:rsidTr="005B1C6E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8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0.49 (0.11 – 2.14)</w:t>
            </w:r>
          </w:p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0.44 (0.11 – 1.66)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0.37 (0.10 – 2.53)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0.82 (0.36 – 1.89)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0.61 (0.28 – 1.32)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0.73 (0.25 – 2.08)</w:t>
            </w:r>
          </w:p>
        </w:tc>
      </w:tr>
      <w:tr w:rsidR="009E0A07" w:rsidRPr="005B1C6E" w:rsidTr="005B1C6E">
        <w:tblPrEx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b/>
                <w:sz w:val="22"/>
                <w:szCs w:val="22"/>
                <w:lang w:val="en-GB"/>
              </w:rPr>
              <w:t>12 years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1.10 (0.17 – 6.97)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0.95 (0.15 – 6.13)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0.83 (0.11 – 6.23)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1.08 (0.58 – 2.02)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0.91 (0.48 – 1.73)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A07" w:rsidRPr="005B1C6E" w:rsidRDefault="009E0A07" w:rsidP="005B1C6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B1C6E">
              <w:rPr>
                <w:rFonts w:eastAsia="Calibri"/>
                <w:sz w:val="22"/>
                <w:szCs w:val="22"/>
                <w:lang w:val="en-GB"/>
              </w:rPr>
              <w:t>0.86 (0.43 – 1.71)</w:t>
            </w:r>
          </w:p>
        </w:tc>
      </w:tr>
    </w:tbl>
    <w:p w:rsidR="00CE76F7" w:rsidRPr="009E0A07" w:rsidRDefault="009E0A07" w:rsidP="00932759">
      <w:pPr>
        <w:pBdr>
          <w:bottom w:val="single" w:sz="4" w:space="1" w:color="auto"/>
        </w:pBdr>
        <w:rPr>
          <w:lang w:val="en-US"/>
        </w:rPr>
      </w:pPr>
      <w:proofErr w:type="spellStart"/>
      <w:proofErr w:type="gramStart"/>
      <w:r>
        <w:rPr>
          <w:vertAlign w:val="superscript"/>
          <w:lang w:val="en-US"/>
        </w:rPr>
        <w:t>a</w:t>
      </w:r>
      <w:r>
        <w:rPr>
          <w:lang w:val="en-US"/>
        </w:rPr>
        <w:t>Adjusted</w:t>
      </w:r>
      <w:proofErr w:type="spellEnd"/>
      <w:proofErr w:type="gramEnd"/>
      <w:r>
        <w:rPr>
          <w:lang w:val="en-US"/>
        </w:rPr>
        <w:t xml:space="preserve"> for municipality, SES, year the house was built, heredity. </w:t>
      </w:r>
      <w:r w:rsidRPr="00F950F2">
        <w:rPr>
          <w:lang w:val="en-US"/>
        </w:rPr>
        <w:t>Odds ratios are calculated for a difference in the air pollution level from the 5</w:t>
      </w:r>
      <w:r w:rsidRPr="00F950F2">
        <w:rPr>
          <w:vertAlign w:val="superscript"/>
          <w:lang w:val="en-US"/>
        </w:rPr>
        <w:t>th</w:t>
      </w:r>
      <w:r w:rsidRPr="00F950F2">
        <w:rPr>
          <w:lang w:val="en-US"/>
        </w:rPr>
        <w:t xml:space="preserve"> to 95</w:t>
      </w:r>
      <w:r w:rsidRPr="00F950F2">
        <w:rPr>
          <w:vertAlign w:val="superscript"/>
          <w:lang w:val="en-US"/>
        </w:rPr>
        <w:t>th</w:t>
      </w:r>
      <w:r w:rsidRPr="00F950F2">
        <w:rPr>
          <w:lang w:val="en-US"/>
        </w:rPr>
        <w:t xml:space="preserve"> percentile, corresponding to </w:t>
      </w:r>
      <w:proofErr w:type="gramStart"/>
      <w:r w:rsidRPr="00F950F2">
        <w:rPr>
          <w:lang w:val="en-US"/>
        </w:rPr>
        <w:t>46.8 µg/m</w:t>
      </w:r>
      <w:r w:rsidRPr="00F950F2">
        <w:rPr>
          <w:vertAlign w:val="superscript"/>
          <w:lang w:val="en-US"/>
        </w:rPr>
        <w:t>3</w:t>
      </w:r>
      <w:r w:rsidRPr="00F950F2">
        <w:rPr>
          <w:lang w:val="en-US"/>
        </w:rPr>
        <w:t xml:space="preserve"> for </w:t>
      </w:r>
      <w:proofErr w:type="spellStart"/>
      <w:r w:rsidRPr="00F950F2">
        <w:rPr>
          <w:lang w:val="en-US"/>
        </w:rPr>
        <w:t>NO</w:t>
      </w:r>
      <w:r w:rsidRPr="00F950F2">
        <w:rPr>
          <w:vertAlign w:val="subscript"/>
          <w:lang w:val="en-US"/>
        </w:rPr>
        <w:t>x</w:t>
      </w:r>
      <w:proofErr w:type="spellEnd"/>
      <w:r w:rsidRPr="00F950F2">
        <w:rPr>
          <w:lang w:val="en-US"/>
        </w:rPr>
        <w:t>,</w:t>
      </w:r>
      <w:proofErr w:type="gramEnd"/>
      <w:r w:rsidRPr="00F950F2">
        <w:rPr>
          <w:lang w:val="en-US"/>
        </w:rPr>
        <w:t xml:space="preserve"> and 7.2 µg/m</w:t>
      </w:r>
      <w:r w:rsidRPr="00F950F2">
        <w:rPr>
          <w:vertAlign w:val="superscript"/>
          <w:lang w:val="en-US"/>
        </w:rPr>
        <w:t>3</w:t>
      </w:r>
      <w:r w:rsidRPr="00F950F2">
        <w:rPr>
          <w:lang w:val="en-US"/>
        </w:rPr>
        <w:t xml:space="preserve"> for PM</w:t>
      </w:r>
      <w:r w:rsidRPr="00F950F2">
        <w:rPr>
          <w:vertAlign w:val="subscript"/>
          <w:lang w:val="en-US"/>
        </w:rPr>
        <w:t>10</w:t>
      </w:r>
      <w:r w:rsidRPr="00F950F2">
        <w:rPr>
          <w:rFonts w:ascii="TimesNewRomanPS" w:hAnsi="TimesNewRomanPS" w:cs="TimesNewRomanPS"/>
          <w:sz w:val="22"/>
          <w:szCs w:val="22"/>
          <w:vertAlign w:val="subscript"/>
          <w:lang w:val="en-US"/>
        </w:rPr>
        <w:t xml:space="preserve"> </w:t>
      </w:r>
    </w:p>
    <w:sectPr w:rsidR="00CE76F7" w:rsidRPr="009E0A07" w:rsidSect="00932759">
      <w:pgSz w:w="16838" w:h="11906" w:orient="landscape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892"/>
    <w:multiLevelType w:val="hybridMultilevel"/>
    <w:tmpl w:val="B6F0A50A"/>
    <w:lvl w:ilvl="0" w:tplc="9EDAA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4CE"/>
    <w:multiLevelType w:val="multilevel"/>
    <w:tmpl w:val="32EE49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07"/>
    <w:rsid w:val="00263C72"/>
    <w:rsid w:val="003B1F0E"/>
    <w:rsid w:val="00932759"/>
    <w:rsid w:val="0095744B"/>
    <w:rsid w:val="009E0A07"/>
    <w:rsid w:val="00CE76F7"/>
    <w:rsid w:val="00F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4B"/>
    <w:rPr>
      <w:rFonts w:ascii="Tahoma" w:eastAsia="Times New Roman" w:hAnsi="Tahoma" w:cs="Tahoma"/>
      <w:sz w:val="16"/>
      <w:szCs w:val="16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26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C7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C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4B"/>
    <w:rPr>
      <w:rFonts w:ascii="Tahoma" w:eastAsia="Times New Roman" w:hAnsi="Tahoma" w:cs="Tahoma"/>
      <w:sz w:val="16"/>
      <w:szCs w:val="16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26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C7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C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Gruzieva</dc:creator>
  <cp:lastModifiedBy>Meyd, Laura</cp:lastModifiedBy>
  <cp:revision>2</cp:revision>
  <dcterms:created xsi:type="dcterms:W3CDTF">2012-11-14T19:37:00Z</dcterms:created>
  <dcterms:modified xsi:type="dcterms:W3CDTF">2012-11-14T19:37:00Z</dcterms:modified>
</cp:coreProperties>
</file>