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9B" w:rsidRDefault="00DF169B" w:rsidP="000261F8">
      <w:pPr>
        <w:spacing w:line="480" w:lineRule="auto"/>
        <w:jc w:val="both"/>
        <w:rPr>
          <w:rFonts w:cs="Arial"/>
        </w:rPr>
      </w:pPr>
      <w:r w:rsidRPr="008A4CA5">
        <w:rPr>
          <w:rFonts w:cs="Arial"/>
        </w:rPr>
        <w:t>Estimating HIV incidence</w:t>
      </w:r>
      <w:r>
        <w:rPr>
          <w:rFonts w:cs="Arial"/>
        </w:rPr>
        <w:t xml:space="preserve">, time to diagnosis, and the undiagnosed HIV epidemic using routine </w:t>
      </w:r>
      <w:r w:rsidRPr="008A4CA5">
        <w:rPr>
          <w:rFonts w:cs="Arial"/>
        </w:rPr>
        <w:t>surveillance data</w:t>
      </w:r>
    </w:p>
    <w:p w:rsidR="00DF169B" w:rsidRPr="000261F8" w:rsidRDefault="00DF169B" w:rsidP="000261F8">
      <w:pPr>
        <w:spacing w:line="480" w:lineRule="auto"/>
        <w:jc w:val="both"/>
      </w:pPr>
    </w:p>
    <w:p w:rsidR="00DF169B" w:rsidRDefault="00E36400" w:rsidP="000261F8">
      <w:pPr>
        <w:spacing w:line="480" w:lineRule="auto"/>
        <w:jc w:val="both"/>
      </w:pPr>
      <w:proofErr w:type="spellStart"/>
      <w:r>
        <w:rPr>
          <w:b/>
        </w:rPr>
        <w:t>eAppendix</w:t>
      </w:r>
      <w:proofErr w:type="spellEnd"/>
    </w:p>
    <w:p w:rsidR="00DF169B" w:rsidRDefault="00DF169B" w:rsidP="000261F8">
      <w:pPr>
        <w:spacing w:line="480" w:lineRule="auto"/>
        <w:jc w:val="both"/>
      </w:pPr>
    </w:p>
    <w:p w:rsidR="00DF169B" w:rsidRPr="002D4010" w:rsidRDefault="00DF169B" w:rsidP="000261F8">
      <w:pPr>
        <w:spacing w:line="480" w:lineRule="auto"/>
        <w:jc w:val="both"/>
        <w:rPr>
          <w:i/>
        </w:rPr>
      </w:pPr>
      <w:r w:rsidRPr="002D4010">
        <w:rPr>
          <w:i/>
        </w:rPr>
        <w:t>Model structure</w:t>
      </w:r>
    </w:p>
    <w:p w:rsidR="00DF169B" w:rsidRDefault="00DF169B" w:rsidP="000261F8">
      <w:pPr>
        <w:spacing w:line="480" w:lineRule="auto"/>
        <w:jc w:val="both"/>
      </w:pPr>
      <w:r>
        <w:t xml:space="preserve">The full structure of our model is shown in </w:t>
      </w:r>
      <w:proofErr w:type="spellStart"/>
      <w:r w:rsidR="00724B9C">
        <w:t>e</w:t>
      </w:r>
      <w:r>
        <w:t>Figure</w:t>
      </w:r>
      <w:proofErr w:type="spellEnd"/>
      <w:r>
        <w:t xml:space="preserve"> 1. The model is a deterministic compartmental model that describes HIV progression in the </w:t>
      </w:r>
      <w:r w:rsidRPr="004F0A8F">
        <w:t>absence of antiretroviral treatment</w:t>
      </w:r>
      <w:r>
        <w:t xml:space="preserve"> as a unidirectional flow through different stages of the infection. The HIV incidence over calendar time </w:t>
      </w:r>
      <m:oMath>
        <m:r>
          <w:rPr>
            <w:rFonts w:ascii="Cambria Math" w:hAnsi="Cambria Math"/>
          </w:rPr>
          <m:t>t</m:t>
        </m:r>
      </m:oMath>
      <w:r>
        <w:rPr>
          <w:rFonts w:eastAsiaTheme="minorEastAsia"/>
        </w:rPr>
        <w:t xml:space="preserve"> is given by </w:t>
      </w:r>
      <m:oMath>
        <m:r>
          <w:rPr>
            <w:rFonts w:ascii="Cambria Math" w:eastAsiaTheme="minorEastAsia" w:hAnsi="Cambria Math"/>
          </w:rPr>
          <m:t>I(t)</m:t>
        </m:r>
      </m:oMath>
      <w:r>
        <w:rPr>
          <w:rFonts w:eastAsiaTheme="minorEastAsia"/>
        </w:rPr>
        <w:t>, wh</w:t>
      </w:r>
      <w:proofErr w:type="spellStart"/>
      <w:r>
        <w:rPr>
          <w:rFonts w:eastAsiaTheme="minorEastAsia"/>
        </w:rPr>
        <w:t>ich</w:t>
      </w:r>
      <w:proofErr w:type="spellEnd"/>
      <w:r>
        <w:rPr>
          <w:rFonts w:eastAsiaTheme="minorEastAsia"/>
        </w:rPr>
        <w:t xml:space="preserve"> is unknown and needs to be estimated by fitting the model to observed data. </w:t>
      </w:r>
      <w:r w:rsidRPr="005156B8">
        <w:rPr>
          <w:rFonts w:eastAsiaTheme="minorEastAsia"/>
        </w:rPr>
        <w:t xml:space="preserve">Immediately after infection, all individuals first enter a phase of primary infection, </w:t>
      </w:r>
      <m:oMath>
        <m:r>
          <w:rPr>
            <w:rFonts w:ascii="Cambria Math" w:eastAsiaTheme="minorEastAsia" w:hAnsi="Cambria Math"/>
          </w:rPr>
          <m:t>P(t)</m:t>
        </m:r>
      </m:oMath>
      <w:r w:rsidRPr="005156B8">
        <w:rPr>
          <w:rFonts w:eastAsiaTheme="minorEastAsia"/>
        </w:rPr>
        <w:t xml:space="preserve">. After primary infection, individuals enter at a rate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P</m:t>
            </m:r>
          </m:sub>
        </m:sSub>
      </m:oMath>
      <w:r w:rsidRPr="005156B8">
        <w:rPr>
          <w:rFonts w:eastAsiaTheme="minorEastAsia"/>
        </w:rPr>
        <w:t xml:space="preserve"> one of five compart</w:t>
      </w:r>
      <w:proofErr w:type="spellStart"/>
      <w:r w:rsidRPr="005156B8">
        <w:rPr>
          <w:rFonts w:eastAsiaTheme="minorEastAsia"/>
        </w:rPr>
        <w:t>ments</w:t>
      </w:r>
      <w:proofErr w:type="spellEnd"/>
      <w:r w:rsidRPr="005156B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 xml:space="preserve">(t) </m:t>
        </m:r>
        <m:d>
          <m:dPr>
            <m:ctrlPr>
              <w:rPr>
                <w:rFonts w:ascii="Cambria Math" w:eastAsiaTheme="minorEastAsia" w:hAnsi="Cambria Math"/>
                <w:i/>
              </w:rPr>
            </m:ctrlPr>
          </m:dPr>
          <m:e>
            <m:r>
              <w:rPr>
                <w:rFonts w:ascii="Cambria Math" w:eastAsiaTheme="minorEastAsia" w:hAnsi="Cambria Math"/>
              </w:rPr>
              <m:t>i=1,…,5</m:t>
            </m:r>
          </m:e>
        </m:d>
      </m:oMath>
      <w:r w:rsidRPr="005156B8">
        <w:rPr>
          <w:rFonts w:eastAsiaTheme="minorEastAsia"/>
        </w:rPr>
        <w:t xml:space="preserve"> of undiagnosed HIV infection with </w:t>
      </w:r>
      <m:oMath>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5</m:t>
            </m:r>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r>
              <w:rPr>
                <w:rFonts w:ascii="Cambria Math" w:eastAsiaTheme="minorEastAsia" w:hAnsi="Cambria Math"/>
              </w:rPr>
              <m:t>=1</m:t>
            </m:r>
          </m:e>
        </m:nary>
      </m:oMath>
      <w:r w:rsidRPr="005156B8">
        <w:rPr>
          <w:rFonts w:eastAsiaTheme="minorEastAsia"/>
        </w:rPr>
        <w:t>.</w:t>
      </w:r>
      <w:r>
        <w:rPr>
          <w:rFonts w:eastAsiaTheme="minorEastAsia"/>
        </w:rPr>
        <w:t xml:space="preserve"> The first four stages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xml:space="preserve"> to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4</m:t>
            </m:r>
          </m:sub>
        </m:sSub>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xml:space="preserve"> correspond to CD4 strata ≥500, 350-499, 200-349, and &lt;200 cells/mm</w:t>
      </w:r>
      <w:r w:rsidRPr="00BA491E">
        <w:rPr>
          <w:rFonts w:eastAsiaTheme="minorEastAsia"/>
          <w:vertAlign w:val="superscript"/>
        </w:rPr>
        <w:t>3</w:t>
      </w:r>
      <w:r>
        <w:rPr>
          <w:rFonts w:eastAsiaTheme="minorEastAsia"/>
        </w:rPr>
        <w:t xml:space="preserve">, respectively, in the absence of an AIDS-defining illness, whilst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5</m:t>
            </m:r>
          </m:sub>
        </m:sSub>
        <m:r>
          <w:rPr>
            <w:rFonts w:ascii="Cambria Math" w:eastAsiaTheme="minorEastAsia" w:hAnsi="Cambria Math"/>
          </w:rPr>
          <m:t>(t)</m:t>
        </m:r>
      </m:oMath>
      <w:r>
        <w:rPr>
          <w:rFonts w:eastAsiaTheme="minorEastAsia"/>
        </w:rPr>
        <w:t xml:space="preserve"> corresponds to AIDS irrespective of CD4 count.</w:t>
      </w:r>
    </w:p>
    <w:p w:rsidR="00DF169B" w:rsidRDefault="00DF169B" w:rsidP="000261F8">
      <w:pPr>
        <w:spacing w:line="480" w:lineRule="auto"/>
        <w:jc w:val="both"/>
      </w:pPr>
    </w:p>
    <w:p w:rsidR="00DF169B" w:rsidRDefault="00DF169B" w:rsidP="000261F8">
      <w:pPr>
        <w:spacing w:line="480" w:lineRule="auto"/>
        <w:jc w:val="both"/>
      </w:pPr>
      <w:r>
        <w:t xml:space="preserve">During each stage </w:t>
      </w:r>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(t)</m:t>
        </m:r>
      </m:oMath>
      <w:r>
        <w:t xml:space="preserve"> of undiagnosed HIV infection, patients can be diagnosed at a rate </w:t>
      </w: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(t)</m:t>
        </m:r>
      </m:oMath>
      <w:r>
        <w:rPr>
          <w:rFonts w:eastAsiaTheme="minorEastAsia"/>
        </w:rPr>
        <w:t xml:space="preserve">, which </w:t>
      </w:r>
      <w:r w:rsidRPr="007C69CA">
        <w:rPr>
          <w:rFonts w:eastAsiaTheme="minorEastAsia"/>
        </w:rPr>
        <w:t>depends</w:t>
      </w:r>
      <w:r>
        <w:rPr>
          <w:rFonts w:eastAsiaTheme="minorEastAsia"/>
        </w:rPr>
        <w:t xml:space="preserve"> on the stage of infection and on calendar time. Upon diagnosis, patients enter a stage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(t)</m:t>
        </m:r>
      </m:oMath>
      <w:r>
        <w:rPr>
          <w:rFonts w:eastAsiaTheme="minorEastAsia"/>
        </w:rPr>
        <w:t xml:space="preserve"> of diagnosed HIV infection. In the absence of antiretroviral treatment, both undiagnosed and diagnosed patients experience the same rate of progression to the next CD4 stratum. </w:t>
      </w:r>
      <w:r w:rsidRPr="00C15342">
        <w:rPr>
          <w:rFonts w:eastAsiaTheme="minorEastAsia"/>
        </w:rPr>
        <w:t>Progression in diagnosed patients will be different after they start treatment. Therefore, the model only describes HIV progression in undiagnosed patients or in diagnosed patients before the introduction of combination antiretroviral treatment in 1996.</w:t>
      </w:r>
    </w:p>
    <w:p w:rsidR="00DF169B" w:rsidRDefault="00DF169B" w:rsidP="000261F8">
      <w:pPr>
        <w:spacing w:line="480" w:lineRule="auto"/>
        <w:jc w:val="both"/>
      </w:pPr>
    </w:p>
    <w:p w:rsidR="00DF169B" w:rsidRDefault="00DF169B" w:rsidP="000261F8">
      <w:pPr>
        <w:spacing w:line="480" w:lineRule="auto"/>
        <w:jc w:val="both"/>
      </w:pPr>
    </w:p>
    <w:p w:rsidR="00DF169B" w:rsidRDefault="00DF169B" w:rsidP="000261F8">
      <w:pPr>
        <w:spacing w:line="480" w:lineRule="auto"/>
        <w:jc w:val="both"/>
      </w:pPr>
      <w:r w:rsidRPr="003F2073">
        <w:rPr>
          <w:i/>
        </w:rPr>
        <w:t>Model equations</w:t>
      </w:r>
    </w:p>
    <w:p w:rsidR="00DF169B" w:rsidRDefault="00DF169B" w:rsidP="000261F8">
      <w:pPr>
        <w:spacing w:line="480" w:lineRule="auto"/>
        <w:jc w:val="both"/>
      </w:pPr>
      <w:r>
        <w:t xml:space="preserve">The model is formulated as a set of ordinary differential equations that describe the changes over time </w:t>
      </w:r>
      <w:r w:rsidRPr="008813F9">
        <w:rPr>
          <w:i/>
        </w:rPr>
        <w:t>t</w:t>
      </w:r>
      <w:r>
        <w:t xml:space="preserve"> in the number of individuals in each compartment in </w:t>
      </w:r>
      <w:proofErr w:type="spellStart"/>
      <w:r w:rsidR="00724B9C">
        <w:t>e</w:t>
      </w:r>
      <w:r>
        <w:t>Figure</w:t>
      </w:r>
      <w:proofErr w:type="spellEnd"/>
      <w:r>
        <w:t xml:space="preserve"> 1. </w:t>
      </w:r>
      <w:r w:rsidRPr="005D44F1">
        <w:t xml:space="preserve">The </w:t>
      </w:r>
      <w:r>
        <w:t xml:space="preserve">equations are </w:t>
      </w:r>
      <w:r w:rsidRPr="005D44F1">
        <w:lastRenderedPageBreak/>
        <w:t xml:space="preserve">solved numerically using a </w:t>
      </w:r>
      <w:r>
        <w:t xml:space="preserve">fourth order </w:t>
      </w:r>
      <w:proofErr w:type="spellStart"/>
      <w:r w:rsidRPr="005D44F1">
        <w:t>Runge-Kutta</w:t>
      </w:r>
      <w:proofErr w:type="spellEnd"/>
      <w:r w:rsidRPr="005D44F1">
        <w:t xml:space="preserve"> algor</w:t>
      </w:r>
      <w:r w:rsidRPr="00140121">
        <w:t>ithm</w:t>
      </w:r>
      <w:r>
        <w:t xml:space="preserve">. Parameter values are given in </w:t>
      </w:r>
      <w:proofErr w:type="spellStart"/>
      <w:r w:rsidR="00E36400">
        <w:t>e</w:t>
      </w:r>
      <w:r>
        <w:t>Table</w:t>
      </w:r>
      <w:proofErr w:type="spellEnd"/>
      <w:r>
        <w:t xml:space="preserve"> 1.</w:t>
      </w:r>
    </w:p>
    <w:p w:rsidR="00DF169B" w:rsidRDefault="00DF169B" w:rsidP="000261F8">
      <w:pPr>
        <w:spacing w:line="480" w:lineRule="auto"/>
        <w:jc w:val="both"/>
      </w:pPr>
    </w:p>
    <w:p w:rsidR="00DF169B" w:rsidRDefault="00536BD6" w:rsidP="00176083">
      <w:pPr>
        <w:spacing w:line="480" w:lineRule="auto"/>
        <w:jc w:val="both"/>
      </w:pPr>
      <m:oMathPara>
        <m:oMath>
          <m:f>
            <m:fPr>
              <m:ctrlPr>
                <w:rPr>
                  <w:rFonts w:ascii="Cambria Math" w:hAnsi="Cambria Math"/>
                  <w:i/>
                </w:rPr>
              </m:ctrlPr>
            </m:fPr>
            <m:num>
              <m:r>
                <w:rPr>
                  <w:rFonts w:ascii="Cambria Math" w:hAnsi="Cambria Math"/>
                </w:rPr>
                <m:t>dP</m:t>
              </m:r>
              <m:d>
                <m:dPr>
                  <m:ctrlPr>
                    <w:rPr>
                      <w:rFonts w:ascii="Cambria Math" w:hAnsi="Cambria Math"/>
                      <w:i/>
                    </w:rPr>
                  </m:ctrlPr>
                </m:dPr>
                <m:e>
                  <m:r>
                    <w:rPr>
                      <w:rFonts w:ascii="Cambria Math" w:hAnsi="Cambria Math"/>
                    </w:rPr>
                    <m:t>t</m:t>
                  </m:r>
                </m:e>
              </m:d>
            </m:num>
            <m:den>
              <m:r>
                <w:rPr>
                  <w:rFonts w:ascii="Cambria Math" w:hAnsi="Cambria Math"/>
                </w:rPr>
                <m:t>dt</m:t>
              </m:r>
            </m:den>
          </m:f>
          <m:r>
            <m:rPr>
              <m:aln/>
            </m:rP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P</m:t>
              </m:r>
            </m:sub>
          </m:sSub>
          <m:r>
            <w:rPr>
              <w:rFonts w:ascii="Cambria Math" w:hAnsi="Cambria Math"/>
            </w:rPr>
            <m:t xml:space="preserve"> P</m:t>
          </m:r>
          <m:d>
            <m:dPr>
              <m:ctrlPr>
                <w:rPr>
                  <w:rFonts w:ascii="Cambria Math" w:hAnsi="Cambria Math"/>
                  <w:i/>
                </w:rPr>
              </m:ctrlPr>
            </m:dPr>
            <m:e>
              <m:r>
                <w:rPr>
                  <w:rFonts w:ascii="Cambria Math" w:hAnsi="Cambria Math"/>
                </w:rPr>
                <m:t>t</m:t>
              </m:r>
            </m:e>
          </m:d>
          <m:r>
            <w:rPr>
              <w:rFonts w:ascii="Cambria Math" w:eastAsiaTheme="minorEastAsia" w:hAnsi="Cambria Math"/>
            </w:rPr>
            <m:t>- μP(t)</m:t>
          </m:r>
          <m:r>
            <m:rPr>
              <m:sty m:val="p"/>
            </m:rPr>
            <w:rPr>
              <w:rFonts w:ascii="Cambria Math" w:hAnsi="Cambria Math"/>
            </w:rPr>
            <w:br/>
          </m:r>
        </m:oMath>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U</m:t>
                  </m:r>
                </m:e>
                <m:sub>
                  <m:r>
                    <w:rPr>
                      <w:rFonts w:ascii="Cambria Math" w:hAnsi="Cambria Math"/>
                    </w:rPr>
                    <m:t>1</m:t>
                  </m:r>
                </m:sub>
              </m:sSub>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P</m:t>
              </m:r>
            </m:sub>
          </m:sSub>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t</m:t>
              </m:r>
            </m:e>
          </m:d>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-μ</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(t)</m:t>
          </m:r>
          <m:r>
            <m:rPr>
              <m:sty m:val="p"/>
            </m:rPr>
            <w:rPr>
              <w:rFonts w:ascii="Cambria Math" w:eastAsiaTheme="minorEastAsia" w:hAnsi="Cambria Math"/>
            </w:rPr>
            <w:br/>
          </m:r>
        </m:oMath>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U</m:t>
                  </m:r>
                </m:e>
                <m:sub>
                  <m:r>
                    <w:rPr>
                      <w:rFonts w:ascii="Cambria Math" w:hAnsi="Cambria Math"/>
                    </w:rPr>
                    <m:t>i</m:t>
                  </m:r>
                </m:sub>
              </m:sSub>
              <m:d>
                <m:dPr>
                  <m:ctrlPr>
                    <w:rPr>
                      <w:rFonts w:ascii="Cambria Math" w:hAnsi="Cambria Math"/>
                      <w:i/>
                    </w:rPr>
                  </m:ctrlPr>
                </m:dPr>
                <m:e>
                  <m:r>
                    <w:rPr>
                      <w:rFonts w:ascii="Cambria Math" w:hAnsi="Cambria Math"/>
                    </w:rPr>
                    <m:t>t</m:t>
                  </m:r>
                </m:e>
              </m:d>
            </m:num>
            <m:den>
              <m:r>
                <w:rPr>
                  <w:rFonts w:ascii="Cambria Math" w:hAnsi="Cambria Math"/>
                </w:rPr>
                <m:t>dt</m:t>
              </m:r>
            </m:den>
          </m:f>
          <m:r>
            <m:rPr>
              <m:aln/>
            </m:rP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P</m:t>
              </m:r>
            </m:sub>
          </m:sSub>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i-1</m:t>
              </m:r>
            </m:sub>
          </m:sSub>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i-1</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 xml:space="preserve">i </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-μ</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 xml:space="preserve">(t)    </m:t>
          </m:r>
          <m:d>
            <m:dPr>
              <m:ctrlPr>
                <w:rPr>
                  <w:rFonts w:ascii="Cambria Math" w:eastAsiaTheme="minorEastAsia" w:hAnsi="Cambria Math"/>
                  <w:i/>
                </w:rPr>
              </m:ctrlPr>
            </m:dPr>
            <m:e>
              <m:r>
                <w:rPr>
                  <w:rFonts w:ascii="Cambria Math" w:eastAsiaTheme="minorEastAsia" w:hAnsi="Cambria Math"/>
                </w:rPr>
                <m:t>i=2,…,5</m:t>
              </m:r>
            </m:e>
          </m:d>
          <m:r>
            <m:rPr>
              <m:sty m:val="p"/>
            </m:rPr>
            <w:rPr>
              <w:rFonts w:ascii="Cambria Math" w:eastAsiaTheme="minorEastAsia" w:hAnsi="Cambria Math"/>
            </w:rPr>
            <w:br/>
          </m:r>
        </m:oMath>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D</m:t>
                  </m:r>
                </m:e>
                <m:sub>
                  <m:r>
                    <w:rPr>
                      <w:rFonts w:ascii="Cambria Math" w:hAnsi="Cambria Math"/>
                    </w:rPr>
                    <m:t>1</m:t>
                  </m:r>
                </m:sub>
              </m:sSub>
              <m:d>
                <m:dPr>
                  <m:ctrlPr>
                    <w:rPr>
                      <w:rFonts w:ascii="Cambria Math" w:hAnsi="Cambria Math"/>
                      <w:i/>
                    </w:rPr>
                  </m:ctrlPr>
                </m:dPr>
                <m:e>
                  <m:r>
                    <w:rPr>
                      <w:rFonts w:ascii="Cambria Math" w:hAnsi="Cambria Math"/>
                    </w:rPr>
                    <m:t>t</m:t>
                  </m:r>
                </m:e>
              </m:d>
            </m:num>
            <m:den>
              <m:r>
                <w:rPr>
                  <w:rFonts w:ascii="Cambria Math" w:hAnsi="Cambria Math"/>
                </w:rPr>
                <m:t>dt</m:t>
              </m:r>
            </m:den>
          </m:f>
          <m:r>
            <m:rPr>
              <m:aln/>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t</m:t>
              </m:r>
            </m:e>
          </m:d>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 xml:space="preserve">1 </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t</m:t>
              </m:r>
            </m:e>
          </m:d>
          <m:r>
            <m:rPr>
              <m:sty m:val="p"/>
            </m:rPr>
            <w:rPr>
              <w:rFonts w:ascii="Cambria Math" w:eastAsiaTheme="minorEastAsia" w:hAnsi="Cambria Math"/>
            </w:rPr>
            <w:br/>
          </m:r>
        </m:oMath>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num>
            <m:den>
              <m:r>
                <w:rPr>
                  <w:rFonts w:ascii="Cambria Math" w:hAnsi="Cambria Math"/>
                </w:rPr>
                <m:t>dt</m:t>
              </m:r>
            </m:den>
          </m:f>
          <m:r>
            <m:rPr>
              <m:aln/>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 xml:space="preserve">i </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i-1</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i-1</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   (i=2,…,5)</m:t>
          </m:r>
        </m:oMath>
      </m:oMathPara>
    </w:p>
    <w:p w:rsidR="00DF169B" w:rsidRDefault="00DF169B" w:rsidP="000261F8">
      <w:pPr>
        <w:spacing w:line="480" w:lineRule="auto"/>
        <w:jc w:val="both"/>
      </w:pPr>
    </w:p>
    <w:p w:rsidR="00DF169B" w:rsidRDefault="00DF169B" w:rsidP="000261F8">
      <w:pPr>
        <w:spacing w:line="480" w:lineRule="auto"/>
        <w:jc w:val="both"/>
        <w:rPr>
          <w:rFonts w:eastAsiaTheme="minorEastAsia"/>
        </w:rPr>
      </w:pPr>
      <w:r>
        <w:t xml:space="preserve">The </w:t>
      </w:r>
      <w:r w:rsidRPr="00952D2B">
        <w:t>change in the total</w:t>
      </w:r>
      <w:r>
        <w:t xml:space="preserve"> number of individuals diagnosed in each stage, </w:t>
      </w: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diag</m:t>
            </m:r>
          </m:sup>
        </m:sSubSup>
        <m:d>
          <m:dPr>
            <m:ctrlPr>
              <w:rPr>
                <w:rFonts w:ascii="Cambria Math" w:hAnsi="Cambria Math"/>
                <w:i/>
              </w:rPr>
            </m:ctrlPr>
          </m:dPr>
          <m:e>
            <m:r>
              <w:rPr>
                <w:rFonts w:ascii="Cambria Math" w:hAnsi="Cambria Math"/>
              </w:rPr>
              <m:t>t</m:t>
            </m:r>
          </m:e>
        </m:d>
        <m:r>
          <w:rPr>
            <w:rFonts w:ascii="Cambria Math" w:hAnsi="Cambria Math"/>
          </w:rPr>
          <m:t xml:space="preserve"> (i=1,…5)</m:t>
        </m:r>
      </m:oMath>
      <w:r>
        <w:rPr>
          <w:rFonts w:eastAsiaTheme="minorEastAsia"/>
        </w:rPr>
        <w:t>, is given by</w:t>
      </w:r>
    </w:p>
    <w:p w:rsidR="00DF169B" w:rsidRDefault="00DF169B" w:rsidP="000261F8">
      <w:pPr>
        <w:spacing w:line="480" w:lineRule="auto"/>
        <w:jc w:val="both"/>
      </w:pPr>
    </w:p>
    <w:p w:rsidR="00DF169B" w:rsidRDefault="00536BD6" w:rsidP="000261F8">
      <w:pPr>
        <w:spacing w:line="480" w:lineRule="auto"/>
        <w:jc w:val="both"/>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diag</m:t>
                  </m:r>
                </m:sup>
              </m:sSubSup>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(t)</m:t>
          </m:r>
        </m:oMath>
      </m:oMathPara>
    </w:p>
    <w:p w:rsidR="00DF169B" w:rsidRDefault="00DF169B" w:rsidP="000261F8">
      <w:pPr>
        <w:spacing w:line="480" w:lineRule="auto"/>
        <w:jc w:val="both"/>
      </w:pPr>
    </w:p>
    <w:p w:rsidR="00DF169B" w:rsidRDefault="00DF169B" w:rsidP="000261F8">
      <w:pPr>
        <w:spacing w:line="480" w:lineRule="auto"/>
        <w:jc w:val="both"/>
      </w:pPr>
      <w:r w:rsidRPr="005156B8">
        <w:t>Before 1996 when combination antiretroviral treatment became available, the cumulative</w:t>
      </w:r>
      <w:r>
        <w:t xml:space="preserve"> number of individuals diagnosed with AIDS, </w:t>
      </w:r>
      <m:oMath>
        <m:sSup>
          <m:sSupPr>
            <m:ctrlPr>
              <w:rPr>
                <w:rFonts w:ascii="Cambria Math" w:hAnsi="Cambria Math"/>
                <w:i/>
              </w:rPr>
            </m:ctrlPr>
          </m:sSupPr>
          <m:e>
            <m:r>
              <w:rPr>
                <w:rFonts w:ascii="Cambria Math" w:hAnsi="Cambria Math"/>
              </w:rPr>
              <m:t>A</m:t>
            </m:r>
          </m:e>
          <m:sup>
            <m:r>
              <w:rPr>
                <w:rFonts w:ascii="Cambria Math" w:hAnsi="Cambria Math"/>
              </w:rPr>
              <m:t>d</m:t>
            </m:r>
          </m:sup>
        </m:sSup>
        <m:r>
          <w:rPr>
            <w:rFonts w:ascii="Cambria Math" w:hAnsi="Cambria Math"/>
          </w:rPr>
          <m:t>(t)</m:t>
        </m:r>
      </m:oMath>
      <w:r>
        <w:t xml:space="preserve">, consists of those with a concurrent HIV and AIDS diagnosis </w:t>
      </w:r>
      <w:r w:rsidRPr="005156B8">
        <w:t xml:space="preserve">(stage </w:t>
      </w:r>
      <m:oMath>
        <m:sSub>
          <m:sSubPr>
            <m:ctrlPr>
              <w:rPr>
                <w:rFonts w:ascii="Cambria Math" w:hAnsi="Cambria Math"/>
                <w:i/>
              </w:rPr>
            </m:ctrlPr>
          </m:sSubPr>
          <m:e>
            <m:r>
              <w:rPr>
                <w:rFonts w:ascii="Cambria Math" w:hAnsi="Cambria Math"/>
              </w:rPr>
              <m:t>U</m:t>
            </m:r>
          </m:e>
          <m:sub>
            <m:r>
              <w:rPr>
                <w:rFonts w:ascii="Cambria Math" w:hAnsi="Cambria Math"/>
              </w:rPr>
              <m:t>5</m:t>
            </m:r>
          </m:sub>
        </m:sSub>
        <m:r>
          <w:rPr>
            <w:rFonts w:ascii="Cambria Math" w:hAnsi="Cambria Math"/>
          </w:rPr>
          <m:t>(t)</m:t>
        </m:r>
      </m:oMath>
      <w:r w:rsidRPr="005156B8">
        <w:t xml:space="preserve"> to </w:t>
      </w:r>
      <m:oMath>
        <m:sSub>
          <m:sSubPr>
            <m:ctrlPr>
              <w:rPr>
                <w:rFonts w:ascii="Cambria Math" w:hAnsi="Cambria Math"/>
                <w:i/>
              </w:rPr>
            </m:ctrlPr>
          </m:sSubPr>
          <m:e>
            <m:r>
              <w:rPr>
                <w:rFonts w:ascii="Cambria Math" w:hAnsi="Cambria Math"/>
              </w:rPr>
              <m:t>D</m:t>
            </m:r>
          </m:e>
          <m:sub>
            <m:r>
              <w:rPr>
                <w:rFonts w:ascii="Cambria Math" w:hAnsi="Cambria Math"/>
              </w:rPr>
              <m:t>5</m:t>
            </m:r>
          </m:sub>
        </m:sSub>
        <m:r>
          <w:rPr>
            <w:rFonts w:ascii="Cambria Math" w:hAnsi="Cambria Math"/>
          </w:rPr>
          <m:t>(t)</m:t>
        </m:r>
      </m:oMath>
      <w:r w:rsidRPr="005156B8">
        <w:t>)</w:t>
      </w:r>
      <w:r>
        <w:t xml:space="preserve"> and diagnosed individuals who progress to AIDS </w:t>
      </w:r>
      <w:r w:rsidRPr="005156B8">
        <w:t xml:space="preserve">(stage </w:t>
      </w:r>
      <m:oMath>
        <m:sSub>
          <m:sSubPr>
            <m:ctrlPr>
              <w:rPr>
                <w:rFonts w:ascii="Cambria Math" w:hAnsi="Cambria Math"/>
                <w:i/>
              </w:rPr>
            </m:ctrlPr>
          </m:sSubPr>
          <m:e>
            <m:r>
              <w:rPr>
                <w:rFonts w:ascii="Cambria Math" w:hAnsi="Cambria Math"/>
              </w:rPr>
              <m:t>D</m:t>
            </m:r>
          </m:e>
          <m:sub>
            <m:r>
              <w:rPr>
                <w:rFonts w:ascii="Cambria Math" w:hAnsi="Cambria Math"/>
              </w:rPr>
              <m:t>4</m:t>
            </m:r>
          </m:sub>
        </m:sSub>
        <m:r>
          <w:rPr>
            <w:rFonts w:ascii="Cambria Math" w:hAnsi="Cambria Math"/>
          </w:rPr>
          <m:t>(t)</m:t>
        </m:r>
      </m:oMath>
      <w:r w:rsidRPr="005156B8">
        <w:t xml:space="preserve"> to </w:t>
      </w:r>
      <m:oMath>
        <m:sSub>
          <m:sSubPr>
            <m:ctrlPr>
              <w:rPr>
                <w:rFonts w:ascii="Cambria Math" w:hAnsi="Cambria Math"/>
                <w:i/>
              </w:rPr>
            </m:ctrlPr>
          </m:sSubPr>
          <m:e>
            <m:r>
              <w:rPr>
                <w:rFonts w:ascii="Cambria Math" w:hAnsi="Cambria Math"/>
              </w:rPr>
              <m:t>D</m:t>
            </m:r>
          </m:e>
          <m:sub>
            <m:r>
              <w:rPr>
                <w:rFonts w:ascii="Cambria Math" w:hAnsi="Cambria Math"/>
              </w:rPr>
              <m:t>5</m:t>
            </m:r>
          </m:sub>
        </m:sSub>
        <m:r>
          <w:rPr>
            <w:rFonts w:ascii="Cambria Math" w:hAnsi="Cambria Math"/>
          </w:rPr>
          <m:t>(t)</m:t>
        </m:r>
      </m:oMath>
      <w:r w:rsidRPr="005156B8">
        <w:t>)</w:t>
      </w:r>
      <w:r>
        <w:t>. Therefore,</w:t>
      </w:r>
    </w:p>
    <w:p w:rsidR="00DF169B" w:rsidRDefault="00DF169B" w:rsidP="000261F8">
      <w:pPr>
        <w:spacing w:line="480" w:lineRule="auto"/>
        <w:jc w:val="both"/>
      </w:pPr>
    </w:p>
    <w:p w:rsidR="00DF169B" w:rsidRDefault="00536BD6" w:rsidP="000261F8">
      <w:pPr>
        <w:spacing w:line="480" w:lineRule="auto"/>
        <w:jc w:val="both"/>
      </w:pPr>
      <m:oMathPara>
        <m:oMath>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A</m:t>
                  </m:r>
                </m:e>
                <m:sup>
                  <m:r>
                    <w:rPr>
                      <w:rFonts w:ascii="Cambria Math" w:hAnsi="Cambria Math"/>
                    </w:rPr>
                    <m:t>d</m:t>
                  </m:r>
                </m:sup>
              </m:sSup>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5</m:t>
              </m:r>
            </m:sub>
          </m:sSub>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U</m:t>
              </m:r>
            </m:e>
            <m:sub>
              <m:r>
                <w:rPr>
                  <w:rFonts w:ascii="Cambria Math" w:hAnsi="Cambria Math"/>
                </w:rPr>
                <m:t>5</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4</m:t>
              </m:r>
            </m:sub>
          </m:sSub>
          <m:sSub>
            <m:sSubPr>
              <m:ctrlPr>
                <w:rPr>
                  <w:rFonts w:ascii="Cambria Math" w:hAnsi="Cambria Math"/>
                  <w:i/>
                </w:rPr>
              </m:ctrlPr>
            </m:sSubPr>
            <m:e>
              <m:r>
                <w:rPr>
                  <w:rFonts w:ascii="Cambria Math" w:hAnsi="Cambria Math"/>
                </w:rPr>
                <m:t>D</m:t>
              </m:r>
            </m:e>
            <m:sub>
              <m:r>
                <w:rPr>
                  <w:rFonts w:ascii="Cambria Math" w:hAnsi="Cambria Math"/>
                </w:rPr>
                <m:t>4</m:t>
              </m:r>
            </m:sub>
          </m:sSub>
          <m:r>
            <w:rPr>
              <w:rFonts w:ascii="Cambria Math" w:hAnsi="Cambria Math"/>
            </w:rPr>
            <m:t>(t)</m:t>
          </m:r>
        </m:oMath>
      </m:oMathPara>
    </w:p>
    <w:p w:rsidR="00DF169B" w:rsidRDefault="00DF169B" w:rsidP="000261F8">
      <w:pPr>
        <w:spacing w:line="480" w:lineRule="auto"/>
        <w:jc w:val="both"/>
      </w:pPr>
    </w:p>
    <w:p w:rsidR="00DF169B" w:rsidRDefault="00DF169B" w:rsidP="000261F8">
      <w:pPr>
        <w:spacing w:line="480" w:lineRule="auto"/>
        <w:jc w:val="both"/>
      </w:pPr>
      <w:r>
        <w:t xml:space="preserve">The number of infected men who die without being diagnosed, </w:t>
      </w:r>
      <m:oMath>
        <m:sSup>
          <m:sSupPr>
            <m:ctrlPr>
              <w:rPr>
                <w:rFonts w:ascii="Cambria Math" w:hAnsi="Cambria Math"/>
                <w:i/>
              </w:rPr>
            </m:ctrlPr>
          </m:sSupPr>
          <m:e>
            <m:r>
              <w:rPr>
                <w:rFonts w:ascii="Cambria Math" w:hAnsi="Cambria Math"/>
              </w:rPr>
              <m:t>M</m:t>
            </m:r>
          </m:e>
          <m:sup>
            <m:r>
              <w:rPr>
                <w:rFonts w:ascii="Cambria Math" w:hAnsi="Cambria Math"/>
              </w:rPr>
              <m:t>u</m:t>
            </m:r>
          </m:sup>
        </m:sSup>
        <m:r>
          <w:rPr>
            <w:rFonts w:ascii="Cambria Math" w:eastAsiaTheme="minorEastAsia" w:hAnsi="Cambria Math"/>
          </w:rPr>
          <m:t>(t)</m:t>
        </m:r>
      </m:oMath>
      <w:r>
        <w:t>, is given by</w:t>
      </w:r>
    </w:p>
    <w:p w:rsidR="00DF169B" w:rsidRDefault="00DF169B" w:rsidP="000261F8">
      <w:pPr>
        <w:spacing w:line="480" w:lineRule="auto"/>
        <w:jc w:val="both"/>
      </w:pPr>
    </w:p>
    <w:p w:rsidR="00DF169B" w:rsidRDefault="00536BD6" w:rsidP="000261F8">
      <w:pPr>
        <w:spacing w:line="480" w:lineRule="auto"/>
        <w:jc w:val="both"/>
      </w:pPr>
      <m:oMathPara>
        <m:oMath>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M</m:t>
                  </m:r>
                </m:e>
                <m:sup>
                  <m:r>
                    <w:rPr>
                      <w:rFonts w:ascii="Cambria Math" w:hAnsi="Cambria Math"/>
                    </w:rPr>
                    <m:t>u</m:t>
                  </m:r>
                </m:sup>
              </m:sSup>
              <m:r>
                <w:rPr>
                  <w:rFonts w:ascii="Cambria Math" w:hAnsi="Cambria Math"/>
                </w:rPr>
                <m:t>(t)</m:t>
              </m:r>
            </m:num>
            <m:den>
              <m:r>
                <w:rPr>
                  <w:rFonts w:ascii="Cambria Math" w:hAnsi="Cambria Math"/>
                </w:rPr>
                <m:t>dt</m:t>
              </m:r>
            </m:den>
          </m:f>
          <m:r>
            <w:rPr>
              <w:rFonts w:ascii="Cambria Math" w:hAnsi="Cambria Math"/>
            </w:rPr>
            <m:t>=μP</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5</m:t>
              </m:r>
            </m:sup>
            <m:e>
              <m:r>
                <w:rPr>
                  <w:rFonts w:ascii="Cambria Math" w:hAnsi="Cambria Math"/>
                </w:rPr>
                <m:t>μ</m:t>
              </m:r>
              <m:sSub>
                <m:sSubPr>
                  <m:ctrlPr>
                    <w:rPr>
                      <w:rFonts w:ascii="Cambria Math" w:hAnsi="Cambria Math"/>
                      <w:i/>
                    </w:rPr>
                  </m:ctrlPr>
                </m:sSubPr>
                <m:e>
                  <m:r>
                    <w:rPr>
                      <w:rFonts w:ascii="Cambria Math" w:hAnsi="Cambria Math"/>
                    </w:rPr>
                    <m:t>U</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m:t>
              </m:r>
            </m:e>
          </m:nary>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5</m:t>
              </m:r>
            </m:sub>
          </m:sSub>
          <m:sSub>
            <m:sSubPr>
              <m:ctrlPr>
                <w:rPr>
                  <w:rFonts w:ascii="Cambria Math" w:hAnsi="Cambria Math"/>
                  <w:i/>
                </w:rPr>
              </m:ctrlPr>
            </m:sSubPr>
            <m:e>
              <m:r>
                <w:rPr>
                  <w:rFonts w:ascii="Cambria Math" w:hAnsi="Cambria Math"/>
                </w:rPr>
                <m:t>U</m:t>
              </m:r>
            </m:e>
            <m:sub>
              <m:r>
                <w:rPr>
                  <w:rFonts w:ascii="Cambria Math" w:hAnsi="Cambria Math"/>
                </w:rPr>
                <m:t>5</m:t>
              </m:r>
            </m:sub>
          </m:sSub>
          <m:r>
            <w:rPr>
              <w:rFonts w:ascii="Cambria Math" w:hAnsi="Cambria Math"/>
            </w:rPr>
            <m:t>(t)</m:t>
          </m:r>
        </m:oMath>
      </m:oMathPara>
    </w:p>
    <w:p w:rsidR="00DF169B" w:rsidRDefault="00DF169B" w:rsidP="000261F8">
      <w:pPr>
        <w:spacing w:line="480" w:lineRule="auto"/>
        <w:jc w:val="both"/>
      </w:pPr>
    </w:p>
    <w:p w:rsidR="00DF169B" w:rsidRDefault="00DF169B" w:rsidP="000261F8">
      <w:pPr>
        <w:spacing w:line="480" w:lineRule="auto"/>
        <w:jc w:val="both"/>
        <w:rPr>
          <w:rFonts w:eastAsiaTheme="minorEastAsia"/>
        </w:rPr>
      </w:pPr>
      <w:r>
        <w:lastRenderedPageBreak/>
        <w:t xml:space="preserve">Taking into account missing CD4 measurements and the probability that diagnosed individuals survive up to 1996, the observed number </w:t>
      </w: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obs</m:t>
            </m:r>
          </m:sup>
        </m:sSubSup>
        <m:r>
          <w:rPr>
            <w:rFonts w:ascii="Cambria Math" w:hAnsi="Cambria Math"/>
          </w:rPr>
          <m:t>(t)</m:t>
        </m:r>
      </m:oMath>
      <w:r>
        <w:rPr>
          <w:rFonts w:eastAsiaTheme="minorEastAsia"/>
        </w:rPr>
        <w:t xml:space="preserve"> </w:t>
      </w:r>
      <w:r>
        <w:t xml:space="preserve">of HIV diagnoses in each CD4 stratum </w:t>
      </w:r>
      <m:oMath>
        <m:r>
          <w:rPr>
            <w:rFonts w:ascii="Cambria Math" w:hAnsi="Cambria Math"/>
          </w:rPr>
          <m:t>i</m:t>
        </m:r>
      </m:oMath>
      <w:r>
        <w:rPr>
          <w:rFonts w:eastAsiaTheme="minorEastAsia"/>
        </w:rPr>
        <w:t xml:space="preserve"> is written as</w:t>
      </w:r>
    </w:p>
    <w:p w:rsidR="00DF169B" w:rsidRDefault="00DF169B" w:rsidP="000261F8">
      <w:pPr>
        <w:spacing w:line="480" w:lineRule="auto"/>
        <w:jc w:val="both"/>
        <w:rPr>
          <w:rFonts w:eastAsiaTheme="minorEastAsia"/>
        </w:rPr>
      </w:pPr>
    </w:p>
    <w:p w:rsidR="00DF169B" w:rsidRDefault="00536BD6" w:rsidP="000261F8">
      <w:pPr>
        <w:spacing w:line="480" w:lineRule="auto"/>
        <w:jc w:val="both"/>
      </w:pPr>
      <m:oMathPara>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obs</m:t>
              </m:r>
            </m:sup>
          </m:sSubSup>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CD4</m:t>
              </m:r>
            </m:sup>
          </m:sSubSup>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(t)</m:t>
          </m:r>
        </m:oMath>
      </m:oMathPara>
    </w:p>
    <w:p w:rsidR="00DF169B" w:rsidRDefault="00DF169B" w:rsidP="000261F8">
      <w:pPr>
        <w:spacing w:line="480" w:lineRule="auto"/>
        <w:jc w:val="both"/>
      </w:pPr>
    </w:p>
    <w:p w:rsidR="00DF169B" w:rsidRDefault="00DF169B" w:rsidP="000261F8">
      <w:pPr>
        <w:spacing w:line="480" w:lineRule="auto"/>
        <w:jc w:val="both"/>
        <w:rPr>
          <w:rFonts w:eastAsiaTheme="minorEastAsia"/>
        </w:rPr>
      </w:pPr>
      <w:r>
        <w:t xml:space="preserve">where </w:t>
      </w:r>
      <m:oMath>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CD4</m:t>
            </m:r>
          </m:sup>
        </m:sSubSup>
        <m:r>
          <w:rPr>
            <w:rFonts w:ascii="Cambria Math" w:hAnsi="Cambria Math"/>
          </w:rPr>
          <m:t>(t)</m:t>
        </m:r>
      </m:oMath>
      <w:r>
        <w:rPr>
          <w:rFonts w:eastAsiaTheme="minorEastAsia"/>
        </w:rPr>
        <w:t xml:space="preserve"> is the probability of having a CD4 count measurement available when diagnosed in CD4 stratum </w:t>
      </w:r>
      <m:oMath>
        <m:r>
          <w:rPr>
            <w:rFonts w:ascii="Cambria Math" w:eastAsiaTheme="minorEastAsia" w:hAnsi="Cambria Math"/>
          </w:rPr>
          <m:t>i</m:t>
        </m:r>
      </m:oMath>
      <w:r>
        <w:rPr>
          <w:rFonts w:eastAsiaTheme="minorEastAsia"/>
        </w:rPr>
        <w:t xml:space="preserve"> in calendar year </w:t>
      </w:r>
      <m:oMath>
        <m:r>
          <w:rPr>
            <w:rFonts w:ascii="Cambria Math" w:eastAsiaTheme="minorEastAsia" w:hAnsi="Cambria Math"/>
          </w:rPr>
          <m:t>t</m:t>
        </m:r>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(t)</m:t>
        </m:r>
      </m:oMath>
      <w:r>
        <w:rPr>
          <w:rFonts w:eastAsiaTheme="minorEastAsia"/>
        </w:rPr>
        <w:t xml:space="preserve"> is the probability that an untreated individual diagnosed in CD4 stratum </w:t>
      </w:r>
      <m:oMath>
        <m:r>
          <w:rPr>
            <w:rFonts w:ascii="Cambria Math" w:eastAsiaTheme="minorEastAsia" w:hAnsi="Cambria Math"/>
          </w:rPr>
          <m:t>i</m:t>
        </m:r>
      </m:oMath>
      <w:r>
        <w:rPr>
          <w:rFonts w:eastAsiaTheme="minorEastAsia"/>
        </w:rPr>
        <w:t xml:space="preserve"> in calendar year </w:t>
      </w:r>
      <m:oMath>
        <m:r>
          <w:rPr>
            <w:rFonts w:ascii="Cambria Math" w:eastAsiaTheme="minorEastAsia" w:hAnsi="Cambria Math"/>
          </w:rPr>
          <m:t>t</m:t>
        </m:r>
      </m:oMath>
      <w:r>
        <w:rPr>
          <w:rFonts w:eastAsiaTheme="minorEastAsia"/>
        </w:rPr>
        <w:t xml:space="preserve"> will survive up to 1996.</w:t>
      </w:r>
    </w:p>
    <w:p w:rsidR="00DF169B" w:rsidRDefault="00DF169B" w:rsidP="000261F8">
      <w:pPr>
        <w:spacing w:line="480" w:lineRule="auto"/>
        <w:jc w:val="both"/>
      </w:pPr>
    </w:p>
    <w:p w:rsidR="00DF169B" w:rsidRDefault="00DF169B" w:rsidP="000261F8">
      <w:pPr>
        <w:spacing w:line="480" w:lineRule="auto"/>
        <w:jc w:val="both"/>
      </w:pPr>
    </w:p>
    <w:p w:rsidR="00DF169B" w:rsidRPr="00B7446B" w:rsidRDefault="00DF169B" w:rsidP="000261F8">
      <w:pPr>
        <w:spacing w:line="480" w:lineRule="auto"/>
        <w:jc w:val="both"/>
        <w:rPr>
          <w:i/>
        </w:rPr>
      </w:pPr>
      <w:r w:rsidRPr="00B7446B">
        <w:rPr>
          <w:i/>
        </w:rPr>
        <w:t>Equation for time from infection to diagnosis</w:t>
      </w:r>
    </w:p>
    <w:p w:rsidR="00DF169B" w:rsidRDefault="00DF169B" w:rsidP="000261F8">
      <w:pPr>
        <w:spacing w:line="480" w:lineRule="auto"/>
        <w:jc w:val="both"/>
      </w:pPr>
      <w:r>
        <w:t xml:space="preserve">The average time from infection to diagnosis, </w:t>
      </w:r>
      <m:oMath>
        <m:sSub>
          <m:sSubPr>
            <m:ctrlPr>
              <w:rPr>
                <w:rFonts w:ascii="Cambria Math" w:hAnsi="Cambria Math"/>
                <w:i/>
              </w:rPr>
            </m:ctrlPr>
          </m:sSubPr>
          <m:e>
            <m:r>
              <w:rPr>
                <w:rFonts w:ascii="Cambria Math" w:hAnsi="Cambria Math"/>
              </w:rPr>
              <m:t>t</m:t>
            </m:r>
          </m:e>
          <m:sub>
            <m:r>
              <w:rPr>
                <w:rFonts w:ascii="Cambria Math" w:hAnsi="Cambria Math"/>
              </w:rPr>
              <m:t>diag</m:t>
            </m:r>
          </m:sub>
        </m:sSub>
      </m:oMath>
      <w:r>
        <w:t xml:space="preserve">, </w:t>
      </w:r>
      <w:r w:rsidRPr="00121116">
        <w:t xml:space="preserve">if diagnosis rates remain the same as at the time of infection </w:t>
      </w:r>
      <m:oMath>
        <m:r>
          <w:rPr>
            <w:rFonts w:ascii="Cambria Math" w:hAnsi="Cambria Math"/>
          </w:rPr>
          <m:t>t</m:t>
        </m:r>
      </m:oMath>
      <w:r w:rsidRPr="00121116">
        <w:t>,</w:t>
      </w:r>
      <w:r>
        <w:t xml:space="preserve"> can be calculated as</w:t>
      </w:r>
    </w:p>
    <w:p w:rsidR="00DF169B" w:rsidRDefault="00DF169B" w:rsidP="000261F8">
      <w:pPr>
        <w:spacing w:line="480" w:lineRule="auto"/>
        <w:jc w:val="both"/>
      </w:pPr>
    </w:p>
    <w:p w:rsidR="00DF169B" w:rsidRDefault="00536BD6" w:rsidP="000261F8">
      <w:pPr>
        <w:spacing w:line="480" w:lineRule="auto"/>
        <w:jc w:val="both"/>
      </w:pPr>
      <m:oMathPara>
        <m:oMath>
          <m:sSub>
            <m:sSubPr>
              <m:ctrlPr>
                <w:rPr>
                  <w:rFonts w:ascii="Cambria Math" w:hAnsi="Cambria Math"/>
                  <w:i/>
                </w:rPr>
              </m:ctrlPr>
            </m:sSubPr>
            <m:e>
              <m:r>
                <w:rPr>
                  <w:rFonts w:ascii="Cambria Math" w:hAnsi="Cambria Math"/>
                </w:rPr>
                <m:t>t</m:t>
              </m:r>
            </m:e>
            <m:sub>
              <m:r>
                <w:rPr>
                  <w:rFonts w:ascii="Cambria Math" w:hAnsi="Cambria Math"/>
                </w:rPr>
                <m:t>diag</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q</m:t>
                  </m:r>
                </m:e>
                <m:sub>
                  <m:r>
                    <w:rPr>
                      <w:rFonts w:ascii="Cambria Math" w:hAnsi="Cambria Math"/>
                    </w:rPr>
                    <m:t>P</m:t>
                  </m:r>
                </m:sub>
              </m:sSub>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k=1</m:t>
              </m:r>
            </m:sub>
            <m:sup>
              <m:r>
                <w:rPr>
                  <w:rFonts w:ascii="Cambria Math" w:hAnsi="Cambria Math"/>
                </w:rPr>
                <m:t>5</m:t>
              </m:r>
            </m:sup>
            <m:e>
              <m:sSub>
                <m:sSubPr>
                  <m:ctrlPr>
                    <w:rPr>
                      <w:rFonts w:ascii="Cambria Math" w:hAnsi="Cambria Math"/>
                      <w:i/>
                    </w:rPr>
                  </m:ctrlPr>
                </m:sSubPr>
                <m:e>
                  <m:r>
                    <w:rPr>
                      <w:rFonts w:ascii="Cambria Math" w:hAnsi="Cambria Math"/>
                    </w:rPr>
                    <m:t>f</m:t>
                  </m:r>
                </m:e>
                <m:sub>
                  <m:r>
                    <w:rPr>
                      <w:rFonts w:ascii="Cambria Math" w:hAnsi="Cambria Math"/>
                    </w:rPr>
                    <m:t>k</m:t>
                  </m:r>
                </m:sub>
              </m:sSub>
              <m:nary>
                <m:naryPr>
                  <m:chr m:val="∑"/>
                  <m:limLoc m:val="undOvr"/>
                  <m:ctrlPr>
                    <w:rPr>
                      <w:rFonts w:ascii="Cambria Math" w:hAnsi="Cambria Math"/>
                      <w:i/>
                    </w:rPr>
                  </m:ctrlPr>
                </m:naryPr>
                <m:sub>
                  <m:r>
                    <w:rPr>
                      <w:rFonts w:ascii="Cambria Math" w:hAnsi="Cambria Math"/>
                    </w:rPr>
                    <m:t>j=k</m:t>
                  </m:r>
                </m:sub>
                <m:sup>
                  <m:r>
                    <w:rPr>
                      <w:rFonts w:ascii="Cambria Math" w:hAnsi="Cambria Math"/>
                    </w:rPr>
                    <m:t>5</m:t>
                  </m:r>
                </m:sup>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(t)</m:t>
                      </m:r>
                    </m:num>
                    <m:den>
                      <m:sSub>
                        <m:sSubPr>
                          <m:ctrlPr>
                            <w:rPr>
                              <w:rFonts w:ascii="Cambria Math" w:hAnsi="Cambria Math"/>
                              <w:i/>
                            </w:rPr>
                          </m:ctrlPr>
                        </m:sSubPr>
                        <m:e>
                          <m:r>
                            <w:rPr>
                              <w:rFonts w:ascii="Cambria Math" w:hAnsi="Cambria Math"/>
                            </w:rPr>
                            <m:t>q</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(t)</m:t>
                      </m:r>
                    </m:den>
                  </m:f>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s=k</m:t>
                          </m:r>
                        </m:sub>
                        <m:sup>
                          <m:r>
                            <w:rPr>
                              <w:rFonts w:ascii="Cambria Math" w:hAnsi="Cambria Math"/>
                            </w:rPr>
                            <m:t>j-1</m:t>
                          </m:r>
                        </m:sup>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s</m:t>
                                  </m:r>
                                </m:sub>
                              </m:sSub>
                            </m:num>
                            <m:den>
                              <m:sSub>
                                <m:sSubPr>
                                  <m:ctrlPr>
                                    <w:rPr>
                                      <w:rFonts w:ascii="Cambria Math" w:hAnsi="Cambria Math"/>
                                      <w:i/>
                                    </w:rPr>
                                  </m:ctrlPr>
                                </m:sSubPr>
                                <m:e>
                                  <m:r>
                                    <w:rPr>
                                      <w:rFonts w:ascii="Cambria Math" w:hAnsi="Cambria Math"/>
                                    </w:rPr>
                                    <m:t>q</m:t>
                                  </m:r>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s</m:t>
                                  </m:r>
                                </m:sub>
                              </m:sSub>
                              <m:r>
                                <w:rPr>
                                  <w:rFonts w:ascii="Cambria Math" w:hAnsi="Cambria Math"/>
                                </w:rPr>
                                <m:t>(t)</m:t>
                              </m:r>
                            </m:den>
                          </m:f>
                        </m:e>
                      </m:nary>
                    </m:e>
                  </m:d>
                  <m:nary>
                    <m:naryPr>
                      <m:chr m:val="∑"/>
                      <m:limLoc m:val="undOvr"/>
                      <m:ctrlPr>
                        <w:rPr>
                          <w:rFonts w:ascii="Cambria Math" w:hAnsi="Cambria Math"/>
                          <w:i/>
                        </w:rPr>
                      </m:ctrlPr>
                    </m:naryPr>
                    <m:sub>
                      <m:r>
                        <w:rPr>
                          <w:rFonts w:ascii="Cambria Math" w:hAnsi="Cambria Math"/>
                        </w:rPr>
                        <m:t>i=k</m:t>
                      </m:r>
                    </m:sub>
                    <m:sup>
                      <m:r>
                        <w:rPr>
                          <w:rFonts w:ascii="Cambria Math" w:hAnsi="Cambria Math"/>
                        </w:rPr>
                        <m:t>j</m:t>
                      </m:r>
                    </m:sup>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(t)</m:t>
                          </m:r>
                        </m:den>
                      </m:f>
                    </m:e>
                  </m:nary>
                </m:e>
              </m:nary>
            </m:e>
          </m:nary>
        </m:oMath>
      </m:oMathPara>
    </w:p>
    <w:p w:rsidR="00DF169B" w:rsidRDefault="00DF169B" w:rsidP="000261F8">
      <w:pPr>
        <w:spacing w:line="480" w:lineRule="auto"/>
        <w:jc w:val="both"/>
      </w:pPr>
    </w:p>
    <w:p w:rsidR="00DF169B" w:rsidRDefault="00DF169B" w:rsidP="000261F8">
      <w:pPr>
        <w:spacing w:line="480" w:lineRule="auto"/>
        <w:jc w:val="both"/>
      </w:pPr>
      <w:r w:rsidRPr="00C15342">
        <w:t xml:space="preserve">This equation is the sum of the average duration of all possible pathways in </w:t>
      </w:r>
      <w:proofErr w:type="spellStart"/>
      <w:r w:rsidR="00724B9C">
        <w:t>e</w:t>
      </w:r>
      <w:r w:rsidRPr="00C15342">
        <w:t>Figure</w:t>
      </w:r>
      <w:proofErr w:type="spellEnd"/>
      <w:r w:rsidRPr="00C15342">
        <w:t xml:space="preserve"> 1 from infection to each of the five stages of diagnosed HIV infection </w:t>
      </w: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(t)</m:t>
        </m:r>
      </m:oMath>
      <w:r w:rsidRPr="00C15342">
        <w:t xml:space="preserve"> weighted by the probability of taking each pathway. The first term </w:t>
      </w:r>
      <m:oMath>
        <m:r>
          <w:rPr>
            <w:rFonts w:ascii="Cambria Math" w:hAnsi="Cambria Math"/>
          </w:rPr>
          <m:t>1/</m:t>
        </m:r>
        <m:sSub>
          <m:sSubPr>
            <m:ctrlPr>
              <w:rPr>
                <w:rFonts w:ascii="Cambria Math" w:hAnsi="Cambria Math"/>
                <w:i/>
              </w:rPr>
            </m:ctrlPr>
          </m:sSubPr>
          <m:e>
            <m:r>
              <w:rPr>
                <w:rFonts w:ascii="Cambria Math" w:hAnsi="Cambria Math"/>
              </w:rPr>
              <m:t>q</m:t>
            </m:r>
          </m:e>
          <m:sub>
            <m:r>
              <w:rPr>
                <w:rFonts w:ascii="Cambria Math" w:hAnsi="Cambria Math"/>
              </w:rPr>
              <m:t>P</m:t>
            </m:r>
          </m:sub>
        </m:sSub>
      </m:oMath>
      <w:r w:rsidRPr="00C15342">
        <w:t xml:space="preserve"> at the right hand side of the equation is the average duration of primary infection. In the second term,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(t)</m:t>
            </m:r>
          </m:num>
          <m:den>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(t)</m:t>
                </m:r>
              </m:e>
            </m:d>
          </m:den>
        </m:f>
      </m:oMath>
      <w:r w:rsidRPr="00C15342">
        <w:t xml:space="preserve"> is the probability of being diagnosed whilst in stage </w:t>
      </w:r>
      <m:oMath>
        <m:sSub>
          <m:sSubPr>
            <m:ctrlPr>
              <w:rPr>
                <w:rFonts w:ascii="Cambria Math" w:hAnsi="Cambria Math"/>
                <w:i/>
              </w:rPr>
            </m:ctrlPr>
          </m:sSubPr>
          <m:e>
            <m:r>
              <w:rPr>
                <w:rFonts w:ascii="Cambria Math" w:hAnsi="Cambria Math"/>
              </w:rPr>
              <m:t>U</m:t>
            </m:r>
          </m:e>
          <m:sub>
            <m:r>
              <w:rPr>
                <w:rFonts w:ascii="Cambria Math" w:hAnsi="Cambria Math"/>
              </w:rPr>
              <m:t>j</m:t>
            </m:r>
          </m:sub>
        </m:sSub>
        <m:r>
          <w:rPr>
            <w:rFonts w:ascii="Cambria Math" w:hAnsi="Cambria Math"/>
          </w:rPr>
          <m:t>(t)</m:t>
        </m:r>
      </m:oMath>
      <w:r w:rsidRPr="00C15342">
        <w:t xml:space="preserve"> and thus going to </w:t>
      </w:r>
      <m:oMath>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(t)</m:t>
        </m:r>
      </m:oMath>
      <w:r w:rsidRPr="00C15342">
        <w:t xml:space="preserve">,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s</m:t>
                </m:r>
              </m:sub>
            </m:sSub>
          </m:num>
          <m:den>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s</m:t>
                    </m:r>
                  </m:sub>
                </m:sSub>
                <m:r>
                  <w:rPr>
                    <w:rFonts w:ascii="Cambria Math" w:hAnsi="Cambria Math"/>
                  </w:rPr>
                  <m:t>(t)</m:t>
                </m:r>
              </m:e>
            </m:d>
          </m:den>
        </m:f>
      </m:oMath>
      <w:r w:rsidRPr="00C15342">
        <w:t xml:space="preserve"> is the probability of remaining undiagnosed and progressing from </w:t>
      </w:r>
      <m:oMath>
        <m:sSub>
          <m:sSubPr>
            <m:ctrlPr>
              <w:rPr>
                <w:rFonts w:ascii="Cambria Math" w:hAnsi="Cambria Math"/>
                <w:i/>
              </w:rPr>
            </m:ctrlPr>
          </m:sSubPr>
          <m:e>
            <m:r>
              <w:rPr>
                <w:rFonts w:ascii="Cambria Math" w:hAnsi="Cambria Math"/>
              </w:rPr>
              <m:t>U</m:t>
            </m:r>
          </m:e>
          <m:sub>
            <m:r>
              <w:rPr>
                <w:rFonts w:ascii="Cambria Math" w:hAnsi="Cambria Math"/>
              </w:rPr>
              <m:t>s</m:t>
            </m:r>
          </m:sub>
        </m:sSub>
        <m:r>
          <w:rPr>
            <w:rFonts w:ascii="Cambria Math" w:hAnsi="Cambria Math"/>
          </w:rPr>
          <m:t>(t)</m:t>
        </m:r>
      </m:oMath>
      <w:r w:rsidRPr="00C15342">
        <w:t xml:space="preserve"> </w:t>
      </w:r>
      <w:r w:rsidRPr="00C15342">
        <w:rPr>
          <w:rFonts w:eastAsiaTheme="minorEastAsia"/>
        </w:rPr>
        <w:t xml:space="preserve">to </w:t>
      </w:r>
      <m:oMath>
        <m:sSub>
          <m:sSubPr>
            <m:ctrlPr>
              <w:rPr>
                <w:rFonts w:ascii="Cambria Math" w:hAnsi="Cambria Math"/>
                <w:i/>
              </w:rPr>
            </m:ctrlPr>
          </m:sSubPr>
          <m:e>
            <m:r>
              <w:rPr>
                <w:rFonts w:ascii="Cambria Math" w:hAnsi="Cambria Math"/>
              </w:rPr>
              <m:t>U</m:t>
            </m:r>
          </m:e>
          <m:sub>
            <m:r>
              <w:rPr>
                <w:rFonts w:ascii="Cambria Math" w:hAnsi="Cambria Math"/>
              </w:rPr>
              <m:t>s+1</m:t>
            </m:r>
          </m:sub>
        </m:sSub>
        <m:r>
          <w:rPr>
            <w:rFonts w:ascii="Cambria Math" w:hAnsi="Cambria Math"/>
          </w:rPr>
          <m:t>(t)</m:t>
        </m:r>
      </m:oMath>
      <w:r w:rsidRPr="00C15342">
        <w:t xml:space="preserve">, and </w:t>
      </w:r>
      <m:oMath>
        <m:f>
          <m:fPr>
            <m:type m:val="lin"/>
            <m:ctrlPr>
              <w:rPr>
                <w:rFonts w:ascii="Cambria Math" w:hAnsi="Cambria Math"/>
                <w:i/>
              </w:rPr>
            </m:ctrlPr>
          </m:fPr>
          <m:num>
            <m:r>
              <w:rPr>
                <w:rFonts w:ascii="Cambria Math" w:hAnsi="Cambria Math"/>
              </w:rPr>
              <m:t>1</m:t>
            </m:r>
          </m:num>
          <m:den>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(t)</m:t>
                </m:r>
              </m:e>
            </m:d>
          </m:den>
        </m:f>
      </m:oMath>
      <w:r w:rsidRPr="00C15342">
        <w:t xml:space="preserve"> is the average duration patients stay in stage </w:t>
      </w:r>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(t)</m:t>
        </m:r>
      </m:oMath>
      <w:r w:rsidRPr="00C15342">
        <w:t>.</w:t>
      </w:r>
    </w:p>
    <w:p w:rsidR="00DF169B" w:rsidRDefault="00DF169B" w:rsidP="000261F8">
      <w:pPr>
        <w:spacing w:line="480" w:lineRule="auto"/>
        <w:jc w:val="both"/>
      </w:pPr>
    </w:p>
    <w:p w:rsidR="00DF169B" w:rsidRPr="00121116" w:rsidRDefault="00DF169B" w:rsidP="000261F8">
      <w:pPr>
        <w:spacing w:line="480" w:lineRule="auto"/>
        <w:jc w:val="both"/>
      </w:pPr>
      <w:r w:rsidRPr="00121116">
        <w:t xml:space="preserve">The actual time from infection to diagnosis, </w:t>
      </w:r>
      <m:oMath>
        <m:sSubSup>
          <m:sSubSupPr>
            <m:ctrlPr>
              <w:rPr>
                <w:rFonts w:ascii="Cambria Math" w:hAnsi="Cambria Math"/>
                <w:i/>
              </w:rPr>
            </m:ctrlPr>
          </m:sSubSupPr>
          <m:e>
            <m:r>
              <w:rPr>
                <w:rFonts w:ascii="Cambria Math" w:hAnsi="Cambria Math"/>
              </w:rPr>
              <m:t>t</m:t>
            </m:r>
          </m:e>
          <m:sub>
            <m:r>
              <w:rPr>
                <w:rFonts w:ascii="Cambria Math" w:hAnsi="Cambria Math"/>
              </w:rPr>
              <m:t>diag</m:t>
            </m:r>
          </m:sub>
          <m:sup>
            <m:r>
              <w:rPr>
                <w:rFonts w:ascii="Cambria Math" w:hAnsi="Cambria Math"/>
              </w:rPr>
              <m:t>actual</m:t>
            </m:r>
          </m:sup>
        </m:sSubSup>
      </m:oMath>
      <w:r w:rsidRPr="00121116">
        <w:t xml:space="preserve">, i.e., the duration patients have been infected by the time they are diagnosed in year </w:t>
      </w:r>
      <m:oMath>
        <m:sSub>
          <m:sSubPr>
            <m:ctrlPr>
              <w:rPr>
                <w:rFonts w:ascii="Cambria Math" w:hAnsi="Cambria Math"/>
                <w:i/>
              </w:rPr>
            </m:ctrlPr>
          </m:sSubPr>
          <m:e>
            <m:r>
              <w:rPr>
                <w:rFonts w:ascii="Cambria Math" w:hAnsi="Cambria Math"/>
              </w:rPr>
              <m:t>t</m:t>
            </m:r>
          </m:e>
          <m:sub>
            <m:r>
              <w:rPr>
                <w:rFonts w:ascii="Cambria Math" w:hAnsi="Cambria Math"/>
              </w:rPr>
              <m:t>d</m:t>
            </m:r>
          </m:sub>
        </m:sSub>
      </m:oMath>
      <w:r w:rsidRPr="00121116">
        <w:t>, is approximated by</w:t>
      </w:r>
    </w:p>
    <w:p w:rsidR="00DF169B" w:rsidRPr="00121116" w:rsidRDefault="00DF169B" w:rsidP="000261F8">
      <w:pPr>
        <w:spacing w:line="480" w:lineRule="auto"/>
        <w:jc w:val="both"/>
      </w:pPr>
    </w:p>
    <w:p w:rsidR="00DF169B" w:rsidRPr="00121116" w:rsidRDefault="00536BD6" w:rsidP="000261F8">
      <w:pPr>
        <w:spacing w:line="480" w:lineRule="auto"/>
        <w:jc w:val="both"/>
        <w:rPr>
          <w:rFonts w:eastAsiaTheme="minorEastAsia"/>
        </w:rPr>
      </w:pPr>
      <m:oMathPara>
        <m:oMath>
          <m:sSubSup>
            <m:sSubSupPr>
              <m:ctrlPr>
                <w:rPr>
                  <w:rFonts w:ascii="Cambria Math" w:hAnsi="Cambria Math"/>
                  <w:i/>
                </w:rPr>
              </m:ctrlPr>
            </m:sSubSupPr>
            <m:e>
              <m:r>
                <w:rPr>
                  <w:rFonts w:ascii="Cambria Math" w:hAnsi="Cambria Math"/>
                </w:rPr>
                <m:t>t</m:t>
              </m:r>
            </m:e>
            <m:sub>
              <m:r>
                <w:rPr>
                  <w:rFonts w:ascii="Cambria Math" w:hAnsi="Cambria Math"/>
                </w:rPr>
                <m:t>diag</m:t>
              </m:r>
            </m:sub>
            <m:sup>
              <m:r>
                <w:rPr>
                  <w:rFonts w:ascii="Cambria Math" w:hAnsi="Cambria Math"/>
                </w:rPr>
                <m:t>actual</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d</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D(</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m:t>
              </m:r>
            </m:den>
          </m:f>
          <m:nary>
            <m:naryPr>
              <m:chr m:val="∑"/>
              <m:limLoc m:val="undOvr"/>
              <m:ctrlPr>
                <w:rPr>
                  <w:rFonts w:ascii="Cambria Math" w:hAnsi="Cambria Math"/>
                  <w:i/>
                </w:rPr>
              </m:ctrlPr>
            </m:naryPr>
            <m:sub>
              <m:r>
                <w:rPr>
                  <w:rFonts w:ascii="Cambria Math" w:hAnsi="Cambria Math"/>
                </w:rPr>
                <m:t>k=1</m:t>
              </m:r>
            </m:sub>
            <m:sup>
              <m:r>
                <w:rPr>
                  <w:rFonts w:ascii="Cambria Math" w:hAnsi="Cambria Math"/>
                </w:rPr>
                <m:t>5</m:t>
              </m:r>
            </m:sup>
            <m:e>
              <m:nary>
                <m:naryPr>
                  <m:chr m:val="∑"/>
                  <m:limLoc m:val="undOvr"/>
                  <m:ctrlPr>
                    <w:rPr>
                      <w:rFonts w:ascii="Cambria Math" w:hAnsi="Cambria Math"/>
                      <w:i/>
                    </w:rPr>
                  </m:ctrlPr>
                </m:naryPr>
                <m:sub>
                  <m:r>
                    <w:rPr>
                      <w:rFonts w:ascii="Cambria Math" w:hAnsi="Cambria Math"/>
                    </w:rPr>
                    <m:t>s=1</m:t>
                  </m:r>
                </m:sub>
                <m:sup>
                  <m:r>
                    <w:rPr>
                      <w:rFonts w:ascii="Cambria Math" w:hAnsi="Cambria Math"/>
                    </w:rPr>
                    <m:t>d</m:t>
                  </m:r>
                </m:sup>
                <m:e>
                  <m:sSubSup>
                    <m:sSubSupPr>
                      <m:ctrlPr>
                        <w:rPr>
                          <w:rFonts w:ascii="Cambria Math" w:hAnsi="Cambria Math"/>
                          <w:i/>
                        </w:rPr>
                      </m:ctrlPr>
                    </m:sSubSupPr>
                    <m:e>
                      <m:r>
                        <w:rPr>
                          <w:rFonts w:ascii="Cambria Math" w:hAnsi="Cambria Math"/>
                        </w:rPr>
                        <m:t>D</m:t>
                      </m:r>
                    </m:e>
                    <m:sub>
                      <m:r>
                        <w:rPr>
                          <w:rFonts w:ascii="Cambria Math" w:hAnsi="Cambria Math"/>
                        </w:rPr>
                        <m:t>k</m:t>
                      </m:r>
                    </m:sub>
                    <m:sup>
                      <m:r>
                        <w:rPr>
                          <w:rFonts w:ascii="Cambria Math" w:hAnsi="Cambria Math"/>
                        </w:rPr>
                        <m:t>s</m:t>
                      </m:r>
                    </m:sup>
                  </m:sSubSup>
                </m:e>
              </m:nary>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d</m:t>
                      </m:r>
                    </m:sub>
                  </m:sSub>
                </m:e>
              </m:d>
              <m:r>
                <w:rPr>
                  <w:rFonts w:ascii="Cambria Math" w:hAnsi="Cambria Math"/>
                </w:rPr>
                <m:t xml:space="preserve"> (d-s-0.5)</m:t>
              </m:r>
            </m:e>
          </m:nary>
        </m:oMath>
      </m:oMathPara>
    </w:p>
    <w:p w:rsidR="00DF169B" w:rsidRPr="00121116" w:rsidRDefault="00DF169B" w:rsidP="000261F8">
      <w:pPr>
        <w:spacing w:line="480" w:lineRule="auto"/>
        <w:jc w:val="both"/>
      </w:pPr>
    </w:p>
    <w:p w:rsidR="00DF169B" w:rsidRDefault="00DF169B" w:rsidP="000261F8">
      <w:pPr>
        <w:spacing w:line="480" w:lineRule="auto"/>
        <w:jc w:val="both"/>
      </w:pPr>
      <w:r w:rsidRPr="00121116">
        <w:t xml:space="preserve">where </w:t>
      </w:r>
      <m:oMath>
        <m:r>
          <w:rPr>
            <w:rFonts w:ascii="Cambria Math" w:hAnsi="Cambria Math"/>
          </w:rPr>
          <m:t>D(</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m:t>
        </m:r>
      </m:oMath>
      <w:r w:rsidRPr="00121116">
        <w:rPr>
          <w:rFonts w:eastAsiaTheme="minorEastAsia"/>
        </w:rPr>
        <w:t xml:space="preserve"> is the total number of HIV diagnoses in year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d</m:t>
            </m:r>
          </m:sub>
        </m:sSub>
      </m:oMath>
      <w:r w:rsidRPr="00121116">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k</m:t>
            </m:r>
          </m:sub>
          <m:sup>
            <m:r>
              <w:rPr>
                <w:rFonts w:ascii="Cambria Math" w:eastAsiaTheme="minorEastAsia" w:hAnsi="Cambria Math"/>
              </w:rPr>
              <m:t>s</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d</m:t>
            </m:r>
          </m:sub>
        </m:sSub>
        <m:r>
          <w:rPr>
            <w:rFonts w:ascii="Cambria Math" w:eastAsiaTheme="minorEastAsia" w:hAnsi="Cambria Math"/>
          </w:rPr>
          <m:t>)</m:t>
        </m:r>
      </m:oMath>
      <w:r w:rsidRPr="00121116">
        <w:rPr>
          <w:rFonts w:eastAsiaTheme="minorEastAsia"/>
        </w:rPr>
        <w:t xml:space="preserve"> is the number of HIV diagnoses in stage </w:t>
      </w:r>
      <m:oMath>
        <m:r>
          <w:rPr>
            <w:rFonts w:ascii="Cambria Math" w:eastAsiaTheme="minorEastAsia" w:hAnsi="Cambria Math"/>
          </w:rPr>
          <m:t>k</m:t>
        </m:r>
      </m:oMath>
      <w:r w:rsidRPr="00121116">
        <w:rPr>
          <w:rFonts w:eastAsiaTheme="minorEastAsia"/>
        </w:rPr>
        <w:t xml:space="preserve"> and year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d</m:t>
            </m:r>
          </m:sub>
        </m:sSub>
      </m:oMath>
      <w:r w:rsidRPr="00121116">
        <w:rPr>
          <w:rFonts w:eastAsiaTheme="minorEastAsia"/>
        </w:rPr>
        <w:t xml:space="preserve"> among individuals infected in year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oMath>
      <w:r w:rsidRPr="00121116">
        <w:rPr>
          <w:rFonts w:eastAsiaTheme="minorEastAsia"/>
        </w:rPr>
        <w:t>.</w:t>
      </w:r>
    </w:p>
    <w:p w:rsidR="00DF169B" w:rsidRDefault="00DF169B" w:rsidP="000261F8">
      <w:pPr>
        <w:spacing w:line="480" w:lineRule="auto"/>
        <w:jc w:val="both"/>
      </w:pPr>
    </w:p>
    <w:p w:rsidR="00DF169B" w:rsidRPr="00893A28" w:rsidRDefault="00DF169B" w:rsidP="000261F8">
      <w:pPr>
        <w:spacing w:line="480" w:lineRule="auto"/>
        <w:jc w:val="both"/>
        <w:rPr>
          <w:i/>
        </w:rPr>
      </w:pPr>
      <w:r w:rsidRPr="00893A28">
        <w:rPr>
          <w:i/>
        </w:rPr>
        <w:t>HIV incidence curve</w:t>
      </w:r>
    </w:p>
    <w:p w:rsidR="00DF169B" w:rsidRDefault="00DF169B" w:rsidP="000261F8">
      <w:pPr>
        <w:spacing w:line="480" w:lineRule="auto"/>
        <w:jc w:val="both"/>
      </w:pPr>
      <w:r w:rsidRPr="00893A28">
        <w:t xml:space="preserve">The HIV incidence curve is approximated using cubic M-splines, which are piecewise polynomials of degree 4 defined by a knot sequence </w:t>
      </w:r>
      <m:oMath>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K=k+8</m:t>
        </m:r>
      </m:oMath>
      <w:r w:rsidRPr="00893A28">
        <w:t xml:space="preserve">, where </w:t>
      </w:r>
      <m:oMath>
        <m:r>
          <w:rPr>
            <w:rFonts w:ascii="Cambria Math" w:hAnsi="Cambria Math"/>
          </w:rPr>
          <m:t>k</m:t>
        </m:r>
      </m:oMath>
      <w:r w:rsidRPr="00893A28">
        <w:t xml:space="preserve"> is the number of internal knots. The knot sequence is defined such that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t</m:t>
            </m:r>
          </m:e>
          <m:sub>
            <m:r>
              <w:rPr>
                <w:rFonts w:ascii="Cambria Math" w:hAnsi="Cambria Math"/>
              </w:rPr>
              <m:t>k+8</m:t>
            </m:r>
          </m:sub>
        </m:sSub>
      </m:oMath>
      <w:r w:rsidRPr="00893A28">
        <w:rPr>
          <w:rFonts w:eastAsiaTheme="minorEastAsia"/>
        </w:rPr>
        <w:t>,</w:t>
      </w:r>
      <w:r w:rsidRPr="00893A28">
        <w:t xml:space="preserve">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4</m:t>
            </m:r>
          </m:sub>
        </m:sSub>
        <m:r>
          <w:rPr>
            <w:rFonts w:ascii="Cambria Math" w:eastAsiaTheme="minorEastAsia" w:hAnsi="Cambria Math"/>
          </w:rPr>
          <m:t>=L</m:t>
        </m:r>
      </m:oMath>
      <w:r w:rsidRPr="00893A28">
        <w:rPr>
          <w:rFonts w:eastAsiaTheme="minorEastAsia"/>
        </w:rPr>
        <w:t>, and</w:t>
      </w:r>
      <w:r w:rsidRPr="00893A28">
        <w:t xml:space="preserve"> </w:t>
      </w:r>
      <m:oMath>
        <m:sSub>
          <m:sSubPr>
            <m:ctrlPr>
              <w:rPr>
                <w:rFonts w:ascii="Cambria Math" w:hAnsi="Cambria Math"/>
                <w:i/>
              </w:rPr>
            </m:ctrlPr>
          </m:sSubPr>
          <m:e>
            <m:r>
              <w:rPr>
                <w:rFonts w:ascii="Cambria Math" w:hAnsi="Cambria Math"/>
              </w:rPr>
              <m:t>t</m:t>
            </m:r>
          </m:e>
          <m:sub>
            <m:r>
              <w:rPr>
                <w:rFonts w:ascii="Cambria Math" w:hAnsi="Cambria Math"/>
              </w:rPr>
              <m:t>k+5</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k+8</m:t>
            </m:r>
          </m:sub>
        </m:sSub>
        <m:r>
          <w:rPr>
            <w:rFonts w:ascii="Cambria Math" w:eastAsiaTheme="minorEastAsia" w:hAnsi="Cambria Math"/>
          </w:rPr>
          <m:t>=U</m:t>
        </m:r>
      </m:oMath>
      <w:r w:rsidRPr="00893A28">
        <w:rPr>
          <w:rFonts w:eastAsiaTheme="minorEastAsia"/>
        </w:rPr>
        <w:t xml:space="preserve"> </w:t>
      </w:r>
      <w:r w:rsidRPr="00893A28">
        <w:t xml:space="preserve">where </w:t>
      </w:r>
      <m:oMath>
        <m:r>
          <w:rPr>
            <w:rFonts w:ascii="Cambria Math" w:hAnsi="Cambria Math"/>
          </w:rPr>
          <m:t>L</m:t>
        </m:r>
      </m:oMath>
      <w:r w:rsidRPr="00893A28">
        <w:t xml:space="preserve"> is 1 January 1980 and </w:t>
      </w:r>
      <m:oMath>
        <m:r>
          <w:rPr>
            <w:rFonts w:ascii="Cambria Math" w:hAnsi="Cambria Math"/>
          </w:rPr>
          <m:t>U</m:t>
        </m:r>
      </m:oMath>
      <w:r w:rsidRPr="00893A28">
        <w:t xml:space="preserve"> is 31 December 2012. M-splines are defined such that spline </w:t>
      </w:r>
      <m:oMath>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(i=1,…,k+4)</m:t>
        </m:r>
      </m:oMath>
      <w:r w:rsidRPr="00893A28">
        <w:t xml:space="preserve"> is positive in the interval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i+4</m:t>
            </m:r>
          </m:sub>
        </m:sSub>
        <m:r>
          <w:rPr>
            <w:rFonts w:ascii="Cambria Math" w:eastAsiaTheme="minorEastAsia" w:hAnsi="Cambria Math"/>
          </w:rPr>
          <m:t>)</m:t>
        </m:r>
      </m:oMath>
      <w:r w:rsidRPr="00893A28">
        <w:t xml:space="preserve"> and zero elsewhere and has the normalisation </w:t>
      </w:r>
      <m:oMath>
        <m:nary>
          <m:naryPr>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dt=1</m:t>
            </m:r>
          </m:e>
        </m:nary>
      </m:oMath>
      <w:r w:rsidRPr="00893A28">
        <w:t xml:space="preserve">. Adjacent splines are required to join at the boundaries of the intervals with equal first-order derivatives and continuous second-order derivatives. Formulae for M-spline </w:t>
      </w:r>
      <m:oMath>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(t)</m:t>
        </m:r>
      </m:oMath>
      <w:r w:rsidRPr="00893A28">
        <w:t xml:space="preserve"> are taken from Ramsay </w:t>
      </w:r>
      <w:r w:rsidRPr="00893A28">
        <w:rPr>
          <w:noProof/>
        </w:rPr>
        <w:t>[1]</w:t>
      </w:r>
      <w:r w:rsidRPr="00893A28">
        <w:t xml:space="preserve">. The incidence curve </w:t>
      </w:r>
      <m:oMath>
        <m:r>
          <w:rPr>
            <w:rFonts w:ascii="Cambria Math" w:hAnsi="Cambria Math"/>
          </w:rPr>
          <m:t>I(t)</m:t>
        </m:r>
      </m:oMath>
      <w:r w:rsidRPr="00893A28">
        <w:t xml:space="preserve"> is approximated by a linear combination of the </w:t>
      </w:r>
      <m:oMath>
        <m:r>
          <w:rPr>
            <w:rFonts w:ascii="Cambria Math" w:hAnsi="Cambria Math"/>
          </w:rPr>
          <m:t>k+4</m:t>
        </m:r>
      </m:oMath>
      <w:r w:rsidRPr="00893A28">
        <w:t xml:space="preserve"> M-splines: </w:t>
      </w:r>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k+4</m:t>
            </m:r>
          </m:sup>
          <m:e>
            <m:sSub>
              <m:sSubPr>
                <m:ctrlPr>
                  <w:rPr>
                    <w:rFonts w:ascii="Cambria Math" w:hAnsi="Cambria Math"/>
                    <w:i/>
                  </w:rPr>
                </m:ctrlPr>
              </m:sSubPr>
              <m:e>
                <m:r>
                  <w:rPr>
                    <w:rFonts w:ascii="Cambria Math" w:hAnsi="Cambria Math"/>
                  </w:rPr>
                  <m:t>ϑ</m:t>
                </m:r>
              </m:e>
              <m:sub>
                <m:r>
                  <w:rPr>
                    <w:rFonts w:ascii="Cambria Math" w:hAnsi="Cambria Math"/>
                  </w:rPr>
                  <m:t xml:space="preserve">i </m:t>
                </m:r>
              </m:sub>
            </m:sSub>
            <m:sSub>
              <m:sSubPr>
                <m:ctrlPr>
                  <w:rPr>
                    <w:rFonts w:ascii="Cambria Math" w:hAnsi="Cambria Math"/>
                    <w:i/>
                  </w:rPr>
                </m:ctrlPr>
              </m:sSubPr>
              <m:e>
                <m:r>
                  <w:rPr>
                    <w:rFonts w:ascii="Cambria Math" w:hAnsi="Cambria Math"/>
                  </w:rPr>
                  <m:t>M</m:t>
                </m:r>
              </m:e>
              <m:sub>
                <m:r>
                  <w:rPr>
                    <w:rFonts w:ascii="Cambria Math" w:hAnsi="Cambria Math"/>
                  </w:rPr>
                  <m:t>i</m:t>
                </m:r>
              </m:sub>
            </m:sSub>
          </m:e>
        </m:nary>
        <m:r>
          <w:rPr>
            <w:rFonts w:ascii="Cambria Math" w:hAnsi="Cambria Math"/>
          </w:rPr>
          <m:t>(t)</m:t>
        </m:r>
      </m:oMath>
      <w:r w:rsidRPr="00893A28">
        <w:rPr>
          <w:rFonts w:eastAsiaTheme="minorEastAsia"/>
        </w:rPr>
        <w:t xml:space="preserve"> with parameters </w:t>
      </w:r>
      <m:oMath>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i</m:t>
            </m:r>
          </m:sub>
        </m:sSub>
      </m:oMath>
      <w:r w:rsidRPr="00893A28">
        <w:rPr>
          <w:rFonts w:eastAsiaTheme="minorEastAsia"/>
        </w:rPr>
        <w:t xml:space="preserve"> that need to be estimated by fitting to data</w:t>
      </w:r>
      <w:r w:rsidRPr="00893A28">
        <w:t xml:space="preserve"> </w:t>
      </w:r>
      <w:r w:rsidRPr="00893A28">
        <w:rPr>
          <w:noProof/>
        </w:rPr>
        <w:t>[2]</w:t>
      </w:r>
      <w:r w:rsidRPr="00893A28">
        <w:t xml:space="preserve">. We take the </w:t>
      </w:r>
      <m:oMath>
        <m:r>
          <w:rPr>
            <w:rFonts w:ascii="Cambria Math" w:hAnsi="Cambria Math"/>
          </w:rPr>
          <m:t>k</m:t>
        </m:r>
      </m:oMath>
      <w:r w:rsidRPr="00893A28">
        <w:rPr>
          <w:rFonts w:eastAsiaTheme="minorEastAsia"/>
        </w:rPr>
        <w:t xml:space="preserve"> internal knots to be equidistant between </w:t>
      </w:r>
      <m:oMath>
        <m:r>
          <w:rPr>
            <w:rFonts w:ascii="Cambria Math" w:eastAsiaTheme="minorEastAsia" w:hAnsi="Cambria Math"/>
          </w:rPr>
          <m:t>L</m:t>
        </m:r>
      </m:oMath>
      <w:r w:rsidRPr="00893A28">
        <w:rPr>
          <w:rFonts w:eastAsiaTheme="minorEastAsia"/>
        </w:rPr>
        <w:t xml:space="preserve"> and </w:t>
      </w:r>
      <m:oMath>
        <m:r>
          <w:rPr>
            <w:rFonts w:ascii="Cambria Math" w:eastAsiaTheme="minorEastAsia" w:hAnsi="Cambria Math"/>
          </w:rPr>
          <m:t>U</m:t>
        </m:r>
      </m:oMath>
      <w:r w:rsidRPr="00893A28">
        <w:rPr>
          <w:rFonts w:eastAsiaTheme="minorEastAsia"/>
        </w:rPr>
        <w:t xml:space="preserve">, whilst </w:t>
      </w:r>
      <m:oMath>
        <m:r>
          <w:rPr>
            <w:rFonts w:ascii="Cambria Math" w:eastAsiaTheme="minorEastAsia" w:hAnsi="Cambria Math"/>
          </w:rPr>
          <m:t>k</m:t>
        </m:r>
      </m:oMath>
      <w:r w:rsidRPr="00893A28">
        <w:rPr>
          <w:rFonts w:eastAsiaTheme="minorEastAsia"/>
        </w:rPr>
        <w:t xml:space="preserve"> </w:t>
      </w:r>
      <w:r w:rsidRPr="00893A28">
        <w:t>is chosen such that fewer knots would give a model with a worse fit to the data.</w:t>
      </w:r>
    </w:p>
    <w:p w:rsidR="00DF169B" w:rsidRDefault="00DF169B" w:rsidP="00951B3E">
      <w:pPr>
        <w:spacing w:line="480" w:lineRule="auto"/>
        <w:jc w:val="both"/>
      </w:pPr>
    </w:p>
    <w:p w:rsidR="00DF169B" w:rsidRDefault="00DF169B" w:rsidP="00951B3E">
      <w:pPr>
        <w:spacing w:line="480" w:lineRule="auto"/>
        <w:jc w:val="both"/>
      </w:pPr>
    </w:p>
    <w:p w:rsidR="00DF169B" w:rsidRPr="00893A28" w:rsidRDefault="00DF169B" w:rsidP="00951B3E">
      <w:pPr>
        <w:spacing w:line="480" w:lineRule="auto"/>
        <w:jc w:val="both"/>
        <w:rPr>
          <w:i/>
        </w:rPr>
      </w:pPr>
      <w:r w:rsidRPr="00893A28">
        <w:rPr>
          <w:i/>
        </w:rPr>
        <w:t>Diagnosis because of HIV-related symptoms</w:t>
      </w:r>
    </w:p>
    <w:p w:rsidR="00DF169B" w:rsidRDefault="00DF169B" w:rsidP="00951B3E">
      <w:pPr>
        <w:pStyle w:val="PlainText"/>
        <w:spacing w:line="480" w:lineRule="auto"/>
        <w:jc w:val="both"/>
      </w:pPr>
      <w:r w:rsidRPr="00893A28">
        <w:t>In a secondary analysis, we assume that diagnosis rates are the same for the first three CD4 strata (</w:t>
      </w:r>
      <m:oMath>
        <m:sSub>
          <m:sSubPr>
            <m:ctrlPr>
              <w:rPr>
                <w:rFonts w:ascii="Cambria Math" w:hAnsi="Cambria Math"/>
                <w:i/>
              </w:rPr>
            </m:ctrlPr>
          </m:sSubPr>
          <m:e>
            <m:r>
              <w:rPr>
                <w:rFonts w:ascii="Cambria Math" w:hAnsi="Cambria Math"/>
              </w:rPr>
              <m:t>d</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(t)</m:t>
        </m:r>
      </m:oMath>
      <w:r w:rsidRPr="00893A28">
        <w:t xml:space="preserve">) and that </w:t>
      </w:r>
      <m:oMath>
        <m:sSub>
          <m:sSubPr>
            <m:ctrlPr>
              <w:rPr>
                <w:rFonts w:ascii="Cambria Math" w:hAnsi="Cambria Math"/>
                <w:i/>
              </w:rPr>
            </m:ctrlPr>
          </m:sSubPr>
          <m:e>
            <m:r>
              <w:rPr>
                <w:rFonts w:ascii="Cambria Math" w:hAnsi="Cambria Math"/>
              </w:rPr>
              <m:t>d</m:t>
            </m:r>
          </m:e>
          <m:sub>
            <m:r>
              <w:rPr>
                <w:rFonts w:ascii="Cambria Math" w:hAnsi="Cambria Math"/>
              </w:rPr>
              <m:t>4</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symp</m:t>
            </m:r>
          </m:sub>
        </m:sSub>
        <m:r>
          <w:rPr>
            <w:rFonts w:ascii="Cambria Math" w:hAnsi="Cambria Math"/>
          </w:rPr>
          <m:t>(t)</m:t>
        </m:r>
      </m:oMath>
      <w:r w:rsidRPr="00893A28">
        <w:t xml:space="preserve"> with </w:t>
      </w:r>
      <m:oMath>
        <m:sSub>
          <m:sSubPr>
            <m:ctrlPr>
              <w:rPr>
                <w:rFonts w:ascii="Cambria Math" w:hAnsi="Cambria Math"/>
                <w:i/>
              </w:rPr>
            </m:ctrlPr>
          </m:sSubPr>
          <m:e>
            <m:r>
              <w:rPr>
                <w:rFonts w:ascii="Cambria Math" w:hAnsi="Cambria Math"/>
              </w:rPr>
              <m:t>d</m:t>
            </m:r>
          </m:e>
          <m:sub>
            <m:r>
              <w:rPr>
                <w:rFonts w:ascii="Cambria Math" w:hAnsi="Cambria Math"/>
              </w:rPr>
              <m:t>symp</m:t>
            </m:r>
          </m:sub>
        </m:sSub>
        <m:r>
          <w:rPr>
            <w:rFonts w:ascii="Cambria Math" w:hAnsi="Cambria Math"/>
          </w:rPr>
          <m:t>(t)</m:t>
        </m:r>
      </m:oMath>
      <w:r w:rsidRPr="00893A28">
        <w:rPr>
          <w:rFonts w:eastAsiaTheme="minorEastAsia"/>
        </w:rPr>
        <w:t xml:space="preserve"> the rate of being diagnosed because of HIV-related symptoms</w:t>
      </w:r>
      <w:r w:rsidRPr="00893A28">
        <w:t xml:space="preserve">. The rate of developing HIV-related symptoms is approximately double the rate of AIDS, i.e. </w:t>
      </w:r>
      <m:oMath>
        <m:r>
          <w:rPr>
            <w:rFonts w:ascii="Cambria Math" w:hAnsi="Cambria Math"/>
          </w:rPr>
          <m:t>2×</m:t>
        </m:r>
        <m:sSub>
          <m:sSubPr>
            <m:ctrlPr>
              <w:rPr>
                <w:rFonts w:ascii="Cambria Math" w:hAnsi="Cambria Math"/>
                <w:i/>
              </w:rPr>
            </m:ctrlPr>
          </m:sSubPr>
          <m:e>
            <m:r>
              <w:rPr>
                <w:rFonts w:ascii="Cambria Math" w:hAnsi="Cambria Math"/>
              </w:rPr>
              <m:t>q</m:t>
            </m:r>
          </m:e>
          <m:sub>
            <m:r>
              <w:rPr>
                <w:rFonts w:ascii="Cambria Math" w:hAnsi="Cambria Math"/>
              </w:rPr>
              <m:t>4</m:t>
            </m:r>
          </m:sub>
        </m:sSub>
      </m:oMath>
      <w:r w:rsidRPr="00893A28">
        <w:t xml:space="preserve"> </w:t>
      </w:r>
      <w:r w:rsidRPr="00893A28">
        <w:rPr>
          <w:noProof/>
        </w:rPr>
        <w:t>[3-5]</w:t>
      </w:r>
      <w:r w:rsidRPr="00893A28">
        <w:t xml:space="preserve">. However, not all HIV-related symptoms are severe enough to lead to testing for HIV </w:t>
      </w:r>
      <w:r w:rsidRPr="00893A28">
        <w:rPr>
          <w:noProof/>
        </w:rPr>
        <w:t>[6,7]</w:t>
      </w:r>
      <w:r w:rsidRPr="00893A28">
        <w:t xml:space="preserve">. We therefore assume that 50% of HIV infections with symptoms are missed, such that </w:t>
      </w:r>
      <m:oMath>
        <m:sSub>
          <m:sSubPr>
            <m:ctrlPr>
              <w:rPr>
                <w:rFonts w:ascii="Cambria Math" w:hAnsi="Cambria Math"/>
                <w:i/>
              </w:rPr>
            </m:ctrlPr>
          </m:sSubPr>
          <m:e>
            <m:r>
              <w:rPr>
                <w:rFonts w:ascii="Cambria Math" w:hAnsi="Cambria Math"/>
              </w:rPr>
              <m:t>d</m:t>
            </m:r>
          </m:e>
          <m:sub>
            <m:r>
              <w:rPr>
                <w:rFonts w:ascii="Cambria Math" w:hAnsi="Cambria Math"/>
              </w:rPr>
              <m:t>symp</m:t>
            </m:r>
          </m:sub>
        </m:sSub>
        <m:r>
          <w:rPr>
            <w:rFonts w:ascii="Cambria Math" w:hAnsi="Cambria Math"/>
          </w:rPr>
          <m:t>(t)</m:t>
        </m:r>
        <m:r>
          <w:rPr>
            <w:rFonts w:ascii="Cambria Math" w:eastAsiaTheme="minorEastAsia" w:hAnsi="Cambria Math"/>
          </w:rPr>
          <m:t xml:space="preserve">=50% </m:t>
        </m:r>
        <m:r>
          <w:rPr>
            <w:rFonts w:ascii="Cambria Math" w:hAnsi="Cambria Math"/>
          </w:rPr>
          <m:t>×2×</m:t>
        </m:r>
        <m:sSub>
          <m:sSubPr>
            <m:ctrlPr>
              <w:rPr>
                <w:rFonts w:ascii="Cambria Math" w:hAnsi="Cambria Math"/>
                <w:i/>
              </w:rPr>
            </m:ctrlPr>
          </m:sSubPr>
          <m:e>
            <m:r>
              <w:rPr>
                <w:rFonts w:ascii="Cambria Math" w:hAnsi="Cambria Math"/>
              </w:rPr>
              <m:t>q</m:t>
            </m:r>
          </m:e>
          <m:sub>
            <m:r>
              <w:rPr>
                <w:rFonts w:ascii="Cambria Math" w:hAnsi="Cambria Math"/>
              </w:rPr>
              <m:t>4</m:t>
            </m:r>
          </m:sub>
        </m:sSub>
        <m:r>
          <w:rPr>
            <w:rFonts w:ascii="Cambria Math" w:eastAsiaTheme="minorEastAsia" w:hAnsi="Cambria Math"/>
          </w:rPr>
          <m:t>≈</m:t>
        </m:r>
      </m:oMath>
      <w:r w:rsidRPr="00893A28">
        <w:rPr>
          <w:rFonts w:eastAsiaTheme="minorEastAsia"/>
        </w:rPr>
        <w:t xml:space="preserve"> 0.4 per year, which is approximately 50% of the rate of HIV-related symptoms (</w:t>
      </w:r>
      <w:proofErr w:type="spellStart"/>
      <w:r w:rsidR="00E36400">
        <w:rPr>
          <w:rFonts w:eastAsiaTheme="minorEastAsia"/>
        </w:rPr>
        <w:t>e</w:t>
      </w:r>
      <w:r w:rsidRPr="00893A28">
        <w:rPr>
          <w:rFonts w:eastAsiaTheme="minorEastAsia"/>
        </w:rPr>
        <w:t>Table</w:t>
      </w:r>
      <w:proofErr w:type="spellEnd"/>
      <w:r w:rsidRPr="00893A28">
        <w:rPr>
          <w:rFonts w:eastAsiaTheme="minorEastAsia"/>
        </w:rPr>
        <w:t xml:space="preserve"> 1).</w:t>
      </w:r>
    </w:p>
    <w:p w:rsidR="00DF169B" w:rsidRDefault="00DF169B" w:rsidP="000261F8">
      <w:pPr>
        <w:spacing w:line="480" w:lineRule="auto"/>
        <w:jc w:val="both"/>
      </w:pPr>
    </w:p>
    <w:p w:rsidR="00DF169B" w:rsidRDefault="00DF169B" w:rsidP="000261F8">
      <w:pPr>
        <w:spacing w:line="480" w:lineRule="auto"/>
        <w:jc w:val="both"/>
      </w:pPr>
    </w:p>
    <w:p w:rsidR="00DF169B" w:rsidRPr="00B2705B" w:rsidRDefault="00DF169B" w:rsidP="000261F8">
      <w:pPr>
        <w:spacing w:line="480" w:lineRule="auto"/>
        <w:jc w:val="both"/>
        <w:rPr>
          <w:i/>
        </w:rPr>
      </w:pPr>
      <w:r w:rsidRPr="00B2705B">
        <w:rPr>
          <w:i/>
        </w:rPr>
        <w:t>Fitting procedure</w:t>
      </w:r>
    </w:p>
    <w:p w:rsidR="00DF169B" w:rsidRDefault="00DF169B" w:rsidP="000261F8">
      <w:pPr>
        <w:spacing w:line="480" w:lineRule="auto"/>
        <w:jc w:val="both"/>
      </w:pPr>
      <w:r>
        <w:t xml:space="preserve">As described in the main text, the model needs to estimate 16 parameters relating to the probability of HIV diagnosis and </w:t>
      </w:r>
      <m:oMath>
        <m:r>
          <w:rPr>
            <w:rFonts w:ascii="Cambria Math" w:hAnsi="Cambria Math"/>
          </w:rPr>
          <m:t>k+4</m:t>
        </m:r>
      </m:oMath>
      <w:r>
        <w:t xml:space="preserve"> parameters </w:t>
      </w:r>
      <m:oMath>
        <m:sSub>
          <m:sSubPr>
            <m:ctrlPr>
              <w:rPr>
                <w:rFonts w:ascii="Cambria Math" w:hAnsi="Cambria Math"/>
                <w:i/>
              </w:rPr>
            </m:ctrlPr>
          </m:sSubPr>
          <m:e>
            <m:r>
              <w:rPr>
                <w:rFonts w:ascii="Cambria Math" w:hAnsi="Cambria Math"/>
              </w:rPr>
              <m:t>ϑ</m:t>
            </m:r>
          </m:e>
          <m:sub>
            <m:r>
              <w:rPr>
                <w:rFonts w:ascii="Cambria Math" w:hAnsi="Cambria Math"/>
              </w:rPr>
              <m:t>i</m:t>
            </m:r>
          </m:sub>
        </m:sSub>
        <m:r>
          <w:rPr>
            <w:rFonts w:ascii="Cambria Math" w:hAnsi="Cambria Math"/>
          </w:rPr>
          <m:t xml:space="preserve"> (i=1,…,k+4)</m:t>
        </m:r>
      </m:oMath>
      <w:r>
        <w:t xml:space="preserve"> associated with the incidence curve, which is modelled as a superposition of </w:t>
      </w:r>
      <m:oMath>
        <m:r>
          <w:rPr>
            <w:rFonts w:ascii="Cambria Math" w:hAnsi="Cambria Math"/>
          </w:rPr>
          <m:t>k+4</m:t>
        </m:r>
      </m:oMath>
      <w:r>
        <w:rPr>
          <w:rFonts w:eastAsiaTheme="minorEastAsia"/>
        </w:rPr>
        <w:t xml:space="preserve"> </w:t>
      </w:r>
      <w:r>
        <w:t xml:space="preserve">cubic M-splines, where </w:t>
      </w:r>
      <m:oMath>
        <m:r>
          <w:rPr>
            <w:rFonts w:ascii="Cambria Math" w:hAnsi="Cambria Math"/>
          </w:rPr>
          <m:t>k</m:t>
        </m:r>
      </m:oMath>
      <w:r>
        <w:rPr>
          <w:rFonts w:eastAsiaTheme="minorEastAsia"/>
        </w:rPr>
        <w:t xml:space="preserve"> is the number of internal knots</w:t>
      </w:r>
      <w:r>
        <w:t>. Maximum likelihood methods are used to find the set of parameters that best fit the observed data</w:t>
      </w:r>
      <w:r w:rsidRPr="00140121">
        <w:t xml:space="preserve">. To define the likelihood, we assume that </w:t>
      </w:r>
      <w:r w:rsidRPr="005156B8">
        <w:t>all data items</w:t>
      </w:r>
      <w:r>
        <w:t xml:space="preserve"> a</w:t>
      </w:r>
      <w:r w:rsidRPr="00140121">
        <w:t xml:space="preserve">re </w:t>
      </w:r>
      <w:r w:rsidRPr="00140121">
        <w:rPr>
          <w:rFonts w:eastAsia="Times New Roman"/>
          <w:lang w:eastAsia="en-GB"/>
        </w:rPr>
        <w:t>distributed according to a negative binomial distribution around a mean defined by the mode</w:t>
      </w:r>
      <w:r w:rsidRPr="00140121">
        <w:t>l</w:t>
      </w:r>
      <w:r>
        <w:t xml:space="preserve"> and a dispersion parameter </w:t>
      </w:r>
      <m:oMath>
        <m:r>
          <w:rPr>
            <w:rFonts w:ascii="Cambria Math" w:hAnsi="Cambria Math"/>
          </w:rPr>
          <m:t>r</m:t>
        </m:r>
      </m:oMath>
      <w:r>
        <w:rPr>
          <w:rFonts w:eastAsiaTheme="minorEastAsia"/>
        </w:rPr>
        <w:t xml:space="preserve"> which is initially set at a value of 1000</w:t>
      </w:r>
      <w:r w:rsidRPr="00140121">
        <w:t xml:space="preserve">. For convenience, instead of maximising the likelihood, we minimise the equivalent deviance measure. </w:t>
      </w:r>
      <w:r>
        <w:t xml:space="preserve">A </w:t>
      </w:r>
      <w:r w:rsidRPr="00140121">
        <w:t xml:space="preserve">downhill simplex optimisation algorithm </w:t>
      </w:r>
      <w:r>
        <w:t xml:space="preserve">is used </w:t>
      </w:r>
      <w:r w:rsidRPr="00140121">
        <w:t>to fin</w:t>
      </w:r>
      <w:r w:rsidRPr="005D44F1">
        <w:t>d the minimum</w:t>
      </w:r>
      <w:r>
        <w:t xml:space="preserve"> value</w:t>
      </w:r>
      <w:r w:rsidRPr="005D44F1">
        <w:t xml:space="preserve">. The algorithm </w:t>
      </w:r>
      <w:r>
        <w:t>i</w:t>
      </w:r>
      <w:r w:rsidRPr="005D44F1">
        <w:t>s started from various starting values to</w:t>
      </w:r>
      <w:r>
        <w:t xml:space="preserve"> ensure that the optimisation i</w:t>
      </w:r>
      <w:r w:rsidRPr="005D44F1">
        <w:t>s</w:t>
      </w:r>
      <w:r>
        <w:t xml:space="preserve"> robust and that local optima a</w:t>
      </w:r>
      <w:r w:rsidRPr="005D44F1">
        <w:t>re avoided.</w:t>
      </w:r>
    </w:p>
    <w:p w:rsidR="00DF169B" w:rsidRDefault="00DF169B" w:rsidP="000261F8">
      <w:pPr>
        <w:spacing w:line="480" w:lineRule="auto"/>
        <w:jc w:val="both"/>
      </w:pPr>
    </w:p>
    <w:p w:rsidR="00DF169B" w:rsidRDefault="00DF169B" w:rsidP="000261F8">
      <w:pPr>
        <w:spacing w:line="480" w:lineRule="auto"/>
        <w:jc w:val="both"/>
        <w:rPr>
          <w:rFonts w:eastAsiaTheme="minorEastAsia"/>
        </w:rPr>
      </w:pPr>
      <w:r>
        <w:t xml:space="preserve">In the first step of the fitting procedure, all parameters are estimated except for </w:t>
      </w:r>
      <m:oMath>
        <m:sSub>
          <m:sSubPr>
            <m:ctrlPr>
              <w:rPr>
                <w:rFonts w:ascii="Cambria Math" w:hAnsi="Cambria Math"/>
                <w:i/>
              </w:rPr>
            </m:ctrlPr>
          </m:sSubPr>
          <m:e>
            <m:r>
              <w:rPr>
                <w:rFonts w:ascii="Cambria Math" w:hAnsi="Cambria Math"/>
              </w:rPr>
              <m:t>ϑ</m:t>
            </m:r>
          </m:e>
          <m:sub>
            <m:r>
              <w:rPr>
                <w:rFonts w:ascii="Cambria Math" w:hAnsi="Cambria Math"/>
              </w:rPr>
              <m:t>1</m:t>
            </m:r>
          </m:sub>
        </m:sSub>
      </m:oMath>
      <w:r>
        <w:rPr>
          <w:rFonts w:eastAsiaTheme="minorEastAsia"/>
        </w:rPr>
        <w:t xml:space="preserve"> which is fixed to 0 in order to ensure </w:t>
      </w:r>
      <w:r>
        <w:t xml:space="preserve">that the incidence curve starts at zero. To improve the robustness and convergence of the fitting procedure, any </w:t>
      </w:r>
      <m:oMath>
        <m:sSub>
          <m:sSubPr>
            <m:ctrlPr>
              <w:rPr>
                <w:rFonts w:ascii="Cambria Math" w:hAnsi="Cambria Math"/>
                <w:i/>
              </w:rPr>
            </m:ctrlPr>
          </m:sSubPr>
          <m:e>
            <m:r>
              <w:rPr>
                <w:rFonts w:ascii="Cambria Math" w:hAnsi="Cambria Math"/>
              </w:rPr>
              <m:t>ϑ</m:t>
            </m:r>
          </m:e>
          <m:sub>
            <m:r>
              <w:rPr>
                <w:rFonts w:ascii="Cambria Math" w:hAnsi="Cambria Math"/>
              </w:rPr>
              <m:t>i</m:t>
            </m:r>
          </m:sub>
        </m:sSub>
        <m:r>
          <w:rPr>
            <w:rFonts w:ascii="Cambria Math" w:hAnsi="Cambria Math"/>
          </w:rPr>
          <m:t xml:space="preserve"> (i=2,…,k+3)</m:t>
        </m:r>
      </m:oMath>
      <w:r>
        <w:rPr>
          <w:rFonts w:eastAsiaTheme="minorEastAsia"/>
        </w:rPr>
        <w:t xml:space="preserve"> whose estimated value is either less than 1 or less than a fraction </w:t>
      </w:r>
      <m:oMath>
        <m:r>
          <w:rPr>
            <w:rFonts w:ascii="Cambria Math" w:eastAsiaTheme="minorEastAsia" w:hAnsi="Cambria Math"/>
          </w:rPr>
          <m:t>f</m:t>
        </m:r>
      </m:oMath>
      <w:r>
        <w:rPr>
          <w:rFonts w:eastAsiaTheme="minorEastAsia"/>
        </w:rPr>
        <w:t xml:space="preserve"> (chosen to be </w:t>
      </w:r>
      <w:r w:rsidRPr="007C69CA">
        <w:rPr>
          <w:rFonts w:eastAsiaTheme="minorEastAsia"/>
        </w:rPr>
        <w:t>5%</w:t>
      </w:r>
      <w:r>
        <w:rPr>
          <w:rFonts w:eastAsiaTheme="minorEastAsia"/>
        </w:rPr>
        <w:t xml:space="preserve">) of the estimated value for </w:t>
      </w:r>
      <m:oMath>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i+1</m:t>
            </m:r>
          </m:sub>
        </m:sSub>
      </m:oMath>
      <w:r>
        <w:rPr>
          <w:rFonts w:eastAsiaTheme="minorEastAsia"/>
        </w:rPr>
        <w:t xml:space="preserve"> is fixed at zero. All parameters are then re-estimated and this procedure is repeated until no more </w:t>
      </w:r>
      <m:oMath>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i</m:t>
            </m:r>
          </m:sub>
        </m:sSub>
      </m:oMath>
      <w:r>
        <w:rPr>
          <w:rFonts w:eastAsiaTheme="minorEastAsia"/>
        </w:rPr>
        <w:t xml:space="preserve"> fulfil these criteria. Note that the coefficient associated with the </w:t>
      </w:r>
      <m:oMath>
        <m:r>
          <w:rPr>
            <w:rFonts w:ascii="Cambria Math" w:hAnsi="Cambria Math"/>
          </w:rPr>
          <m:t xml:space="preserve">k+4 </m:t>
        </m:r>
      </m:oMath>
      <w:r w:rsidRPr="00952D2B">
        <w:rPr>
          <w:rFonts w:eastAsiaTheme="minorEastAsia"/>
        </w:rPr>
        <w:t>-th</w:t>
      </w:r>
      <w:r>
        <w:rPr>
          <w:rFonts w:eastAsiaTheme="minorEastAsia"/>
        </w:rPr>
        <w:t xml:space="preserve"> spline is allowed to be smaller than 1, because fixing it at zero would force the incidence to be zero.</w:t>
      </w:r>
    </w:p>
    <w:p w:rsidR="00DF169B" w:rsidRDefault="00DF169B" w:rsidP="000261F8">
      <w:pPr>
        <w:spacing w:line="480" w:lineRule="auto"/>
        <w:jc w:val="both"/>
        <w:rPr>
          <w:rFonts w:eastAsiaTheme="minorEastAsia"/>
        </w:rPr>
      </w:pPr>
    </w:p>
    <w:p w:rsidR="00DF169B" w:rsidRDefault="00DF169B" w:rsidP="000261F8">
      <w:pPr>
        <w:spacing w:line="480" w:lineRule="auto"/>
        <w:jc w:val="both"/>
        <w:rPr>
          <w:rFonts w:eastAsiaTheme="minorEastAsia"/>
        </w:rPr>
      </w:pPr>
      <w:r>
        <w:rPr>
          <w:rFonts w:eastAsiaTheme="minorEastAsia"/>
        </w:rPr>
        <w:t xml:space="preserve">In the second step, a new approximate value for the dispersion parameter is obtained by requiring that Pearson’s </w:t>
      </w:r>
      <m:oMath>
        <m:sSup>
          <m:sSupPr>
            <m:ctrlPr>
              <w:rPr>
                <w:rFonts w:ascii="Cambria Math" w:eastAsiaTheme="minorEastAsia" w:hAnsi="Cambria Math"/>
                <w:i/>
              </w:rPr>
            </m:ctrlPr>
          </m:sSupPr>
          <m:e>
            <m:r>
              <w:rPr>
                <w:rFonts w:ascii="Cambria Math" w:eastAsiaTheme="minorEastAsia" w:hAnsi="Cambria Math"/>
              </w:rPr>
              <m:t>χ</m:t>
            </m:r>
          </m:e>
          <m:sup>
            <m:r>
              <w:rPr>
                <w:rFonts w:ascii="Cambria Math" w:eastAsiaTheme="minorEastAsia" w:hAnsi="Cambria Math"/>
              </w:rPr>
              <m:t>2</m:t>
            </m:r>
          </m:sup>
        </m:sSup>
      </m:oMath>
      <w:r>
        <w:rPr>
          <w:rFonts w:eastAsiaTheme="minorEastAsia"/>
        </w:rPr>
        <w:t xml:space="preserve"> statistic equals </w:t>
      </w:r>
      <m:oMath>
        <m:r>
          <w:rPr>
            <w:rFonts w:ascii="Cambria Math" w:eastAsiaTheme="minorEastAsia" w:hAnsi="Cambria Math"/>
          </w:rPr>
          <m:t>n-p</m:t>
        </m:r>
      </m:oMath>
      <w:r>
        <w:rPr>
          <w:rFonts w:eastAsiaTheme="minorEastAsia"/>
        </w:rPr>
        <w:t xml:space="preserve"> with </w:t>
      </w:r>
      <m:oMath>
        <m:r>
          <w:rPr>
            <w:rFonts w:ascii="Cambria Math" w:eastAsiaTheme="minorEastAsia" w:hAnsi="Cambria Math"/>
          </w:rPr>
          <m:t>n</m:t>
        </m:r>
      </m:oMath>
      <w:r>
        <w:rPr>
          <w:rFonts w:eastAsiaTheme="minorEastAsia"/>
        </w:rPr>
        <w:t xml:space="preserve"> the number of data points used in the fit and </w:t>
      </w:r>
      <m:oMath>
        <m:r>
          <w:rPr>
            <w:rFonts w:ascii="Cambria Math" w:eastAsiaTheme="minorEastAsia" w:hAnsi="Cambria Math"/>
          </w:rPr>
          <m:t>p</m:t>
        </m:r>
      </m:oMath>
      <w:r>
        <w:rPr>
          <w:rFonts w:eastAsiaTheme="minorEastAsia"/>
        </w:rPr>
        <w:t xml:space="preserve"> the number of estimated parameters </w:t>
      </w:r>
      <w:r>
        <w:rPr>
          <w:rFonts w:eastAsiaTheme="minorEastAsia"/>
          <w:noProof/>
        </w:rPr>
        <w:t>[8]</w:t>
      </w:r>
      <w:r>
        <w:rPr>
          <w:rFonts w:eastAsiaTheme="minorEastAsia"/>
        </w:rPr>
        <w:t xml:space="preserve">. Using this updated dispersion parameter </w:t>
      </w:r>
      <m:oMath>
        <m:r>
          <w:rPr>
            <w:rFonts w:ascii="Cambria Math" w:eastAsiaTheme="minorEastAsia" w:hAnsi="Cambria Math"/>
          </w:rPr>
          <m:t>r</m:t>
        </m:r>
      </m:oMath>
      <w:r>
        <w:rPr>
          <w:rFonts w:eastAsiaTheme="minorEastAsia"/>
        </w:rPr>
        <w:t xml:space="preserve"> the set of parameters is re-estimated. This procedure is repeated until the dispersion parameter does not notably change anymore, which is the case after four times.</w:t>
      </w:r>
    </w:p>
    <w:p w:rsidR="00DF169B" w:rsidRDefault="00DF169B" w:rsidP="000261F8">
      <w:pPr>
        <w:spacing w:line="480" w:lineRule="auto"/>
        <w:jc w:val="both"/>
        <w:rPr>
          <w:rFonts w:eastAsiaTheme="minorEastAsia"/>
        </w:rPr>
      </w:pPr>
    </w:p>
    <w:p w:rsidR="00DF169B" w:rsidRDefault="00DF169B" w:rsidP="000261F8">
      <w:pPr>
        <w:spacing w:line="480" w:lineRule="auto"/>
        <w:jc w:val="both"/>
        <w:rPr>
          <w:rFonts w:eastAsiaTheme="minorEastAsia"/>
        </w:rPr>
      </w:pPr>
    </w:p>
    <w:p w:rsidR="00DF169B" w:rsidRPr="00155353" w:rsidRDefault="00DF169B" w:rsidP="000261F8">
      <w:pPr>
        <w:spacing w:line="480" w:lineRule="auto"/>
        <w:jc w:val="both"/>
        <w:rPr>
          <w:rFonts w:eastAsiaTheme="minorEastAsia"/>
          <w:i/>
        </w:rPr>
      </w:pPr>
      <w:r w:rsidRPr="00155353">
        <w:rPr>
          <w:rFonts w:eastAsiaTheme="minorEastAsia"/>
          <w:i/>
        </w:rPr>
        <w:t>Confidence intervals</w:t>
      </w:r>
    </w:p>
    <w:p w:rsidR="00DF169B" w:rsidRDefault="00DF169B" w:rsidP="000261F8">
      <w:pPr>
        <w:spacing w:line="480" w:lineRule="auto"/>
        <w:jc w:val="both"/>
      </w:pPr>
      <w:r>
        <w:lastRenderedPageBreak/>
        <w:t xml:space="preserve">We estimated </w:t>
      </w:r>
      <w:proofErr w:type="spellStart"/>
      <w:r w:rsidRPr="007C69CA">
        <w:t>pointwise</w:t>
      </w:r>
      <w:proofErr w:type="spellEnd"/>
      <w:r>
        <w:t xml:space="preserve"> 95% confidence intervals </w:t>
      </w:r>
      <w:r w:rsidRPr="007C69CA">
        <w:rPr>
          <w:rFonts w:cs="Arial"/>
        </w:rPr>
        <w:t>for</w:t>
      </w:r>
      <w:r w:rsidRPr="002B289D">
        <w:rPr>
          <w:rFonts w:cs="Arial"/>
        </w:rPr>
        <w:t xml:space="preserve"> parameters and other</w:t>
      </w:r>
      <w:r>
        <w:rPr>
          <w:rFonts w:cs="Arial"/>
        </w:rPr>
        <w:t xml:space="preserve"> </w:t>
      </w:r>
      <w:r w:rsidRPr="007C69CA">
        <w:rPr>
          <w:rFonts w:cs="Arial"/>
        </w:rPr>
        <w:t>derived quantities</w:t>
      </w:r>
      <w:r>
        <w:rPr>
          <w:rFonts w:cs="Arial"/>
        </w:rPr>
        <w:t xml:space="preserve"> </w:t>
      </w:r>
      <w:r w:rsidRPr="002B289D">
        <w:rPr>
          <w:rFonts w:cs="Arial"/>
        </w:rPr>
        <w:t>via a bootstrap procedure</w:t>
      </w:r>
      <w:r>
        <w:rPr>
          <w:rFonts w:cs="Arial"/>
        </w:rPr>
        <w:t xml:space="preserve"> </w:t>
      </w:r>
      <w:r>
        <w:rPr>
          <w:rFonts w:cs="Arial"/>
          <w:noProof/>
        </w:rPr>
        <w:t>[9]</w:t>
      </w:r>
      <w:r w:rsidRPr="002B289D">
        <w:rPr>
          <w:rFonts w:cs="Arial"/>
        </w:rPr>
        <w:t xml:space="preserve">. In brief, assuming that the data are </w:t>
      </w:r>
      <w:r>
        <w:rPr>
          <w:rFonts w:cs="Arial"/>
        </w:rPr>
        <w:t xml:space="preserve">distributed according to a negative binomial with </w:t>
      </w:r>
      <w:r w:rsidRPr="002B289D">
        <w:rPr>
          <w:rFonts w:cs="Arial"/>
        </w:rPr>
        <w:t>a mean defined by the model, we generate</w:t>
      </w:r>
      <w:r>
        <w:rPr>
          <w:rFonts w:cs="Arial"/>
        </w:rPr>
        <w:t>d</w:t>
      </w:r>
      <w:r w:rsidRPr="002B289D">
        <w:rPr>
          <w:rFonts w:cs="Arial"/>
        </w:rPr>
        <w:t xml:space="preserve"> a new dataset by sampling from this distribution for every year for each of the </w:t>
      </w:r>
      <w:r>
        <w:rPr>
          <w:rFonts w:cs="Arial"/>
        </w:rPr>
        <w:t>relevant data items. The model wa</w:t>
      </w:r>
      <w:r w:rsidRPr="002B289D">
        <w:rPr>
          <w:rFonts w:cs="Arial"/>
        </w:rPr>
        <w:t>s then refitted to this new dataset</w:t>
      </w:r>
      <w:r>
        <w:rPr>
          <w:rFonts w:cs="Arial"/>
        </w:rPr>
        <w:t xml:space="preserve"> starting from the parameter values found in the main fit</w:t>
      </w:r>
      <w:r w:rsidRPr="002B289D">
        <w:rPr>
          <w:rFonts w:cs="Arial"/>
        </w:rPr>
        <w:t>.</w:t>
      </w:r>
      <w:r w:rsidRPr="002B289D">
        <w:t xml:space="preserve"> This sampling and refitting procedure </w:t>
      </w:r>
      <w:r>
        <w:t>wa</w:t>
      </w:r>
      <w:r w:rsidRPr="002B289D">
        <w:t xml:space="preserve">s repeated 200 times. From these 200 fits, 95% confidence intervals around the main model fit </w:t>
      </w:r>
      <w:r>
        <w:t>we</w:t>
      </w:r>
      <w:r w:rsidRPr="002B289D">
        <w:t>re then determined as the 2.</w:t>
      </w:r>
      <w:r>
        <w:t>5</w:t>
      </w:r>
      <w:r w:rsidRPr="009865F4">
        <w:t>th</w:t>
      </w:r>
      <w:r>
        <w:t xml:space="preserve"> </w:t>
      </w:r>
      <w:r w:rsidRPr="002B289D">
        <w:t>and 97.</w:t>
      </w:r>
      <w:r>
        <w:t>5</w:t>
      </w:r>
      <w:r w:rsidRPr="009865F4">
        <w:t>th</w:t>
      </w:r>
      <w:r>
        <w:t xml:space="preserve"> </w:t>
      </w:r>
      <w:r w:rsidRPr="002B289D">
        <w:t>percentile.</w:t>
      </w:r>
    </w:p>
    <w:p w:rsidR="00DF169B" w:rsidRDefault="00DF169B" w:rsidP="000261F8">
      <w:pPr>
        <w:spacing w:line="480" w:lineRule="auto"/>
        <w:jc w:val="both"/>
        <w:rPr>
          <w:rFonts w:eastAsiaTheme="minorEastAsia"/>
        </w:rPr>
      </w:pPr>
    </w:p>
    <w:p w:rsidR="00DF169B" w:rsidRDefault="00DF169B" w:rsidP="000261F8">
      <w:pPr>
        <w:spacing w:line="480" w:lineRule="auto"/>
        <w:jc w:val="both"/>
        <w:rPr>
          <w:rFonts w:eastAsiaTheme="minorEastAsia"/>
        </w:rPr>
      </w:pPr>
    </w:p>
    <w:p w:rsidR="00DF169B" w:rsidRPr="00702DA3" w:rsidRDefault="00DF169B" w:rsidP="000261F8">
      <w:pPr>
        <w:spacing w:line="480" w:lineRule="auto"/>
        <w:jc w:val="both"/>
        <w:rPr>
          <w:rFonts w:eastAsiaTheme="minorEastAsia"/>
          <w:i/>
        </w:rPr>
      </w:pPr>
      <w:r w:rsidRPr="00702DA3">
        <w:rPr>
          <w:rFonts w:eastAsiaTheme="minorEastAsia"/>
          <w:i/>
        </w:rPr>
        <w:t>Simulated data</w:t>
      </w:r>
    </w:p>
    <w:p w:rsidR="00DF169B" w:rsidRDefault="00DF169B" w:rsidP="000261F8">
      <w:pPr>
        <w:spacing w:line="480" w:lineRule="auto"/>
        <w:jc w:val="both"/>
      </w:pPr>
      <w:r>
        <w:rPr>
          <w:rFonts w:cs="Arial"/>
        </w:rPr>
        <w:t xml:space="preserve">Our approach was tested on three data sets of hypothetical patients generated by the HIV Synthesis progression model </w:t>
      </w:r>
      <w:r>
        <w:rPr>
          <w:rFonts w:cs="Arial"/>
          <w:noProof/>
        </w:rPr>
        <w:t>[10,11]</w:t>
      </w:r>
      <w:r>
        <w:rPr>
          <w:rFonts w:cs="Arial"/>
        </w:rPr>
        <w:t xml:space="preserve">. These hypothetical patients represented HIV epidemics for different risk groups in a typical European country generated with different pairs of incidence and diagnosis rate curves. For each diagnosed patient, the CD4 count at diagnosis was known, as well as the date of AIDS diagnosis, death, and date of emigration or loss to follow-up. Our model was </w:t>
      </w:r>
      <w:r w:rsidRPr="007C69CA">
        <w:rPr>
          <w:rFonts w:cs="Arial"/>
        </w:rPr>
        <w:t>tested</w:t>
      </w:r>
      <w:r>
        <w:rPr>
          <w:rFonts w:cs="Arial"/>
        </w:rPr>
        <w:t xml:space="preserve"> by comparing the reconstructed HIV incidence curve with the true annual number of HIV infections that was used as an input in the simulation. Hypothetical patients who migrated before being diagnosed were not included in the true number of infections. </w:t>
      </w:r>
      <w:r w:rsidRPr="00A34EF0">
        <w:rPr>
          <w:rFonts w:eastAsia="Times New Roman"/>
          <w:lang w:eastAsia="en-GB"/>
        </w:rPr>
        <w:t>When information on CD4 counts at the time of diagnosis was not included in the model, the estimated HIV infection curve looked very similar (</w:t>
      </w:r>
      <w:proofErr w:type="spellStart"/>
      <w:r w:rsidR="00E36400">
        <w:rPr>
          <w:rFonts w:eastAsia="Times New Roman"/>
          <w:lang w:eastAsia="en-GB"/>
        </w:rPr>
        <w:t>e</w:t>
      </w:r>
      <w:r w:rsidRPr="00A34EF0">
        <w:rPr>
          <w:rFonts w:eastAsia="Times New Roman"/>
          <w:lang w:eastAsia="en-GB"/>
        </w:rPr>
        <w:t>Figure</w:t>
      </w:r>
      <w:proofErr w:type="spellEnd"/>
      <w:r w:rsidRPr="00A34EF0">
        <w:rPr>
          <w:rFonts w:eastAsia="Times New Roman"/>
          <w:lang w:eastAsia="en-GB"/>
        </w:rPr>
        <w:t xml:space="preserve"> </w:t>
      </w:r>
      <w:r>
        <w:rPr>
          <w:rFonts w:eastAsia="Times New Roman"/>
          <w:lang w:eastAsia="en-GB"/>
        </w:rPr>
        <w:t xml:space="preserve">2 and </w:t>
      </w:r>
      <w:r w:rsidRPr="00A34EF0">
        <w:rPr>
          <w:rFonts w:eastAsia="Times New Roman"/>
          <w:lang w:eastAsia="en-GB"/>
        </w:rPr>
        <w:t>3).</w:t>
      </w:r>
    </w:p>
    <w:p w:rsidR="00DF169B" w:rsidRDefault="00DF169B" w:rsidP="000261F8">
      <w:pPr>
        <w:spacing w:line="480" w:lineRule="auto"/>
        <w:jc w:val="both"/>
        <w:rPr>
          <w:rFonts w:eastAsiaTheme="minorEastAsia"/>
        </w:rPr>
      </w:pPr>
    </w:p>
    <w:p w:rsidR="00DF169B" w:rsidRDefault="00DF169B" w:rsidP="000261F8">
      <w:pPr>
        <w:spacing w:line="480" w:lineRule="auto"/>
        <w:jc w:val="both"/>
      </w:pPr>
    </w:p>
    <w:p w:rsidR="00DF169B" w:rsidRPr="00FC7BC7" w:rsidRDefault="00DF169B" w:rsidP="000261F8">
      <w:pPr>
        <w:spacing w:line="480" w:lineRule="auto"/>
        <w:jc w:val="both"/>
        <w:rPr>
          <w:i/>
        </w:rPr>
      </w:pPr>
      <w:r w:rsidRPr="00FC7BC7">
        <w:rPr>
          <w:i/>
        </w:rPr>
        <w:t>Model fits</w:t>
      </w:r>
    </w:p>
    <w:p w:rsidR="00DF169B" w:rsidRDefault="00E36400" w:rsidP="000261F8">
      <w:pPr>
        <w:spacing w:line="480" w:lineRule="auto"/>
        <w:jc w:val="both"/>
      </w:pPr>
      <w:proofErr w:type="spellStart"/>
      <w:r>
        <w:t>e</w:t>
      </w:r>
      <w:r w:rsidR="00DF169B">
        <w:t>Figures</w:t>
      </w:r>
      <w:proofErr w:type="spellEnd"/>
      <w:r w:rsidR="00DF169B">
        <w:t xml:space="preserve"> 4A and 4B show the curves that best fitted to the observed data on AIDS cases and HIV/AIDS diagnoses, as well as on annual total number of HIV diagnoses, reflecting the steep increase in annual HIV infections and shorter time to diagnosis. </w:t>
      </w:r>
      <w:proofErr w:type="spellStart"/>
      <w:r>
        <w:t>e</w:t>
      </w:r>
      <w:r w:rsidR="00DF169B">
        <w:t>Figure</w:t>
      </w:r>
      <w:proofErr w:type="spellEnd"/>
      <w:r w:rsidR="00DF169B">
        <w:t xml:space="preserve"> 5 shows the best-fitting curves to the number of new HIV diagnoses by CD4 stratum</w:t>
      </w:r>
      <w:r w:rsidR="00DF169B" w:rsidRPr="00E1489D">
        <w:t xml:space="preserve">. </w:t>
      </w:r>
      <w:r w:rsidR="00DF169B">
        <w:t xml:space="preserve">Before 1996, the proportion of patients with a CD4 count was </w:t>
      </w:r>
      <w:r w:rsidR="00DF169B" w:rsidRPr="007C69CA">
        <w:t>34%</w:t>
      </w:r>
      <w:r w:rsidR="00DF169B">
        <w:t xml:space="preserve">; this increased to over </w:t>
      </w:r>
      <w:r w:rsidR="00DF169B" w:rsidRPr="007C69CA">
        <w:t>85%</w:t>
      </w:r>
      <w:r w:rsidR="00DF169B">
        <w:t xml:space="preserve"> in recent years. </w:t>
      </w:r>
      <w:r w:rsidR="00DF169B" w:rsidRPr="00E1489D">
        <w:lastRenderedPageBreak/>
        <w:t xml:space="preserve">The proportion of </w:t>
      </w:r>
      <w:proofErr w:type="spellStart"/>
      <w:r w:rsidR="00DF169B" w:rsidRPr="00E1489D">
        <w:t>MSM</w:t>
      </w:r>
      <w:proofErr w:type="spellEnd"/>
      <w:r w:rsidR="00DF169B" w:rsidRPr="00E1489D">
        <w:t xml:space="preserve"> with </w:t>
      </w:r>
      <w:r w:rsidR="00DF169B">
        <w:t xml:space="preserve">a measured </w:t>
      </w:r>
      <w:r w:rsidR="00DF169B" w:rsidRPr="00E1489D">
        <w:t>CD4 count ≥500 cells/mm</w:t>
      </w:r>
      <w:r w:rsidR="00DF169B" w:rsidRPr="00E1489D">
        <w:rPr>
          <w:vertAlign w:val="superscript"/>
        </w:rPr>
        <w:t>3</w:t>
      </w:r>
      <w:r w:rsidR="00DF169B" w:rsidRPr="00E1489D">
        <w:t xml:space="preserve"> at the time of HIV diagnosis increased from </w:t>
      </w:r>
      <w:r w:rsidR="00DF169B" w:rsidRPr="007C69CA">
        <w:t>17%</w:t>
      </w:r>
      <w:r w:rsidR="00DF169B" w:rsidRPr="00E1489D">
        <w:t xml:space="preserve"> in 1996 to 38% in 2012.</w:t>
      </w:r>
    </w:p>
    <w:p w:rsidR="00DF169B" w:rsidRDefault="00DF169B" w:rsidP="000261F8">
      <w:pPr>
        <w:spacing w:line="480" w:lineRule="auto"/>
        <w:jc w:val="both"/>
      </w:pPr>
    </w:p>
    <w:p w:rsidR="00DF169B" w:rsidRDefault="00724B9C" w:rsidP="000261F8">
      <w:pPr>
        <w:spacing w:line="480" w:lineRule="auto"/>
        <w:jc w:val="both"/>
      </w:pPr>
      <w:proofErr w:type="spellStart"/>
      <w:r>
        <w:t>e</w:t>
      </w:r>
      <w:r w:rsidR="00DF169B" w:rsidRPr="00121116">
        <w:t>Figure</w:t>
      </w:r>
      <w:proofErr w:type="spellEnd"/>
      <w:r w:rsidR="00DF169B" w:rsidRPr="00121116">
        <w:t xml:space="preserve"> 6 shows the estimated model outcomes when diagnosis rates in the period 1984-1995 were assumed to be a linear function of calendar time instead of being constant. The estimated annual number of HIV infections (</w:t>
      </w:r>
      <w:proofErr w:type="spellStart"/>
      <w:r w:rsidR="00E36400">
        <w:t>e</w:t>
      </w:r>
      <w:r w:rsidR="00DF169B" w:rsidRPr="00121116">
        <w:t>Figure</w:t>
      </w:r>
      <w:proofErr w:type="spellEnd"/>
      <w:r w:rsidR="00DF169B" w:rsidRPr="00121116">
        <w:t xml:space="preserve"> 6A) was comparable to the main analysis, as was the cumulative number of 15,300 (95% CI, 14,800-16,000) infections by the end of 2011. As expected, the estimated average time from infection to diagnosis by year of infection was different for the period 1984-1995. </w:t>
      </w:r>
      <w:proofErr w:type="spellStart"/>
      <w:r w:rsidR="00E36400">
        <w:t>e</w:t>
      </w:r>
      <w:r w:rsidR="00DF169B" w:rsidRPr="00121116">
        <w:t>Figure</w:t>
      </w:r>
      <w:proofErr w:type="spellEnd"/>
      <w:r w:rsidR="00DF169B" w:rsidRPr="00121116">
        <w:t xml:space="preserve"> 7 shows the estimated diagnosis rates by CD4 count interval. From 1996 onwards, diagnosis rates were very similar between the two models, with the steep increase reflecting adoption of a more active HIV testing strategy after the availability of combination antiretroviral therapy </w:t>
      </w:r>
      <w:r w:rsidR="00DF169B" w:rsidRPr="00121116">
        <w:rPr>
          <w:noProof/>
        </w:rPr>
        <w:t>[12]</w:t>
      </w:r>
      <w:r w:rsidR="00DF169B" w:rsidRPr="00121116">
        <w:t>.</w:t>
      </w:r>
    </w:p>
    <w:p w:rsidR="00DF169B" w:rsidRDefault="00DF169B" w:rsidP="000261F8">
      <w:pPr>
        <w:spacing w:line="480" w:lineRule="auto"/>
        <w:jc w:val="both"/>
      </w:pPr>
    </w:p>
    <w:p w:rsidR="00DF169B" w:rsidRDefault="00DF169B" w:rsidP="00E11175">
      <w:pPr>
        <w:spacing w:line="480" w:lineRule="auto"/>
        <w:jc w:val="both"/>
        <w:rPr>
          <w:rFonts w:eastAsia="Times New Roman"/>
          <w:lang w:eastAsia="en-GB"/>
        </w:rPr>
      </w:pPr>
      <w:r w:rsidRPr="00C11B3F">
        <w:rPr>
          <w:rFonts w:eastAsia="Times New Roman"/>
          <w:lang w:eastAsia="en-GB"/>
        </w:rPr>
        <w:t xml:space="preserve">The HIV infection curve looked very similar although with wider confidence intervals in more recent calendar years when no information on CD4 counts at the time of diagnosis was used </w:t>
      </w:r>
      <w:r w:rsidRPr="00121116">
        <w:rPr>
          <w:rFonts w:eastAsia="Times New Roman"/>
          <w:lang w:eastAsia="en-GB"/>
        </w:rPr>
        <w:t>(</w:t>
      </w:r>
      <w:proofErr w:type="spellStart"/>
      <w:r w:rsidR="00724B9C">
        <w:rPr>
          <w:rFonts w:eastAsia="Times New Roman"/>
          <w:lang w:eastAsia="en-GB"/>
        </w:rPr>
        <w:t>e</w:t>
      </w:r>
      <w:r w:rsidRPr="00121116">
        <w:rPr>
          <w:rFonts w:eastAsia="Times New Roman"/>
          <w:lang w:eastAsia="en-GB"/>
        </w:rPr>
        <w:t>Figure</w:t>
      </w:r>
      <w:proofErr w:type="spellEnd"/>
      <w:r w:rsidRPr="00121116">
        <w:rPr>
          <w:rFonts w:eastAsia="Times New Roman"/>
          <w:lang w:eastAsia="en-GB"/>
        </w:rPr>
        <w:t xml:space="preserve"> 8A)</w:t>
      </w:r>
      <w:r w:rsidRPr="00C11B3F">
        <w:rPr>
          <w:rFonts w:eastAsia="Times New Roman"/>
          <w:lang w:eastAsia="en-GB"/>
        </w:rPr>
        <w:t>. The cumulative number of infec</w:t>
      </w:r>
      <w:r>
        <w:rPr>
          <w:rFonts w:eastAsia="Times New Roman"/>
          <w:lang w:eastAsia="en-GB"/>
        </w:rPr>
        <w:t>tions by the end of 2011 was 15,</w:t>
      </w:r>
      <w:r w:rsidRPr="00C11B3F">
        <w:rPr>
          <w:rFonts w:eastAsia="Times New Roman"/>
          <w:lang w:eastAsia="en-GB"/>
        </w:rPr>
        <w:t>500 (95% CI, 14</w:t>
      </w:r>
      <w:r>
        <w:rPr>
          <w:rFonts w:eastAsia="Times New Roman"/>
          <w:lang w:eastAsia="en-GB"/>
        </w:rPr>
        <w:t>,</w:t>
      </w:r>
      <w:r w:rsidRPr="00C11B3F">
        <w:rPr>
          <w:rFonts w:eastAsia="Times New Roman"/>
          <w:lang w:eastAsia="en-GB"/>
        </w:rPr>
        <w:t>700-16</w:t>
      </w:r>
      <w:r>
        <w:rPr>
          <w:rFonts w:eastAsia="Times New Roman"/>
          <w:lang w:eastAsia="en-GB"/>
        </w:rPr>
        <w:t>,</w:t>
      </w:r>
      <w:r w:rsidRPr="00C11B3F">
        <w:rPr>
          <w:rFonts w:eastAsia="Times New Roman"/>
          <w:lang w:eastAsia="en-GB"/>
        </w:rPr>
        <w:t>200), which was comparable to the model with information on CD4 counts. The estimated time to diagnosis was also similar, 2.8 (2.4-3.4) years in 2011 (</w:t>
      </w:r>
      <w:proofErr w:type="spellStart"/>
      <w:r w:rsidR="00724B9C">
        <w:rPr>
          <w:rFonts w:eastAsia="Times New Roman"/>
          <w:lang w:eastAsia="en-GB"/>
        </w:rPr>
        <w:t>e</w:t>
      </w:r>
      <w:r w:rsidRPr="00121116">
        <w:rPr>
          <w:rFonts w:eastAsia="Times New Roman"/>
          <w:lang w:eastAsia="en-GB"/>
        </w:rPr>
        <w:t>Figure</w:t>
      </w:r>
      <w:proofErr w:type="spellEnd"/>
      <w:r w:rsidRPr="00121116">
        <w:rPr>
          <w:rFonts w:eastAsia="Times New Roman"/>
          <w:lang w:eastAsia="en-GB"/>
        </w:rPr>
        <w:t xml:space="preserve"> 8B</w:t>
      </w:r>
      <w:r w:rsidRPr="00C11B3F">
        <w:rPr>
          <w:rFonts w:eastAsia="Times New Roman"/>
          <w:lang w:eastAsia="en-GB"/>
        </w:rPr>
        <w:t>).</w:t>
      </w:r>
    </w:p>
    <w:p w:rsidR="00DF169B" w:rsidRDefault="00DF169B" w:rsidP="000261F8">
      <w:pPr>
        <w:spacing w:line="480" w:lineRule="auto"/>
        <w:jc w:val="both"/>
      </w:pPr>
    </w:p>
    <w:p w:rsidR="00DF169B" w:rsidRDefault="00DF169B" w:rsidP="00BA37DD">
      <w:pPr>
        <w:spacing w:line="480" w:lineRule="auto"/>
        <w:jc w:val="both"/>
        <w:rPr>
          <w:rFonts w:eastAsiaTheme="minorEastAsia"/>
        </w:rPr>
      </w:pPr>
    </w:p>
    <w:p w:rsidR="00DF169B" w:rsidRPr="00ED61FA" w:rsidRDefault="00DF169B" w:rsidP="00BA37DD">
      <w:pPr>
        <w:spacing w:line="480" w:lineRule="auto"/>
        <w:jc w:val="both"/>
        <w:rPr>
          <w:rFonts w:eastAsiaTheme="minorEastAsia"/>
          <w:i/>
        </w:rPr>
      </w:pPr>
      <w:r>
        <w:rPr>
          <w:rFonts w:eastAsiaTheme="minorEastAsia"/>
          <w:i/>
        </w:rPr>
        <w:t>Multivariable s</w:t>
      </w:r>
      <w:r w:rsidRPr="00ED61FA">
        <w:rPr>
          <w:rFonts w:eastAsiaTheme="minorEastAsia"/>
          <w:i/>
        </w:rPr>
        <w:t>ensitivity analysis</w:t>
      </w:r>
    </w:p>
    <w:p w:rsidR="00DF169B" w:rsidRDefault="00DF169B" w:rsidP="00BA37DD">
      <w:pPr>
        <w:spacing w:line="480" w:lineRule="auto"/>
        <w:jc w:val="both"/>
      </w:pPr>
      <w:r>
        <w:t>We did a multivariable sensitivity analysis to investigate the impact of assumptions on input parameters on the model outcomes. F</w:t>
      </w:r>
      <w:r w:rsidRPr="00F0550F">
        <w:t>or each of the input parameters, a range of plausible values was identified</w:t>
      </w:r>
      <w:r>
        <w:t xml:space="preserve"> (</w:t>
      </w:r>
      <w:proofErr w:type="spellStart"/>
      <w:r w:rsidR="00E36400">
        <w:t>e</w:t>
      </w:r>
      <w:r>
        <w:t>Table</w:t>
      </w:r>
      <w:proofErr w:type="spellEnd"/>
      <w:r>
        <w:t xml:space="preserve"> 1)</w:t>
      </w:r>
      <w:r w:rsidRPr="00F0550F">
        <w:t>. Each parameter was partitioned into 250 equidistant possible values spanning its whole plausible range. The sensitivity of the model</w:t>
      </w:r>
      <w:r>
        <w:t xml:space="preserve"> to the</w:t>
      </w:r>
      <w:r w:rsidRPr="00F0550F">
        <w:t xml:space="preserve"> fixed input parameters was t</w:t>
      </w:r>
      <w:r>
        <w:t>hen evaluated by sampling from all</w:t>
      </w:r>
      <w:r w:rsidRPr="00F0550F">
        <w:t xml:space="preserve"> possible parameter values. Parameter va</w:t>
      </w:r>
      <w:r>
        <w:t>lues were sampled using Latin h</w:t>
      </w:r>
      <w:r w:rsidRPr="00F0550F">
        <w:t xml:space="preserve">ypercube </w:t>
      </w:r>
      <w:r>
        <w:t xml:space="preserve">sampling </w:t>
      </w:r>
      <w:r w:rsidRPr="00F0550F">
        <w:t>such that each possible value was sampled exactly onc</w:t>
      </w:r>
      <w:r>
        <w:t xml:space="preserve">e </w:t>
      </w:r>
      <w:r>
        <w:rPr>
          <w:noProof/>
        </w:rPr>
        <w:t>[13,14]</w:t>
      </w:r>
      <w:r w:rsidRPr="00F0550F">
        <w:t xml:space="preserve">. </w:t>
      </w:r>
      <w:r>
        <w:t>For each parameter set, we refitted the model to the data and re-estimated the un</w:t>
      </w:r>
      <w:r w:rsidRPr="00F0550F">
        <w:t>known parameters</w:t>
      </w:r>
      <w:r>
        <w:t>. I</w:t>
      </w:r>
      <w:r w:rsidRPr="00F0550F">
        <w:t>n this way we explore</w:t>
      </w:r>
      <w:r>
        <w:t>d</w:t>
      </w:r>
      <w:r w:rsidRPr="00F0550F">
        <w:t xml:space="preserve"> a wide range of input parameters, but only with the restricted set of scenarios that best fit the observed dat</w:t>
      </w:r>
      <w:r>
        <w:t xml:space="preserve">a </w:t>
      </w:r>
      <w:r>
        <w:rPr>
          <w:noProof/>
        </w:rPr>
        <w:t>[14]</w:t>
      </w:r>
      <w:r w:rsidRPr="00F0550F">
        <w:t>.</w:t>
      </w:r>
    </w:p>
    <w:p w:rsidR="00DF169B" w:rsidRPr="00F0550F" w:rsidRDefault="00DF169B" w:rsidP="00BA37DD">
      <w:pPr>
        <w:spacing w:line="480" w:lineRule="auto"/>
        <w:jc w:val="both"/>
      </w:pPr>
    </w:p>
    <w:p w:rsidR="00DF169B" w:rsidRDefault="00DF169B" w:rsidP="00BA37DD">
      <w:pPr>
        <w:spacing w:line="480" w:lineRule="auto"/>
        <w:jc w:val="both"/>
      </w:pPr>
      <w:r w:rsidRPr="005F4B93">
        <w:t>Partial rank correlation coefficients (</w:t>
      </w:r>
      <w:proofErr w:type="spellStart"/>
      <w:r w:rsidRPr="005F4B93">
        <w:t>PRCCs</w:t>
      </w:r>
      <w:proofErr w:type="spellEnd"/>
      <w:r w:rsidRPr="005F4B93">
        <w:t xml:space="preserve">) were calculated for the correlation between each input parameter and </w:t>
      </w:r>
      <w:r>
        <w:t xml:space="preserve">four model outputs: </w:t>
      </w:r>
      <w:r w:rsidRPr="005F4B93">
        <w:t>the estimated time to diagnosis</w:t>
      </w:r>
      <w:r>
        <w:t>, the cumulative number of HIV infections, and the number and proportion of undiagnosed infections</w:t>
      </w:r>
      <w:r w:rsidRPr="005F4B93">
        <w:t xml:space="preserve">. In general, </w:t>
      </w:r>
      <w:proofErr w:type="spellStart"/>
      <w:r w:rsidRPr="005F4B93">
        <w:t>PRCC</w:t>
      </w:r>
      <w:proofErr w:type="spellEnd"/>
      <w:r w:rsidRPr="005F4B93">
        <w:t xml:space="preserve"> values near 1 (or -1) indicate a strong positive (or negative) influence of the input parameter on</w:t>
      </w:r>
      <w:r>
        <w:t xml:space="preserve"> the estimated model output</w:t>
      </w:r>
      <w:r w:rsidRPr="005F4B93">
        <w:t>, whilst values near 0 indicate little influence.</w:t>
      </w:r>
    </w:p>
    <w:p w:rsidR="00DF169B" w:rsidRDefault="00DF169B" w:rsidP="000261F8">
      <w:pPr>
        <w:spacing w:line="480" w:lineRule="auto"/>
        <w:jc w:val="both"/>
      </w:pPr>
    </w:p>
    <w:p w:rsidR="00DF169B" w:rsidRDefault="00DF169B" w:rsidP="00BA37DD">
      <w:pPr>
        <w:spacing w:line="480" w:lineRule="auto"/>
        <w:jc w:val="both"/>
      </w:pPr>
      <w:r>
        <w:t xml:space="preserve">Higher disease progression rates were generally associated with a shorter estimated time to diagnosis as indicated by negative </w:t>
      </w:r>
      <w:proofErr w:type="spellStart"/>
      <w:r>
        <w:t>PRCCs</w:t>
      </w:r>
      <w:proofErr w:type="spellEnd"/>
      <w:r>
        <w:t xml:space="preserve"> (</w:t>
      </w:r>
      <w:proofErr w:type="spellStart"/>
      <w:r w:rsidR="00E36400">
        <w:t>e</w:t>
      </w:r>
      <w:r>
        <w:t>Table</w:t>
      </w:r>
      <w:proofErr w:type="spellEnd"/>
      <w:r>
        <w:t xml:space="preserve"> 2). To understand these associations it should be noted that a higher value of </w:t>
      </w:r>
      <m:oMath>
        <m:sSub>
          <m:sSubPr>
            <m:ctrlPr>
              <w:rPr>
                <w:rFonts w:ascii="Cambria Math" w:hAnsi="Cambria Math"/>
                <w:i/>
              </w:rPr>
            </m:ctrlPr>
          </m:sSubPr>
          <m:e>
            <m:r>
              <w:rPr>
                <w:rFonts w:ascii="Cambria Math" w:hAnsi="Cambria Math"/>
              </w:rPr>
              <m:t>q</m:t>
            </m:r>
          </m:e>
          <m:sub>
            <m:r>
              <w:rPr>
                <w:rFonts w:ascii="Cambria Math" w:hAnsi="Cambria Math"/>
              </w:rPr>
              <m:t>P</m:t>
            </m:r>
          </m:sub>
        </m:sSub>
      </m:oMath>
      <w:r>
        <w:t xml:space="preserve"> means a shorter duration of primary infection and hence a shorter time to diagnosis. A higher rate of progressing to the next CD4 stratum is compensated for by a higher diagnosis rate, and thus a shorter time to diagnosis, for the current CD4 stratum in order for the model to generate a certain number of HIV diagnoses that can be compared with observed data. An analogous argument explains the positive correlation between the proportion in each disease stage immediately after primary infection and the time to diagnosis. A higher proportion of patients entering a disease stage needs to be compensated by a lower diagnosis rate and hence a longer time between infection and diagnosis. Parameters related to the early stages of HIV infection had the largest influence on estimated time to diagnosis.</w:t>
      </w:r>
    </w:p>
    <w:p w:rsidR="00DF169B" w:rsidRDefault="00DF169B" w:rsidP="00BA37DD">
      <w:pPr>
        <w:spacing w:line="480" w:lineRule="auto"/>
        <w:jc w:val="both"/>
      </w:pPr>
    </w:p>
    <w:p w:rsidR="00DF169B" w:rsidRDefault="00DF169B" w:rsidP="000261F8">
      <w:pPr>
        <w:spacing w:line="480" w:lineRule="auto"/>
        <w:jc w:val="both"/>
      </w:pPr>
      <w:r>
        <w:t>Similar associations were observed between input parameters and the number of infections. Since faster disease progression is compensated for by a shorter time to diagnosis, new HIV infections will be diagnosed more rapidly. Hence, the estimated number of infections is smaller in order to generate the same number of HIV diagnoses. As a consequence, the proportion of undiagnosed infections will also be smaller.</w:t>
      </w:r>
    </w:p>
    <w:p w:rsidR="00DF169B" w:rsidRDefault="00DF169B" w:rsidP="000261F8">
      <w:pPr>
        <w:spacing w:line="480" w:lineRule="auto"/>
        <w:jc w:val="both"/>
      </w:pPr>
    </w:p>
    <w:p w:rsidR="00DF169B" w:rsidRDefault="00DF169B" w:rsidP="00153CD9">
      <w:pPr>
        <w:spacing w:line="480" w:lineRule="auto"/>
        <w:jc w:val="both"/>
      </w:pPr>
    </w:p>
    <w:p w:rsidR="00DF169B" w:rsidRPr="00121116" w:rsidRDefault="00DF169B" w:rsidP="000261F8">
      <w:pPr>
        <w:spacing w:line="480" w:lineRule="auto"/>
        <w:jc w:val="both"/>
        <w:rPr>
          <w:i/>
        </w:rPr>
      </w:pPr>
      <w:r w:rsidRPr="00121116">
        <w:rPr>
          <w:i/>
        </w:rPr>
        <w:t>Missing CD4 counts</w:t>
      </w:r>
    </w:p>
    <w:p w:rsidR="00DF169B" w:rsidRDefault="00DF169B" w:rsidP="000261F8">
      <w:pPr>
        <w:spacing w:line="480" w:lineRule="auto"/>
        <w:jc w:val="both"/>
      </w:pPr>
      <w:r w:rsidRPr="00121116">
        <w:t xml:space="preserve">In the main model we implicitly assumed that CD4 counts were missing at random such that patients without CD4 count measurement had the same CD4 distribution as those with a CD4 </w:t>
      </w:r>
      <w:r w:rsidRPr="00121116">
        <w:lastRenderedPageBreak/>
        <w:t>measurement. Simulated data were used to assess the effect of missing CD4 data by randomly or non-randomly deleting certain proportions of the observed number of HIV diagnoses per CD4 count stratum and then repeating the model fits assuming that CD4 counts were missing at random. We considered various scenarios: (i) CD4 counts missing at random for 10% to 90% of all HIV diagnoses in steps of 10%, (ii) CD4 counts missing for 10% to 90% of HIV diagnoses with CD4 count &lt;200 cells/mm</w:t>
      </w:r>
      <w:r w:rsidRPr="00121116">
        <w:rPr>
          <w:vertAlign w:val="superscript"/>
        </w:rPr>
        <w:t>3</w:t>
      </w:r>
      <w:r w:rsidRPr="00121116">
        <w:t xml:space="preserve"> (stage 4 in </w:t>
      </w:r>
      <w:proofErr w:type="spellStart"/>
      <w:r w:rsidR="00724B9C">
        <w:t>e</w:t>
      </w:r>
      <w:r w:rsidRPr="00121116">
        <w:t>Figure</w:t>
      </w:r>
      <w:proofErr w:type="spellEnd"/>
      <w:r w:rsidRPr="00121116">
        <w:t xml:space="preserve"> 1) and for smaller but equal proportions for the other three CD4 stages. For both types of scenarios, estimates of the annual number of HIV infections for all three simulated HIV epidemics were within the confidence intervals estimated in the main mode. The estimated time between infection to diagnosis by year of infection or by year of diagnosis was almost identical and well with the confidence intervals for scenario (i). However, for scenario (ii) estimates of time to diagnosis were consistently lower, up to 50% or 2 years, the higher the proportion of missing CD4 counts in stage 4 and the larger the difference between the proportions missing in stage 4 and the other three stages. This is because by (wrongly) assuming that CD4 counts were missing at random, the annual number of diagnoses with CD4 count &lt;200 cells/mm</w:t>
      </w:r>
      <w:r w:rsidRPr="00121116">
        <w:rPr>
          <w:vertAlign w:val="superscript"/>
        </w:rPr>
        <w:t>3</w:t>
      </w:r>
      <w:r w:rsidRPr="00121116">
        <w:t xml:space="preserve"> is underestimated while the number of diagnoses in the other three CD4 strata is overestimated. Thus, the time between infection and diagnosis appears to be shorter.</w:t>
      </w:r>
    </w:p>
    <w:p w:rsidR="00DF169B" w:rsidRDefault="00DF169B" w:rsidP="000261F8">
      <w:pPr>
        <w:spacing w:line="480" w:lineRule="auto"/>
        <w:jc w:val="both"/>
      </w:pPr>
      <w:r>
        <w:t xml:space="preserve"> </w:t>
      </w:r>
    </w:p>
    <w:p w:rsidR="00DF169B" w:rsidRDefault="00DF169B" w:rsidP="000261F8">
      <w:pPr>
        <w:spacing w:line="480" w:lineRule="auto"/>
        <w:jc w:val="both"/>
      </w:pPr>
    </w:p>
    <w:p w:rsidR="00DF169B" w:rsidRDefault="00DF169B" w:rsidP="000261F8">
      <w:pPr>
        <w:spacing w:line="480" w:lineRule="auto"/>
        <w:jc w:val="both"/>
        <w:sectPr w:rsidR="00DF169B" w:rsidSect="006218A4">
          <w:footerReference w:type="default" r:id="rId7"/>
          <w:pgSz w:w="11906" w:h="16838"/>
          <w:pgMar w:top="1134" w:right="1134" w:bottom="1134" w:left="1134" w:header="708" w:footer="708" w:gutter="0"/>
          <w:cols w:space="708"/>
          <w:docGrid w:linePitch="360"/>
        </w:sectPr>
      </w:pPr>
    </w:p>
    <w:p w:rsidR="00DF169B" w:rsidRDefault="00E36400" w:rsidP="000261F8">
      <w:pPr>
        <w:spacing w:line="480" w:lineRule="auto"/>
        <w:jc w:val="both"/>
        <w:rPr>
          <w:rFonts w:eastAsiaTheme="minorEastAsia" w:cs="Arial"/>
        </w:rPr>
      </w:pPr>
      <w:proofErr w:type="spellStart"/>
      <w:r>
        <w:rPr>
          <w:b/>
        </w:rPr>
        <w:lastRenderedPageBreak/>
        <w:t>e</w:t>
      </w:r>
      <w:r w:rsidR="00DF169B" w:rsidRPr="00131854">
        <w:rPr>
          <w:b/>
        </w:rPr>
        <w:t>Table</w:t>
      </w:r>
      <w:proofErr w:type="spellEnd"/>
      <w:r w:rsidR="00DF169B" w:rsidRPr="00131854">
        <w:rPr>
          <w:b/>
        </w:rPr>
        <w:t xml:space="preserve"> </w:t>
      </w:r>
      <w:r w:rsidR="00DF169B">
        <w:rPr>
          <w:b/>
        </w:rPr>
        <w:t>1</w:t>
      </w:r>
      <w:r w:rsidR="00DF169B">
        <w:t xml:space="preserve">: </w:t>
      </w:r>
      <w:r w:rsidR="00DF169B" w:rsidRPr="002B289D">
        <w:rPr>
          <w:rFonts w:cs="Arial"/>
        </w:rPr>
        <w:t xml:space="preserve">Parameters </w:t>
      </w:r>
      <w:r w:rsidR="00DF169B">
        <w:rPr>
          <w:rFonts w:cs="Arial"/>
        </w:rPr>
        <w:t>used in the mathematical model for estimating HIV incidence and diagnosis rates</w:t>
      </w:r>
      <w:r w:rsidR="00DF169B" w:rsidRPr="002B289D">
        <w:rPr>
          <w:rFonts w:cs="Arial"/>
        </w:rPr>
        <w:t>.</w:t>
      </w:r>
      <w:r w:rsidR="00DF169B">
        <w:rPr>
          <w:rFonts w:cs="Arial"/>
        </w:rPr>
        <w:t xml:space="preserve"> The range of </w:t>
      </w:r>
      <m:oMath>
        <m:sSub>
          <m:sSubPr>
            <m:ctrlPr>
              <w:rPr>
                <w:rFonts w:ascii="Cambria Math" w:hAnsi="Cambria Math" w:cs="Arial"/>
                <w:i/>
              </w:rPr>
            </m:ctrlPr>
          </m:sSubPr>
          <m:e>
            <m:r>
              <w:rPr>
                <w:rFonts w:ascii="Cambria Math" w:hAnsi="Cambria Math" w:cs="Arial"/>
              </w:rPr>
              <m:t>q</m:t>
            </m:r>
          </m:e>
          <m:sub>
            <m:r>
              <w:rPr>
                <w:rFonts w:ascii="Cambria Math" w:hAnsi="Cambria Math" w:cs="Arial"/>
              </w:rPr>
              <m:t>P</m:t>
            </m:r>
          </m:sub>
        </m:sSub>
      </m:oMath>
      <w:r w:rsidR="00DF169B">
        <w:rPr>
          <w:rFonts w:eastAsiaTheme="minorEastAsia" w:cs="Arial"/>
        </w:rPr>
        <w:t xml:space="preserve"> was the reported 95% confidence interval. For the other rates </w:t>
      </w:r>
      <m:oMath>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i</m:t>
            </m:r>
          </m:sub>
        </m:sSub>
        <m:r>
          <w:rPr>
            <w:rFonts w:ascii="Cambria Math" w:eastAsiaTheme="minorEastAsia" w:hAnsi="Cambria Math" w:cs="Arial"/>
          </w:rPr>
          <m:t xml:space="preserve"> (i=1,…,5)</m:t>
        </m:r>
      </m:oMath>
      <w:r w:rsidR="00DF169B">
        <w:rPr>
          <w:rFonts w:eastAsiaTheme="minorEastAsia" w:cs="Arial"/>
        </w:rPr>
        <w:t xml:space="preserve"> the range was chosen to be 0.8 to 1.2 times the main value. </w:t>
      </w:r>
      <w:r w:rsidR="00DF169B">
        <w:rPr>
          <w:rFonts w:cs="Arial"/>
        </w:rPr>
        <w:t xml:space="preserve">Years are continuous variables with whole years representing 1 January-31 December. </w:t>
      </w:r>
      <w:r w:rsidR="00DF169B">
        <w:rPr>
          <w:rFonts w:eastAsiaTheme="minorEastAsia" w:cs="Arial"/>
        </w:rPr>
        <w:t>In the sensitivity analyses, new values were sampled within the given ranges using Latin hypercube sampling. Rates are per year.</w:t>
      </w:r>
    </w:p>
    <w:p w:rsidR="00DF169B" w:rsidRPr="002B289D" w:rsidRDefault="00DF169B" w:rsidP="000261F8">
      <w:pPr>
        <w:spacing w:line="480" w:lineRule="auto"/>
        <w:jc w:val="both"/>
        <w:rPr>
          <w:rFonts w:cs="Arial"/>
        </w:rPr>
      </w:pPr>
    </w:p>
    <w:tbl>
      <w:tblPr>
        <w:tblStyle w:val="TableGrid"/>
        <w:tblW w:w="0" w:type="auto"/>
        <w:tblInd w:w="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9"/>
        <w:gridCol w:w="1020"/>
        <w:gridCol w:w="1701"/>
        <w:gridCol w:w="2268"/>
        <w:gridCol w:w="1666"/>
      </w:tblGrid>
      <w:tr w:rsidR="00DF169B" w:rsidRPr="002B289D" w:rsidTr="000C495F">
        <w:tc>
          <w:tcPr>
            <w:tcW w:w="3039" w:type="dxa"/>
            <w:tcBorders>
              <w:top w:val="single" w:sz="4" w:space="0" w:color="auto"/>
              <w:bottom w:val="single" w:sz="4" w:space="0" w:color="auto"/>
            </w:tcBorders>
            <w:tcMar>
              <w:left w:w="28" w:type="dxa"/>
            </w:tcMar>
          </w:tcPr>
          <w:p w:rsidR="00DF169B" w:rsidRPr="002B289D" w:rsidRDefault="00DF169B" w:rsidP="000261F8">
            <w:pPr>
              <w:spacing w:line="480" w:lineRule="auto"/>
              <w:jc w:val="both"/>
              <w:rPr>
                <w:rFonts w:cs="Arial"/>
              </w:rPr>
            </w:pPr>
            <w:r>
              <w:rPr>
                <w:rFonts w:cs="Arial"/>
              </w:rPr>
              <w:t>Description</w:t>
            </w:r>
          </w:p>
        </w:tc>
        <w:tc>
          <w:tcPr>
            <w:tcW w:w="1020" w:type="dxa"/>
            <w:tcBorders>
              <w:top w:val="single" w:sz="4" w:space="0" w:color="auto"/>
              <w:bottom w:val="single" w:sz="4" w:space="0" w:color="auto"/>
            </w:tcBorders>
            <w:tcMar>
              <w:left w:w="28" w:type="dxa"/>
              <w:right w:w="28" w:type="dxa"/>
            </w:tcMar>
          </w:tcPr>
          <w:p w:rsidR="00DF169B" w:rsidRPr="002B289D" w:rsidRDefault="00DF169B" w:rsidP="000261F8">
            <w:pPr>
              <w:spacing w:line="480" w:lineRule="auto"/>
              <w:jc w:val="both"/>
              <w:rPr>
                <w:rFonts w:cs="Arial"/>
              </w:rPr>
            </w:pPr>
            <w:r>
              <w:rPr>
                <w:rFonts w:cs="Arial"/>
              </w:rPr>
              <w:t>Symbol</w:t>
            </w:r>
          </w:p>
        </w:tc>
        <w:tc>
          <w:tcPr>
            <w:tcW w:w="1701" w:type="dxa"/>
            <w:tcBorders>
              <w:top w:val="single" w:sz="4" w:space="0" w:color="auto"/>
              <w:bottom w:val="single" w:sz="4" w:space="0" w:color="auto"/>
            </w:tcBorders>
            <w:tcMar>
              <w:left w:w="28" w:type="dxa"/>
            </w:tcMar>
          </w:tcPr>
          <w:p w:rsidR="00DF169B" w:rsidRPr="002B289D" w:rsidRDefault="00DF169B" w:rsidP="000261F8">
            <w:pPr>
              <w:spacing w:line="480" w:lineRule="auto"/>
              <w:jc w:val="both"/>
              <w:rPr>
                <w:rFonts w:cs="Arial"/>
              </w:rPr>
            </w:pPr>
            <w:r w:rsidRPr="002B289D">
              <w:rPr>
                <w:rFonts w:cs="Arial"/>
              </w:rPr>
              <w:t>Value</w:t>
            </w:r>
          </w:p>
        </w:tc>
        <w:tc>
          <w:tcPr>
            <w:tcW w:w="2268" w:type="dxa"/>
            <w:tcBorders>
              <w:top w:val="single" w:sz="4" w:space="0" w:color="auto"/>
              <w:bottom w:val="single" w:sz="4" w:space="0" w:color="auto"/>
            </w:tcBorders>
            <w:tcMar>
              <w:left w:w="28" w:type="dxa"/>
            </w:tcMar>
          </w:tcPr>
          <w:p w:rsidR="00DF169B" w:rsidRPr="002B289D" w:rsidRDefault="00DF169B" w:rsidP="000261F8">
            <w:pPr>
              <w:spacing w:line="480" w:lineRule="auto"/>
              <w:jc w:val="both"/>
              <w:rPr>
                <w:rFonts w:cs="Arial"/>
              </w:rPr>
            </w:pPr>
            <w:r>
              <w:rPr>
                <w:rFonts w:cs="Arial"/>
              </w:rPr>
              <w:t>Range</w:t>
            </w:r>
          </w:p>
        </w:tc>
        <w:tc>
          <w:tcPr>
            <w:tcW w:w="1666" w:type="dxa"/>
            <w:tcBorders>
              <w:top w:val="single" w:sz="4" w:space="0" w:color="auto"/>
              <w:bottom w:val="single" w:sz="4" w:space="0" w:color="auto"/>
            </w:tcBorders>
            <w:tcMar>
              <w:left w:w="28" w:type="dxa"/>
            </w:tcMar>
          </w:tcPr>
          <w:p w:rsidR="00DF169B" w:rsidRPr="002B289D" w:rsidRDefault="00DF169B" w:rsidP="000261F8">
            <w:pPr>
              <w:spacing w:line="480" w:lineRule="auto"/>
              <w:jc w:val="both"/>
              <w:rPr>
                <w:rFonts w:cs="Arial"/>
              </w:rPr>
            </w:pPr>
            <w:r w:rsidRPr="002B289D">
              <w:rPr>
                <w:rFonts w:cs="Arial"/>
              </w:rPr>
              <w:t>Source</w:t>
            </w:r>
          </w:p>
        </w:tc>
      </w:tr>
      <w:tr w:rsidR="00DF169B" w:rsidRPr="002B289D" w:rsidTr="000C495F">
        <w:tc>
          <w:tcPr>
            <w:tcW w:w="3039" w:type="dxa"/>
            <w:tcBorders>
              <w:top w:val="nil"/>
            </w:tcBorders>
            <w:tcMar>
              <w:left w:w="28" w:type="dxa"/>
            </w:tcMar>
          </w:tcPr>
          <w:p w:rsidR="00DF169B" w:rsidRPr="002B289D" w:rsidRDefault="00DF169B" w:rsidP="000261F8">
            <w:pPr>
              <w:spacing w:line="480" w:lineRule="auto"/>
              <w:rPr>
                <w:rFonts w:cs="Arial"/>
              </w:rPr>
            </w:pPr>
            <w:r>
              <w:rPr>
                <w:rFonts w:cs="Arial"/>
              </w:rPr>
              <w:t>Rate of progression from acute to chronic infection (per year)</w:t>
            </w:r>
          </w:p>
        </w:tc>
        <w:tc>
          <w:tcPr>
            <w:tcW w:w="1020" w:type="dxa"/>
            <w:tcBorders>
              <w:top w:val="nil"/>
            </w:tcBorders>
            <w:tcMar>
              <w:left w:w="28" w:type="dxa"/>
              <w:right w:w="28" w:type="dxa"/>
            </w:tcMar>
          </w:tcPr>
          <w:p w:rsidR="00DF169B" w:rsidRPr="00007F20" w:rsidRDefault="00536BD6" w:rsidP="000261F8">
            <w:pPr>
              <w:spacing w:line="480" w:lineRule="auto"/>
              <w:jc w:val="both"/>
              <w:rPr>
                <w:rFonts w:cs="Arial"/>
                <w:i/>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P</m:t>
                    </m:r>
                  </m:sub>
                </m:sSub>
              </m:oMath>
            </m:oMathPara>
          </w:p>
        </w:tc>
        <w:tc>
          <w:tcPr>
            <w:tcW w:w="1701" w:type="dxa"/>
            <w:tcBorders>
              <w:top w:val="nil"/>
            </w:tcBorders>
            <w:tcMar>
              <w:left w:w="28" w:type="dxa"/>
            </w:tcMar>
          </w:tcPr>
          <w:p w:rsidR="00DF169B" w:rsidRPr="002B289D" w:rsidRDefault="00DF169B" w:rsidP="000261F8">
            <w:pPr>
              <w:spacing w:line="480" w:lineRule="auto"/>
              <w:jc w:val="both"/>
              <w:rPr>
                <w:rFonts w:cs="Arial"/>
              </w:rPr>
            </w:pPr>
            <w:r>
              <w:rPr>
                <w:rFonts w:cs="Arial"/>
              </w:rPr>
              <w:t>4.14</w:t>
            </w:r>
          </w:p>
        </w:tc>
        <w:tc>
          <w:tcPr>
            <w:tcW w:w="2268" w:type="dxa"/>
            <w:tcBorders>
              <w:top w:val="nil"/>
            </w:tcBorders>
            <w:tcMar>
              <w:left w:w="28" w:type="dxa"/>
            </w:tcMar>
          </w:tcPr>
          <w:p w:rsidR="00DF169B" w:rsidRDefault="00DF169B" w:rsidP="000261F8">
            <w:pPr>
              <w:spacing w:line="480" w:lineRule="auto"/>
              <w:jc w:val="both"/>
              <w:rPr>
                <w:rFonts w:cs="Arial"/>
              </w:rPr>
            </w:pPr>
            <w:r>
              <w:rPr>
                <w:rFonts w:cs="Arial"/>
              </w:rPr>
              <w:t>2.00 – 9.76</w:t>
            </w:r>
          </w:p>
        </w:tc>
        <w:tc>
          <w:tcPr>
            <w:tcW w:w="1666" w:type="dxa"/>
            <w:tcBorders>
              <w:top w:val="nil"/>
            </w:tcBorders>
            <w:tcMar>
              <w:left w:w="28" w:type="dxa"/>
            </w:tcMar>
          </w:tcPr>
          <w:p w:rsidR="00DF169B" w:rsidRPr="002B289D" w:rsidRDefault="00DF169B" w:rsidP="00CC75AA">
            <w:pPr>
              <w:spacing w:line="480" w:lineRule="auto"/>
              <w:jc w:val="both"/>
              <w:rPr>
                <w:rFonts w:cs="Arial"/>
              </w:rPr>
            </w:pPr>
            <w:r>
              <w:rPr>
                <w:rFonts w:cs="Arial"/>
                <w:noProof/>
              </w:rPr>
              <w:t>[15]</w:t>
            </w:r>
          </w:p>
        </w:tc>
      </w:tr>
      <w:tr w:rsidR="00DF169B" w:rsidRPr="002B289D" w:rsidTr="000C495F">
        <w:tc>
          <w:tcPr>
            <w:tcW w:w="3039" w:type="dxa"/>
            <w:tcBorders>
              <w:top w:val="nil"/>
            </w:tcBorders>
            <w:tcMar>
              <w:left w:w="28" w:type="dxa"/>
            </w:tcMar>
          </w:tcPr>
          <w:p w:rsidR="00DF169B" w:rsidRPr="00B25EF0" w:rsidRDefault="00DF169B" w:rsidP="00901BA4">
            <w:pPr>
              <w:spacing w:line="480" w:lineRule="auto"/>
              <w:rPr>
                <w:rFonts w:cs="Arial"/>
              </w:rPr>
            </w:pPr>
            <w:r w:rsidRPr="00B25EF0">
              <w:rPr>
                <w:rFonts w:cs="Arial"/>
              </w:rPr>
              <w:t xml:space="preserve">Proportion in each </w:t>
            </w:r>
            <w:r>
              <w:rPr>
                <w:rFonts w:cs="Arial"/>
              </w:rPr>
              <w:t>disease stage</w:t>
            </w:r>
            <w:r w:rsidRPr="00B25EF0">
              <w:rPr>
                <w:rFonts w:cs="Arial"/>
              </w:rPr>
              <w:t xml:space="preserve"> directly after </w:t>
            </w:r>
            <w:r>
              <w:rPr>
                <w:rFonts w:cs="Arial"/>
              </w:rPr>
              <w:t>primary infection</w:t>
            </w:r>
          </w:p>
        </w:tc>
        <w:tc>
          <w:tcPr>
            <w:tcW w:w="1020" w:type="dxa"/>
            <w:tcBorders>
              <w:top w:val="nil"/>
            </w:tcBorders>
            <w:tcMar>
              <w:left w:w="28" w:type="dxa"/>
              <w:right w:w="28" w:type="dxa"/>
            </w:tcMar>
          </w:tcPr>
          <w:p w:rsidR="00DF169B" w:rsidRPr="00007F20" w:rsidRDefault="00536BD6" w:rsidP="000261F8">
            <w:pPr>
              <w:spacing w:line="480" w:lineRule="auto"/>
              <w:jc w:val="both"/>
              <w:rPr>
                <w:rFonts w:cs="Arial"/>
                <w:i/>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1</m:t>
                    </m:r>
                  </m:sub>
                </m:sSub>
              </m:oMath>
            </m:oMathPara>
          </w:p>
        </w:tc>
        <w:tc>
          <w:tcPr>
            <w:tcW w:w="1701" w:type="dxa"/>
            <w:tcBorders>
              <w:top w:val="nil"/>
            </w:tcBorders>
            <w:tcMar>
              <w:left w:w="28" w:type="dxa"/>
            </w:tcMar>
          </w:tcPr>
          <w:p w:rsidR="00DF169B" w:rsidRPr="002B289D" w:rsidRDefault="00DF169B" w:rsidP="000261F8">
            <w:pPr>
              <w:spacing w:line="480" w:lineRule="auto"/>
              <w:jc w:val="both"/>
              <w:rPr>
                <w:rFonts w:cs="Arial"/>
              </w:rPr>
            </w:pPr>
            <w:r w:rsidRPr="002B289D">
              <w:rPr>
                <w:rFonts w:cs="Arial"/>
              </w:rPr>
              <w:t>0.58</w:t>
            </w:r>
          </w:p>
        </w:tc>
        <w:tc>
          <w:tcPr>
            <w:tcW w:w="2268" w:type="dxa"/>
            <w:tcBorders>
              <w:top w:val="nil"/>
            </w:tcBorders>
            <w:tcMar>
              <w:left w:w="28" w:type="dxa"/>
            </w:tcMar>
          </w:tcPr>
          <w:p w:rsidR="00DF169B" w:rsidRPr="003A329B" w:rsidRDefault="00DF169B" w:rsidP="00F45AA9">
            <w:pPr>
              <w:spacing w:line="480" w:lineRule="auto"/>
              <w:jc w:val="both"/>
              <w:rPr>
                <w:rFonts w:cs="Arial"/>
              </w:rPr>
            </w:pPr>
            <m:oMathPara>
              <m:oMathParaPr>
                <m:jc m:val="left"/>
              </m:oMathParaPr>
              <m:oMath>
                <m:r>
                  <w:rPr>
                    <w:rFonts w:ascii="Cambria Math" w:hAnsi="Cambria Math" w:cs="Arial"/>
                  </w:rPr>
                  <m:t xml:space="preserve">=1- </m:t>
                </m:r>
                <m:sSub>
                  <m:sSubPr>
                    <m:ctrlPr>
                      <w:rPr>
                        <w:rFonts w:ascii="Cambria Math" w:hAnsi="Cambria Math" w:cs="Arial"/>
                        <w:i/>
                      </w:rPr>
                    </m:ctrlPr>
                  </m:sSubPr>
                  <m:e>
                    <m:r>
                      <w:rPr>
                        <w:rFonts w:ascii="Cambria Math" w:hAnsi="Cambria Math" w:cs="Arial"/>
                      </w:rPr>
                      <m:t>f</m:t>
                    </m:r>
                  </m:e>
                  <m:sub>
                    <m:r>
                      <w:rPr>
                        <w:rFonts w:ascii="Cambria Math" w:hAnsi="Cambria Math" w:cs="Arial"/>
                      </w:rPr>
                      <m:t>2</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f</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4</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f</m:t>
                    </m:r>
                  </m:e>
                  <m:sub>
                    <m:r>
                      <w:rPr>
                        <w:rFonts w:ascii="Cambria Math" w:hAnsi="Cambria Math" w:cs="Arial"/>
                      </w:rPr>
                      <m:t>5</m:t>
                    </m:r>
                  </m:sub>
                </m:sSub>
              </m:oMath>
            </m:oMathPara>
          </w:p>
        </w:tc>
        <w:tc>
          <w:tcPr>
            <w:tcW w:w="1666" w:type="dxa"/>
            <w:tcBorders>
              <w:top w:val="nil"/>
            </w:tcBorders>
            <w:tcMar>
              <w:left w:w="28" w:type="dxa"/>
            </w:tcMar>
          </w:tcPr>
          <w:p w:rsidR="00DF169B" w:rsidRPr="002B289D" w:rsidRDefault="00DF169B" w:rsidP="00CC75AA">
            <w:pPr>
              <w:spacing w:line="480" w:lineRule="auto"/>
              <w:jc w:val="both"/>
              <w:rPr>
                <w:rFonts w:cs="Arial"/>
              </w:rPr>
            </w:pPr>
            <w:r>
              <w:rPr>
                <w:rFonts w:cs="Arial"/>
                <w:noProof/>
              </w:rPr>
              <w:t>[16,17]</w:t>
            </w: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007F20"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2</m:t>
                    </m:r>
                  </m:sub>
                </m:sSub>
              </m:oMath>
            </m:oMathPara>
          </w:p>
        </w:tc>
        <w:tc>
          <w:tcPr>
            <w:tcW w:w="1701" w:type="dxa"/>
            <w:tcMar>
              <w:left w:w="28" w:type="dxa"/>
            </w:tcMar>
          </w:tcPr>
          <w:p w:rsidR="00DF169B" w:rsidRPr="002B289D" w:rsidRDefault="00DF169B" w:rsidP="000261F8">
            <w:pPr>
              <w:spacing w:line="480" w:lineRule="auto"/>
              <w:jc w:val="both"/>
              <w:rPr>
                <w:rFonts w:cs="Arial"/>
              </w:rPr>
            </w:pPr>
            <w:r w:rsidRPr="002B289D">
              <w:rPr>
                <w:rFonts w:cs="Arial"/>
              </w:rPr>
              <w:t>0.23</w:t>
            </w:r>
          </w:p>
        </w:tc>
        <w:tc>
          <w:tcPr>
            <w:tcW w:w="2268" w:type="dxa"/>
            <w:tcMar>
              <w:left w:w="28" w:type="dxa"/>
            </w:tcMar>
          </w:tcPr>
          <w:p w:rsidR="00DF169B" w:rsidRDefault="00DF169B" w:rsidP="000261F8">
            <w:pPr>
              <w:spacing w:line="480" w:lineRule="auto"/>
              <w:jc w:val="both"/>
              <w:rPr>
                <w:rFonts w:cs="Arial"/>
              </w:rPr>
            </w:pPr>
            <w:r>
              <w:rPr>
                <w:rFonts w:cs="Arial"/>
              </w:rPr>
              <w:t>0.19 – 0.27</w:t>
            </w:r>
          </w:p>
        </w:tc>
        <w:tc>
          <w:tcPr>
            <w:tcW w:w="1666" w:type="dxa"/>
            <w:tcMar>
              <w:left w:w="28" w:type="dxa"/>
            </w:tcMar>
          </w:tcPr>
          <w:p w:rsidR="00DF169B" w:rsidRPr="002B289D" w:rsidRDefault="00DF169B" w:rsidP="00CC75AA">
            <w:pPr>
              <w:spacing w:line="480" w:lineRule="auto"/>
              <w:jc w:val="both"/>
              <w:rPr>
                <w:rFonts w:cs="Arial"/>
              </w:rPr>
            </w:pPr>
            <w:r>
              <w:rPr>
                <w:rFonts w:cs="Arial"/>
                <w:noProof/>
              </w:rPr>
              <w:t>[16,17]</w:t>
            </w: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007F20"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3</m:t>
                    </m:r>
                  </m:sub>
                </m:sSub>
              </m:oMath>
            </m:oMathPara>
          </w:p>
        </w:tc>
        <w:tc>
          <w:tcPr>
            <w:tcW w:w="1701" w:type="dxa"/>
            <w:tcMar>
              <w:left w:w="28" w:type="dxa"/>
            </w:tcMar>
          </w:tcPr>
          <w:p w:rsidR="00DF169B" w:rsidRPr="002B289D" w:rsidRDefault="00DF169B" w:rsidP="000261F8">
            <w:pPr>
              <w:spacing w:line="480" w:lineRule="auto"/>
              <w:jc w:val="both"/>
              <w:rPr>
                <w:rFonts w:cs="Arial"/>
              </w:rPr>
            </w:pPr>
            <w:r w:rsidRPr="002B289D">
              <w:rPr>
                <w:rFonts w:cs="Arial"/>
              </w:rPr>
              <w:t>0.16</w:t>
            </w:r>
          </w:p>
        </w:tc>
        <w:tc>
          <w:tcPr>
            <w:tcW w:w="2268" w:type="dxa"/>
            <w:tcMar>
              <w:left w:w="28" w:type="dxa"/>
            </w:tcMar>
          </w:tcPr>
          <w:p w:rsidR="00DF169B" w:rsidRDefault="00DF169B" w:rsidP="000261F8">
            <w:pPr>
              <w:spacing w:line="480" w:lineRule="auto"/>
              <w:jc w:val="both"/>
              <w:rPr>
                <w:rFonts w:cs="Arial"/>
              </w:rPr>
            </w:pPr>
            <w:r>
              <w:rPr>
                <w:rFonts w:cs="Arial"/>
              </w:rPr>
              <w:t>0.14 – 0.18</w:t>
            </w:r>
          </w:p>
        </w:tc>
        <w:tc>
          <w:tcPr>
            <w:tcW w:w="1666" w:type="dxa"/>
            <w:tcMar>
              <w:left w:w="28" w:type="dxa"/>
            </w:tcMar>
          </w:tcPr>
          <w:p w:rsidR="00DF169B" w:rsidRPr="002B289D" w:rsidRDefault="00DF169B" w:rsidP="00CC75AA">
            <w:pPr>
              <w:spacing w:line="480" w:lineRule="auto"/>
              <w:jc w:val="both"/>
              <w:rPr>
                <w:rFonts w:cs="Arial"/>
              </w:rPr>
            </w:pPr>
            <w:r>
              <w:rPr>
                <w:rFonts w:cs="Arial"/>
                <w:noProof/>
              </w:rPr>
              <w:t>[16,17]</w:t>
            </w: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007F20"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4</m:t>
                    </m:r>
                  </m:sub>
                </m:sSub>
              </m:oMath>
            </m:oMathPara>
          </w:p>
        </w:tc>
        <w:tc>
          <w:tcPr>
            <w:tcW w:w="1701" w:type="dxa"/>
            <w:tcMar>
              <w:left w:w="28" w:type="dxa"/>
            </w:tcMar>
          </w:tcPr>
          <w:p w:rsidR="00DF169B" w:rsidRPr="002B289D" w:rsidRDefault="00DF169B" w:rsidP="000261F8">
            <w:pPr>
              <w:spacing w:line="480" w:lineRule="auto"/>
              <w:jc w:val="both"/>
              <w:rPr>
                <w:rFonts w:cs="Arial"/>
              </w:rPr>
            </w:pPr>
            <w:r w:rsidRPr="002B289D">
              <w:rPr>
                <w:rFonts w:cs="Arial"/>
              </w:rPr>
              <w:t>0.03</w:t>
            </w:r>
          </w:p>
        </w:tc>
        <w:tc>
          <w:tcPr>
            <w:tcW w:w="2268" w:type="dxa"/>
            <w:tcMar>
              <w:left w:w="28" w:type="dxa"/>
            </w:tcMar>
          </w:tcPr>
          <w:p w:rsidR="00DF169B" w:rsidRDefault="00DF169B" w:rsidP="000261F8">
            <w:pPr>
              <w:spacing w:line="480" w:lineRule="auto"/>
              <w:jc w:val="both"/>
              <w:rPr>
                <w:rFonts w:cs="Arial"/>
              </w:rPr>
            </w:pPr>
            <w:r>
              <w:rPr>
                <w:rFonts w:cs="Arial"/>
              </w:rPr>
              <w:t>0.00 – 0.05</w:t>
            </w:r>
          </w:p>
        </w:tc>
        <w:tc>
          <w:tcPr>
            <w:tcW w:w="1666" w:type="dxa"/>
            <w:tcMar>
              <w:left w:w="28" w:type="dxa"/>
            </w:tcMar>
          </w:tcPr>
          <w:p w:rsidR="00DF169B" w:rsidRPr="002B289D" w:rsidRDefault="00DF169B" w:rsidP="00CC75AA">
            <w:pPr>
              <w:spacing w:line="480" w:lineRule="auto"/>
              <w:jc w:val="both"/>
              <w:rPr>
                <w:rFonts w:cs="Arial"/>
              </w:rPr>
            </w:pPr>
            <w:r>
              <w:rPr>
                <w:rFonts w:cs="Arial"/>
                <w:noProof/>
              </w:rPr>
              <w:t>[16,17]</w:t>
            </w:r>
          </w:p>
        </w:tc>
      </w:tr>
      <w:tr w:rsidR="00DF169B" w:rsidRPr="002B289D" w:rsidTr="000C495F">
        <w:tc>
          <w:tcPr>
            <w:tcW w:w="3039" w:type="dxa"/>
            <w:tcBorders>
              <w:bottom w:val="nil"/>
            </w:tcBorders>
            <w:tcMar>
              <w:left w:w="28" w:type="dxa"/>
            </w:tcMar>
          </w:tcPr>
          <w:p w:rsidR="00DF169B" w:rsidRPr="002B289D" w:rsidRDefault="00DF169B" w:rsidP="000261F8">
            <w:pPr>
              <w:spacing w:line="480" w:lineRule="auto"/>
              <w:jc w:val="both"/>
              <w:rPr>
                <w:rFonts w:cs="Arial"/>
              </w:rPr>
            </w:pPr>
          </w:p>
        </w:tc>
        <w:tc>
          <w:tcPr>
            <w:tcW w:w="1020" w:type="dxa"/>
            <w:tcBorders>
              <w:bottom w:val="nil"/>
            </w:tcBorders>
            <w:tcMar>
              <w:left w:w="28" w:type="dxa"/>
              <w:right w:w="28" w:type="dxa"/>
            </w:tcMar>
          </w:tcPr>
          <w:p w:rsidR="00DF169B" w:rsidRPr="00007F20"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5</m:t>
                    </m:r>
                  </m:sub>
                </m:sSub>
              </m:oMath>
            </m:oMathPara>
          </w:p>
        </w:tc>
        <w:tc>
          <w:tcPr>
            <w:tcW w:w="1701" w:type="dxa"/>
            <w:tcBorders>
              <w:bottom w:val="nil"/>
            </w:tcBorders>
            <w:tcMar>
              <w:left w:w="28" w:type="dxa"/>
            </w:tcMar>
          </w:tcPr>
          <w:p w:rsidR="00DF169B" w:rsidRPr="002B289D" w:rsidRDefault="00DF169B" w:rsidP="000261F8">
            <w:pPr>
              <w:spacing w:line="480" w:lineRule="auto"/>
              <w:jc w:val="both"/>
              <w:rPr>
                <w:rFonts w:cs="Arial"/>
              </w:rPr>
            </w:pPr>
            <w:r>
              <w:rPr>
                <w:rFonts w:cs="Arial"/>
              </w:rPr>
              <w:t>0</w:t>
            </w:r>
          </w:p>
        </w:tc>
        <w:tc>
          <w:tcPr>
            <w:tcW w:w="2268" w:type="dxa"/>
            <w:tcBorders>
              <w:bottom w:val="nil"/>
            </w:tcBorders>
            <w:tcMar>
              <w:left w:w="28" w:type="dxa"/>
            </w:tcMar>
          </w:tcPr>
          <w:p w:rsidR="00DF169B" w:rsidRPr="002B289D" w:rsidRDefault="00DF169B" w:rsidP="000261F8">
            <w:pPr>
              <w:spacing w:line="480" w:lineRule="auto"/>
              <w:jc w:val="both"/>
              <w:rPr>
                <w:rFonts w:cs="Arial"/>
              </w:rPr>
            </w:pPr>
            <w:r>
              <w:rPr>
                <w:rFonts w:cs="Arial"/>
              </w:rPr>
              <w:t>–</w:t>
            </w:r>
          </w:p>
        </w:tc>
        <w:tc>
          <w:tcPr>
            <w:tcW w:w="1666" w:type="dxa"/>
            <w:tcBorders>
              <w:bottom w:val="nil"/>
            </w:tcBorders>
            <w:tcMar>
              <w:left w:w="28" w:type="dxa"/>
            </w:tcMar>
          </w:tcPr>
          <w:p w:rsidR="00DF169B" w:rsidRPr="002B289D" w:rsidRDefault="00DF169B" w:rsidP="000261F8">
            <w:pPr>
              <w:spacing w:line="480" w:lineRule="auto"/>
              <w:jc w:val="both"/>
              <w:rPr>
                <w:rFonts w:cs="Arial"/>
              </w:rPr>
            </w:pPr>
          </w:p>
        </w:tc>
      </w:tr>
      <w:tr w:rsidR="00DF169B" w:rsidRPr="002B289D" w:rsidTr="000C495F">
        <w:tc>
          <w:tcPr>
            <w:tcW w:w="3039" w:type="dxa"/>
            <w:tcMar>
              <w:left w:w="28" w:type="dxa"/>
            </w:tcMar>
          </w:tcPr>
          <w:p w:rsidR="00DF169B" w:rsidRPr="002B289D" w:rsidRDefault="00DF169B" w:rsidP="000261F8">
            <w:pPr>
              <w:spacing w:line="480" w:lineRule="auto"/>
              <w:rPr>
                <w:rFonts w:cs="Arial"/>
              </w:rPr>
            </w:pPr>
            <w:r>
              <w:rPr>
                <w:rFonts w:cs="Arial"/>
              </w:rPr>
              <w:t>Rate of progression to the next disease stage (per year)</w:t>
            </w:r>
          </w:p>
        </w:tc>
        <w:tc>
          <w:tcPr>
            <w:tcW w:w="1020" w:type="dxa"/>
            <w:tcMar>
              <w:left w:w="28" w:type="dxa"/>
              <w:right w:w="28" w:type="dxa"/>
            </w:tcMar>
          </w:tcPr>
          <w:p w:rsidR="00DF169B" w:rsidRPr="003A329B" w:rsidRDefault="00536BD6" w:rsidP="000261F8">
            <w:pPr>
              <w:spacing w:line="480" w:lineRule="auto"/>
              <w:jc w:val="both"/>
              <w:rPr>
                <w:rFonts w:cs="Arial"/>
                <w:i/>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1</m:t>
                    </m:r>
                  </m:sub>
                </m:sSub>
              </m:oMath>
            </m:oMathPara>
          </w:p>
        </w:tc>
        <w:tc>
          <w:tcPr>
            <w:tcW w:w="1701" w:type="dxa"/>
            <w:tcMar>
              <w:left w:w="28" w:type="dxa"/>
            </w:tcMar>
          </w:tcPr>
          <w:p w:rsidR="00DF169B" w:rsidRPr="002B289D" w:rsidRDefault="00DF169B" w:rsidP="000261F8">
            <w:pPr>
              <w:spacing w:line="480" w:lineRule="auto"/>
              <w:jc w:val="both"/>
              <w:rPr>
                <w:rFonts w:cs="Arial"/>
              </w:rPr>
            </w:pPr>
            <w:r w:rsidRPr="002B289D">
              <w:rPr>
                <w:rFonts w:cs="Arial"/>
              </w:rPr>
              <w:t>1/6.37</w:t>
            </w:r>
          </w:p>
        </w:tc>
        <w:tc>
          <w:tcPr>
            <w:tcW w:w="2268" w:type="dxa"/>
            <w:tcMar>
              <w:left w:w="28" w:type="dxa"/>
            </w:tcMar>
          </w:tcPr>
          <w:p w:rsidR="00DF169B" w:rsidRDefault="00DF169B" w:rsidP="000261F8">
            <w:pPr>
              <w:spacing w:line="480" w:lineRule="auto"/>
              <w:jc w:val="both"/>
              <w:rPr>
                <w:rFonts w:cs="Arial"/>
              </w:rPr>
            </w:pPr>
            <w:r>
              <w:rPr>
                <w:rFonts w:cs="Arial"/>
              </w:rPr>
              <w:t>0.13 – 0.19</w:t>
            </w:r>
          </w:p>
        </w:tc>
        <w:tc>
          <w:tcPr>
            <w:tcW w:w="1666" w:type="dxa"/>
            <w:tcMar>
              <w:left w:w="28" w:type="dxa"/>
            </w:tcMar>
          </w:tcPr>
          <w:p w:rsidR="00DF169B" w:rsidRPr="002B289D" w:rsidRDefault="00DF169B" w:rsidP="00CC75AA">
            <w:pPr>
              <w:spacing w:line="480" w:lineRule="auto"/>
              <w:jc w:val="both"/>
              <w:rPr>
                <w:rFonts w:cs="Arial"/>
              </w:rPr>
            </w:pPr>
            <w:r>
              <w:rPr>
                <w:rFonts w:cs="Arial"/>
                <w:noProof/>
              </w:rPr>
              <w:t>[16,17]</w:t>
            </w: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3A329B" w:rsidRDefault="00536BD6" w:rsidP="000261F8">
            <w:pPr>
              <w:spacing w:line="480" w:lineRule="auto"/>
              <w:jc w:val="both"/>
              <w:rPr>
                <w:rFonts w:cs="Arial"/>
                <w:i/>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2</m:t>
                    </m:r>
                  </m:sub>
                </m:sSub>
              </m:oMath>
            </m:oMathPara>
          </w:p>
        </w:tc>
        <w:tc>
          <w:tcPr>
            <w:tcW w:w="1701" w:type="dxa"/>
            <w:tcMar>
              <w:left w:w="28" w:type="dxa"/>
            </w:tcMar>
          </w:tcPr>
          <w:p w:rsidR="00DF169B" w:rsidRPr="002B289D" w:rsidRDefault="00DF169B" w:rsidP="000261F8">
            <w:pPr>
              <w:spacing w:line="480" w:lineRule="auto"/>
              <w:jc w:val="both"/>
              <w:rPr>
                <w:rFonts w:cs="Arial"/>
              </w:rPr>
            </w:pPr>
            <w:r w:rsidRPr="002B289D">
              <w:rPr>
                <w:rFonts w:cs="Arial"/>
              </w:rPr>
              <w:t>1/2.86</w:t>
            </w:r>
          </w:p>
        </w:tc>
        <w:tc>
          <w:tcPr>
            <w:tcW w:w="2268" w:type="dxa"/>
            <w:tcMar>
              <w:left w:w="28" w:type="dxa"/>
            </w:tcMar>
          </w:tcPr>
          <w:p w:rsidR="00DF169B" w:rsidRDefault="00DF169B" w:rsidP="000261F8">
            <w:pPr>
              <w:spacing w:line="480" w:lineRule="auto"/>
              <w:jc w:val="both"/>
              <w:rPr>
                <w:rFonts w:cs="Arial"/>
              </w:rPr>
            </w:pPr>
            <w:r>
              <w:rPr>
                <w:rFonts w:cs="Arial"/>
              </w:rPr>
              <w:t>0.28 – 0.42</w:t>
            </w:r>
          </w:p>
        </w:tc>
        <w:tc>
          <w:tcPr>
            <w:tcW w:w="1666" w:type="dxa"/>
            <w:tcMar>
              <w:left w:w="28" w:type="dxa"/>
            </w:tcMar>
          </w:tcPr>
          <w:p w:rsidR="00DF169B" w:rsidRPr="002B289D" w:rsidRDefault="00DF169B" w:rsidP="00CC75AA">
            <w:pPr>
              <w:spacing w:line="480" w:lineRule="auto"/>
              <w:jc w:val="both"/>
              <w:rPr>
                <w:rFonts w:cs="Arial"/>
              </w:rPr>
            </w:pPr>
            <w:r>
              <w:rPr>
                <w:rFonts w:cs="Arial"/>
                <w:noProof/>
              </w:rPr>
              <w:t>[16,17]</w:t>
            </w: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3A329B" w:rsidRDefault="00536BD6" w:rsidP="000261F8">
            <w:pPr>
              <w:spacing w:line="480" w:lineRule="auto"/>
              <w:jc w:val="both"/>
              <w:rPr>
                <w:rFonts w:cs="Arial"/>
                <w:i/>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3</m:t>
                    </m:r>
                  </m:sub>
                </m:sSub>
              </m:oMath>
            </m:oMathPara>
          </w:p>
        </w:tc>
        <w:tc>
          <w:tcPr>
            <w:tcW w:w="1701" w:type="dxa"/>
            <w:tcMar>
              <w:left w:w="28" w:type="dxa"/>
            </w:tcMar>
          </w:tcPr>
          <w:p w:rsidR="00DF169B" w:rsidRPr="002B289D" w:rsidRDefault="00DF169B" w:rsidP="000261F8">
            <w:pPr>
              <w:spacing w:line="480" w:lineRule="auto"/>
              <w:jc w:val="both"/>
              <w:rPr>
                <w:rFonts w:cs="Arial"/>
              </w:rPr>
            </w:pPr>
            <w:r w:rsidRPr="002B289D">
              <w:rPr>
                <w:rFonts w:cs="Arial"/>
              </w:rPr>
              <w:t>1/3.54</w:t>
            </w:r>
          </w:p>
        </w:tc>
        <w:tc>
          <w:tcPr>
            <w:tcW w:w="2268" w:type="dxa"/>
            <w:tcMar>
              <w:left w:w="28" w:type="dxa"/>
            </w:tcMar>
          </w:tcPr>
          <w:p w:rsidR="00DF169B" w:rsidRDefault="00DF169B" w:rsidP="000261F8">
            <w:pPr>
              <w:spacing w:line="480" w:lineRule="auto"/>
              <w:jc w:val="both"/>
              <w:rPr>
                <w:rFonts w:cs="Arial"/>
              </w:rPr>
            </w:pPr>
            <w:r>
              <w:rPr>
                <w:rFonts w:cs="Arial"/>
              </w:rPr>
              <w:t>0.23 – 0.34</w:t>
            </w:r>
          </w:p>
        </w:tc>
        <w:tc>
          <w:tcPr>
            <w:tcW w:w="1666" w:type="dxa"/>
            <w:tcMar>
              <w:left w:w="28" w:type="dxa"/>
            </w:tcMar>
          </w:tcPr>
          <w:p w:rsidR="00DF169B" w:rsidRPr="002B289D" w:rsidRDefault="00DF169B" w:rsidP="00CC75AA">
            <w:pPr>
              <w:spacing w:line="480" w:lineRule="auto"/>
              <w:jc w:val="both"/>
              <w:rPr>
                <w:rFonts w:cs="Arial"/>
              </w:rPr>
            </w:pPr>
            <w:r>
              <w:rPr>
                <w:rFonts w:cs="Arial"/>
                <w:noProof/>
              </w:rPr>
              <w:t>[16,17]</w:t>
            </w: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3A329B" w:rsidRDefault="00536BD6" w:rsidP="000261F8">
            <w:pPr>
              <w:spacing w:line="480" w:lineRule="auto"/>
              <w:jc w:val="both"/>
              <w:rPr>
                <w:rFonts w:cs="Arial"/>
                <w:i/>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4</m:t>
                    </m:r>
                  </m:sub>
                </m:sSub>
              </m:oMath>
            </m:oMathPara>
          </w:p>
        </w:tc>
        <w:tc>
          <w:tcPr>
            <w:tcW w:w="1701" w:type="dxa"/>
            <w:tcMar>
              <w:left w:w="28" w:type="dxa"/>
            </w:tcMar>
          </w:tcPr>
          <w:p w:rsidR="00DF169B" w:rsidRPr="002B289D" w:rsidRDefault="00DF169B" w:rsidP="000261F8">
            <w:pPr>
              <w:spacing w:line="480" w:lineRule="auto"/>
              <w:jc w:val="both"/>
              <w:rPr>
                <w:rFonts w:cs="Arial"/>
              </w:rPr>
            </w:pPr>
            <w:r w:rsidRPr="002B289D">
              <w:rPr>
                <w:rFonts w:cs="Arial"/>
              </w:rPr>
              <w:t>1/2.30</w:t>
            </w:r>
          </w:p>
        </w:tc>
        <w:tc>
          <w:tcPr>
            <w:tcW w:w="2268" w:type="dxa"/>
            <w:tcMar>
              <w:left w:w="28" w:type="dxa"/>
            </w:tcMar>
          </w:tcPr>
          <w:p w:rsidR="00DF169B" w:rsidRDefault="00DF169B" w:rsidP="000261F8">
            <w:pPr>
              <w:spacing w:line="480" w:lineRule="auto"/>
              <w:jc w:val="both"/>
              <w:rPr>
                <w:rFonts w:cs="Arial"/>
              </w:rPr>
            </w:pPr>
            <w:r>
              <w:rPr>
                <w:rFonts w:cs="Arial"/>
              </w:rPr>
              <w:t>0.35 – 0.52</w:t>
            </w:r>
          </w:p>
        </w:tc>
        <w:tc>
          <w:tcPr>
            <w:tcW w:w="1666" w:type="dxa"/>
            <w:tcMar>
              <w:left w:w="28" w:type="dxa"/>
            </w:tcMar>
          </w:tcPr>
          <w:p w:rsidR="00DF169B" w:rsidRPr="002B289D" w:rsidRDefault="00DF169B" w:rsidP="00CC75AA">
            <w:pPr>
              <w:spacing w:line="480" w:lineRule="auto"/>
              <w:jc w:val="both"/>
              <w:rPr>
                <w:rFonts w:cs="Arial"/>
              </w:rPr>
            </w:pPr>
            <w:r>
              <w:rPr>
                <w:rFonts w:cs="Arial"/>
                <w:noProof/>
              </w:rPr>
              <w:t>[16,17]</w:t>
            </w:r>
          </w:p>
        </w:tc>
      </w:tr>
      <w:tr w:rsidR="00DF169B" w:rsidRPr="002B289D" w:rsidTr="000C495F">
        <w:tc>
          <w:tcPr>
            <w:tcW w:w="3039" w:type="dxa"/>
            <w:tcBorders>
              <w:bottom w:val="nil"/>
            </w:tcBorders>
            <w:tcMar>
              <w:left w:w="28" w:type="dxa"/>
            </w:tcMar>
          </w:tcPr>
          <w:p w:rsidR="00DF169B" w:rsidRPr="002B289D" w:rsidRDefault="00DF169B" w:rsidP="000261F8">
            <w:pPr>
              <w:spacing w:line="480" w:lineRule="auto"/>
              <w:jc w:val="both"/>
              <w:rPr>
                <w:rFonts w:cs="Arial"/>
              </w:rPr>
            </w:pPr>
            <w:r>
              <w:rPr>
                <w:rFonts w:cs="Arial"/>
              </w:rPr>
              <w:t>Rate of progression from AIDS to death (per year)</w:t>
            </w:r>
          </w:p>
        </w:tc>
        <w:tc>
          <w:tcPr>
            <w:tcW w:w="1020" w:type="dxa"/>
            <w:tcBorders>
              <w:bottom w:val="nil"/>
            </w:tcBorders>
            <w:tcMar>
              <w:left w:w="28" w:type="dxa"/>
              <w:right w:w="28" w:type="dxa"/>
            </w:tcMar>
          </w:tcPr>
          <w:p w:rsidR="00DF169B" w:rsidRPr="003A329B"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5</m:t>
                    </m:r>
                  </m:sub>
                </m:sSub>
              </m:oMath>
            </m:oMathPara>
          </w:p>
        </w:tc>
        <w:tc>
          <w:tcPr>
            <w:tcW w:w="1701" w:type="dxa"/>
            <w:tcBorders>
              <w:bottom w:val="nil"/>
            </w:tcBorders>
            <w:tcMar>
              <w:left w:w="28" w:type="dxa"/>
            </w:tcMar>
          </w:tcPr>
          <w:p w:rsidR="00DF169B" w:rsidRPr="002B289D" w:rsidRDefault="00DF169B" w:rsidP="000261F8">
            <w:pPr>
              <w:spacing w:line="480" w:lineRule="auto"/>
              <w:jc w:val="both"/>
              <w:rPr>
                <w:rFonts w:cs="Arial"/>
              </w:rPr>
            </w:pPr>
            <w:r>
              <w:rPr>
                <w:rFonts w:cs="Arial"/>
              </w:rPr>
              <w:t>1/1.89</w:t>
            </w:r>
          </w:p>
        </w:tc>
        <w:tc>
          <w:tcPr>
            <w:tcW w:w="2268" w:type="dxa"/>
            <w:tcBorders>
              <w:bottom w:val="nil"/>
            </w:tcBorders>
            <w:tcMar>
              <w:left w:w="28" w:type="dxa"/>
            </w:tcMar>
          </w:tcPr>
          <w:p w:rsidR="00DF169B" w:rsidRDefault="00DF169B" w:rsidP="000261F8">
            <w:pPr>
              <w:spacing w:line="480" w:lineRule="auto"/>
              <w:jc w:val="both"/>
              <w:rPr>
                <w:rFonts w:cs="Arial"/>
              </w:rPr>
            </w:pPr>
            <w:r>
              <w:rPr>
                <w:rFonts w:cs="Arial"/>
              </w:rPr>
              <w:t>0.42 – 0.63</w:t>
            </w:r>
          </w:p>
        </w:tc>
        <w:tc>
          <w:tcPr>
            <w:tcW w:w="1666" w:type="dxa"/>
            <w:tcBorders>
              <w:bottom w:val="nil"/>
            </w:tcBorders>
            <w:tcMar>
              <w:left w:w="28" w:type="dxa"/>
            </w:tcMar>
          </w:tcPr>
          <w:p w:rsidR="00DF169B" w:rsidRPr="002B289D" w:rsidRDefault="00DF169B" w:rsidP="00CC75AA">
            <w:pPr>
              <w:spacing w:line="480" w:lineRule="auto"/>
              <w:jc w:val="both"/>
              <w:rPr>
                <w:rFonts w:cs="Arial"/>
              </w:rPr>
            </w:pPr>
            <w:r>
              <w:rPr>
                <w:rFonts w:cs="Arial"/>
                <w:noProof/>
              </w:rPr>
              <w:t>[18,19]</w:t>
            </w:r>
          </w:p>
        </w:tc>
      </w:tr>
      <w:tr w:rsidR="00DF169B" w:rsidRPr="002B289D" w:rsidTr="000C495F">
        <w:tc>
          <w:tcPr>
            <w:tcW w:w="3039" w:type="dxa"/>
            <w:tcBorders>
              <w:top w:val="nil"/>
            </w:tcBorders>
            <w:tcMar>
              <w:left w:w="28" w:type="dxa"/>
            </w:tcMar>
          </w:tcPr>
          <w:p w:rsidR="00DF169B" w:rsidRPr="002B289D" w:rsidRDefault="00DF169B" w:rsidP="000261F8">
            <w:pPr>
              <w:spacing w:line="480" w:lineRule="auto"/>
              <w:jc w:val="both"/>
              <w:rPr>
                <w:rFonts w:cs="Arial"/>
              </w:rPr>
            </w:pPr>
            <w:r>
              <w:rPr>
                <w:rFonts w:cs="Arial"/>
              </w:rPr>
              <w:t>Diagnosis rate by disease stage (per year)</w:t>
            </w:r>
          </w:p>
        </w:tc>
        <w:tc>
          <w:tcPr>
            <w:tcW w:w="1020" w:type="dxa"/>
            <w:tcBorders>
              <w:top w:val="nil"/>
            </w:tcBorders>
            <w:tcMar>
              <w:left w:w="28" w:type="dxa"/>
              <w:right w:w="28" w:type="dxa"/>
            </w:tcMar>
          </w:tcPr>
          <w:p w:rsidR="00DF169B" w:rsidRPr="00E21BF1"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d</m:t>
                    </m:r>
                  </m:e>
                  <m:sub>
                    <m:r>
                      <w:rPr>
                        <w:rFonts w:ascii="Cambria Math" w:hAnsi="Cambria Math" w:cs="Arial"/>
                      </w:rPr>
                      <m:t>1</m:t>
                    </m:r>
                  </m:sub>
                </m:sSub>
                <m:r>
                  <w:rPr>
                    <w:rFonts w:ascii="Cambria Math" w:hAnsi="Cambria Math" w:cs="Arial"/>
                  </w:rPr>
                  <m:t>(t)</m:t>
                </m:r>
              </m:oMath>
            </m:oMathPara>
          </w:p>
        </w:tc>
        <w:tc>
          <w:tcPr>
            <w:tcW w:w="1701" w:type="dxa"/>
            <w:tcBorders>
              <w:top w:val="nil"/>
            </w:tcBorders>
            <w:tcMar>
              <w:left w:w="28" w:type="dxa"/>
            </w:tcMar>
          </w:tcPr>
          <w:p w:rsidR="00DF169B" w:rsidRPr="002B289D" w:rsidRDefault="00DF169B" w:rsidP="000261F8">
            <w:pPr>
              <w:spacing w:line="480" w:lineRule="auto"/>
              <w:jc w:val="both"/>
              <w:rPr>
                <w:rFonts w:cs="Arial"/>
              </w:rPr>
            </w:pPr>
            <w:r w:rsidRPr="002B289D">
              <w:rPr>
                <w:rFonts w:cs="Arial"/>
              </w:rPr>
              <w:t>estimated</w:t>
            </w:r>
          </w:p>
        </w:tc>
        <w:tc>
          <w:tcPr>
            <w:tcW w:w="2268" w:type="dxa"/>
            <w:tcBorders>
              <w:top w:val="nil"/>
            </w:tcBorders>
            <w:tcMar>
              <w:left w:w="28" w:type="dxa"/>
            </w:tcMar>
          </w:tcPr>
          <w:p w:rsidR="00DF169B" w:rsidRPr="002B289D" w:rsidRDefault="00DF169B" w:rsidP="000261F8">
            <w:pPr>
              <w:spacing w:line="480" w:lineRule="auto"/>
              <w:jc w:val="both"/>
              <w:rPr>
                <w:rFonts w:cs="Arial"/>
              </w:rPr>
            </w:pPr>
            <w:r>
              <w:rPr>
                <w:rFonts w:cs="Arial"/>
              </w:rPr>
              <w:t>–</w:t>
            </w:r>
          </w:p>
        </w:tc>
        <w:tc>
          <w:tcPr>
            <w:tcW w:w="1666" w:type="dxa"/>
            <w:tcBorders>
              <w:top w:val="nil"/>
            </w:tcBorders>
            <w:tcMar>
              <w:left w:w="28" w:type="dxa"/>
            </w:tcMar>
          </w:tcPr>
          <w:p w:rsidR="00DF169B" w:rsidRPr="002B289D" w:rsidRDefault="00DF169B" w:rsidP="000261F8">
            <w:pPr>
              <w:spacing w:line="480" w:lineRule="auto"/>
              <w:jc w:val="both"/>
              <w:rPr>
                <w:rFonts w:cs="Arial"/>
              </w:rPr>
            </w:pPr>
            <w:r w:rsidRPr="002B289D">
              <w:rPr>
                <w:rFonts w:cs="Arial"/>
              </w:rPr>
              <w:t>–</w:t>
            </w: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E21BF1"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d</m:t>
                    </m:r>
                  </m:e>
                  <m:sub>
                    <m:r>
                      <w:rPr>
                        <w:rFonts w:ascii="Cambria Math" w:hAnsi="Cambria Math" w:cs="Arial"/>
                      </w:rPr>
                      <m:t>2</m:t>
                    </m:r>
                  </m:sub>
                </m:sSub>
                <m:r>
                  <w:rPr>
                    <w:rFonts w:ascii="Cambria Math" w:hAnsi="Cambria Math" w:cs="Arial"/>
                  </w:rPr>
                  <m:t>(t)</m:t>
                </m:r>
              </m:oMath>
            </m:oMathPara>
          </w:p>
        </w:tc>
        <w:tc>
          <w:tcPr>
            <w:tcW w:w="1701" w:type="dxa"/>
            <w:tcMar>
              <w:left w:w="28" w:type="dxa"/>
            </w:tcMar>
          </w:tcPr>
          <w:p w:rsidR="00DF169B" w:rsidRPr="002B289D" w:rsidRDefault="00DF169B" w:rsidP="000261F8">
            <w:pPr>
              <w:spacing w:line="480" w:lineRule="auto"/>
              <w:jc w:val="both"/>
              <w:rPr>
                <w:rFonts w:cs="Arial"/>
              </w:rPr>
            </w:pPr>
            <w:r w:rsidRPr="002B289D">
              <w:rPr>
                <w:rFonts w:cs="Arial"/>
              </w:rPr>
              <w:t>estimated</w:t>
            </w:r>
          </w:p>
        </w:tc>
        <w:tc>
          <w:tcPr>
            <w:tcW w:w="2268" w:type="dxa"/>
            <w:tcMar>
              <w:left w:w="28" w:type="dxa"/>
            </w:tcMar>
          </w:tcPr>
          <w:p w:rsidR="00DF169B" w:rsidRPr="002B289D" w:rsidRDefault="00DF169B" w:rsidP="000261F8">
            <w:pPr>
              <w:spacing w:line="480" w:lineRule="auto"/>
              <w:jc w:val="both"/>
              <w:rPr>
                <w:rFonts w:cs="Arial"/>
              </w:rPr>
            </w:pPr>
            <w:r>
              <w:rPr>
                <w:rFonts w:cs="Arial"/>
              </w:rPr>
              <w:t>–</w:t>
            </w:r>
          </w:p>
        </w:tc>
        <w:tc>
          <w:tcPr>
            <w:tcW w:w="1666" w:type="dxa"/>
            <w:tcMar>
              <w:left w:w="28" w:type="dxa"/>
            </w:tcMar>
          </w:tcPr>
          <w:p w:rsidR="00DF169B" w:rsidRPr="002B289D" w:rsidRDefault="00DF169B" w:rsidP="000261F8">
            <w:pPr>
              <w:spacing w:line="480" w:lineRule="auto"/>
              <w:jc w:val="both"/>
              <w:rPr>
                <w:rFonts w:cs="Arial"/>
              </w:rPr>
            </w:pPr>
            <w:r w:rsidRPr="002B289D">
              <w:rPr>
                <w:rFonts w:cs="Arial"/>
              </w:rPr>
              <w:t>–</w:t>
            </w: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E21BF1"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d</m:t>
                    </m:r>
                  </m:e>
                  <m:sub>
                    <m:r>
                      <w:rPr>
                        <w:rFonts w:ascii="Cambria Math" w:hAnsi="Cambria Math" w:cs="Arial"/>
                      </w:rPr>
                      <m:t>3</m:t>
                    </m:r>
                  </m:sub>
                </m:sSub>
                <m:r>
                  <w:rPr>
                    <w:rFonts w:ascii="Cambria Math" w:hAnsi="Cambria Math" w:cs="Arial"/>
                  </w:rPr>
                  <m:t>(t)</m:t>
                </m:r>
              </m:oMath>
            </m:oMathPara>
          </w:p>
        </w:tc>
        <w:tc>
          <w:tcPr>
            <w:tcW w:w="1701" w:type="dxa"/>
            <w:tcMar>
              <w:left w:w="28" w:type="dxa"/>
            </w:tcMar>
          </w:tcPr>
          <w:p w:rsidR="00DF169B" w:rsidRPr="002B289D" w:rsidRDefault="00DF169B" w:rsidP="000261F8">
            <w:pPr>
              <w:spacing w:line="480" w:lineRule="auto"/>
              <w:jc w:val="both"/>
              <w:rPr>
                <w:rFonts w:cs="Arial"/>
              </w:rPr>
            </w:pPr>
            <w:r w:rsidRPr="002B289D">
              <w:rPr>
                <w:rFonts w:cs="Arial"/>
              </w:rPr>
              <w:t>estimated</w:t>
            </w:r>
          </w:p>
        </w:tc>
        <w:tc>
          <w:tcPr>
            <w:tcW w:w="2268" w:type="dxa"/>
            <w:tcMar>
              <w:left w:w="28" w:type="dxa"/>
            </w:tcMar>
          </w:tcPr>
          <w:p w:rsidR="00DF169B" w:rsidRPr="002B289D" w:rsidRDefault="00DF169B" w:rsidP="000261F8">
            <w:pPr>
              <w:spacing w:line="480" w:lineRule="auto"/>
              <w:jc w:val="both"/>
              <w:rPr>
                <w:rFonts w:cs="Arial"/>
              </w:rPr>
            </w:pPr>
            <w:r>
              <w:rPr>
                <w:rFonts w:cs="Arial"/>
              </w:rPr>
              <w:t>–</w:t>
            </w:r>
          </w:p>
        </w:tc>
        <w:tc>
          <w:tcPr>
            <w:tcW w:w="1666" w:type="dxa"/>
            <w:tcMar>
              <w:left w:w="28" w:type="dxa"/>
            </w:tcMar>
          </w:tcPr>
          <w:p w:rsidR="00DF169B" w:rsidRPr="002B289D" w:rsidRDefault="00DF169B" w:rsidP="000261F8">
            <w:pPr>
              <w:spacing w:line="480" w:lineRule="auto"/>
              <w:jc w:val="both"/>
              <w:rPr>
                <w:rFonts w:cs="Arial"/>
              </w:rPr>
            </w:pPr>
            <w:r w:rsidRPr="002B289D">
              <w:rPr>
                <w:rFonts w:cs="Arial"/>
              </w:rPr>
              <w:t>–</w:t>
            </w: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E21BF1"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d</m:t>
                    </m:r>
                  </m:e>
                  <m:sub>
                    <m:r>
                      <w:rPr>
                        <w:rFonts w:ascii="Cambria Math" w:hAnsi="Cambria Math" w:cs="Arial"/>
                      </w:rPr>
                      <m:t>4</m:t>
                    </m:r>
                  </m:sub>
                </m:sSub>
                <m:r>
                  <w:rPr>
                    <w:rFonts w:ascii="Cambria Math" w:hAnsi="Cambria Math" w:cs="Arial"/>
                  </w:rPr>
                  <m:t>(t)</m:t>
                </m:r>
              </m:oMath>
            </m:oMathPara>
          </w:p>
        </w:tc>
        <w:tc>
          <w:tcPr>
            <w:tcW w:w="1701" w:type="dxa"/>
            <w:tcMar>
              <w:left w:w="28" w:type="dxa"/>
            </w:tcMar>
          </w:tcPr>
          <w:p w:rsidR="00DF169B" w:rsidRPr="002B289D" w:rsidRDefault="00DF169B" w:rsidP="000261F8">
            <w:pPr>
              <w:spacing w:line="480" w:lineRule="auto"/>
              <w:jc w:val="both"/>
              <w:rPr>
                <w:rFonts w:cs="Arial"/>
              </w:rPr>
            </w:pPr>
            <w:r w:rsidRPr="002B289D">
              <w:rPr>
                <w:rFonts w:cs="Arial"/>
              </w:rPr>
              <w:t>estimated</w:t>
            </w:r>
          </w:p>
        </w:tc>
        <w:tc>
          <w:tcPr>
            <w:tcW w:w="2268" w:type="dxa"/>
            <w:tcMar>
              <w:left w:w="28" w:type="dxa"/>
            </w:tcMar>
          </w:tcPr>
          <w:p w:rsidR="00DF169B" w:rsidRPr="002B289D" w:rsidRDefault="00DF169B" w:rsidP="000261F8">
            <w:pPr>
              <w:spacing w:line="480" w:lineRule="auto"/>
              <w:jc w:val="both"/>
              <w:rPr>
                <w:rFonts w:cs="Arial"/>
              </w:rPr>
            </w:pPr>
            <w:r>
              <w:rPr>
                <w:rFonts w:cs="Arial"/>
              </w:rPr>
              <w:t>–</w:t>
            </w:r>
          </w:p>
        </w:tc>
        <w:tc>
          <w:tcPr>
            <w:tcW w:w="1666" w:type="dxa"/>
            <w:tcMar>
              <w:left w:w="28" w:type="dxa"/>
            </w:tcMar>
          </w:tcPr>
          <w:p w:rsidR="00DF169B" w:rsidRPr="002B289D" w:rsidRDefault="00DF169B" w:rsidP="000261F8">
            <w:pPr>
              <w:spacing w:line="480" w:lineRule="auto"/>
              <w:jc w:val="both"/>
              <w:rPr>
                <w:rFonts w:cs="Arial"/>
              </w:rPr>
            </w:pPr>
            <w:r w:rsidRPr="002B289D">
              <w:rPr>
                <w:rFonts w:cs="Arial"/>
              </w:rPr>
              <w:t>–</w:t>
            </w:r>
          </w:p>
        </w:tc>
      </w:tr>
      <w:tr w:rsidR="00DF169B" w:rsidRPr="002B289D" w:rsidTr="000C495F">
        <w:trPr>
          <w:trHeight w:val="548"/>
        </w:trPr>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E21BF1"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d</m:t>
                    </m:r>
                  </m:e>
                  <m:sub>
                    <m:r>
                      <w:rPr>
                        <w:rFonts w:ascii="Cambria Math" w:hAnsi="Cambria Math" w:cs="Arial"/>
                      </w:rPr>
                      <m:t>5</m:t>
                    </m:r>
                  </m:sub>
                </m:sSub>
                <m:r>
                  <w:rPr>
                    <w:rFonts w:ascii="Cambria Math" w:hAnsi="Cambria Math" w:cs="Arial"/>
                  </w:rPr>
                  <m:t>(t)</m:t>
                </m:r>
              </m:oMath>
            </m:oMathPara>
          </w:p>
        </w:tc>
        <w:tc>
          <w:tcPr>
            <w:tcW w:w="1701" w:type="dxa"/>
            <w:tcMar>
              <w:left w:w="28" w:type="dxa"/>
            </w:tcMar>
          </w:tcPr>
          <w:p w:rsidR="00DF169B" w:rsidRPr="002B289D" w:rsidRDefault="00DF169B" w:rsidP="000261F8">
            <w:pPr>
              <w:spacing w:line="480" w:lineRule="auto"/>
              <w:jc w:val="both"/>
              <w:rPr>
                <w:rFonts w:cs="Arial"/>
              </w:rPr>
            </w:pPr>
            <w:r w:rsidRPr="002B289D">
              <w:rPr>
                <w:rFonts w:cs="Arial"/>
              </w:rPr>
              <w:t>12</w:t>
            </w:r>
          </w:p>
        </w:tc>
        <w:tc>
          <w:tcPr>
            <w:tcW w:w="2268" w:type="dxa"/>
            <w:tcMar>
              <w:left w:w="28" w:type="dxa"/>
            </w:tcMar>
          </w:tcPr>
          <w:p w:rsidR="00DF169B" w:rsidRDefault="00DF169B" w:rsidP="000261F8">
            <w:pPr>
              <w:spacing w:line="480" w:lineRule="auto"/>
              <w:jc w:val="both"/>
              <w:rPr>
                <w:rFonts w:cs="Arial"/>
              </w:rPr>
            </w:pPr>
            <w:r>
              <w:rPr>
                <w:rFonts w:cs="Arial"/>
              </w:rPr>
              <w:t>–</w:t>
            </w:r>
          </w:p>
        </w:tc>
        <w:tc>
          <w:tcPr>
            <w:tcW w:w="1666" w:type="dxa"/>
            <w:tcMar>
              <w:left w:w="28" w:type="dxa"/>
            </w:tcMar>
          </w:tcPr>
          <w:p w:rsidR="00DF169B" w:rsidRPr="002B289D" w:rsidRDefault="00DF169B" w:rsidP="00CC75AA">
            <w:pPr>
              <w:spacing w:line="480" w:lineRule="auto"/>
              <w:jc w:val="both"/>
              <w:rPr>
                <w:rFonts w:cs="Arial"/>
              </w:rPr>
            </w:pPr>
            <w:r>
              <w:rPr>
                <w:rFonts w:cs="Arial"/>
                <w:noProof/>
              </w:rPr>
              <w:t>[18,19]</w:t>
            </w: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2F71F5"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d</m:t>
                    </m:r>
                  </m:e>
                  <m:sub>
                    <m:r>
                      <w:rPr>
                        <w:rFonts w:ascii="Cambria Math" w:hAnsi="Cambria Math" w:cs="Arial"/>
                      </w:rPr>
                      <m:t>symp</m:t>
                    </m:r>
                  </m:sub>
                </m:sSub>
                <m:r>
                  <w:rPr>
                    <w:rFonts w:ascii="Cambria Math" w:hAnsi="Cambria Math" w:cs="Arial"/>
                  </w:rPr>
                  <m:t>(t)</m:t>
                </m:r>
              </m:oMath>
            </m:oMathPara>
          </w:p>
        </w:tc>
        <w:tc>
          <w:tcPr>
            <w:tcW w:w="1701" w:type="dxa"/>
            <w:tcMar>
              <w:left w:w="28" w:type="dxa"/>
            </w:tcMar>
          </w:tcPr>
          <w:p w:rsidR="00DF169B" w:rsidRPr="00121116" w:rsidRDefault="00DF169B" w:rsidP="00267954">
            <w:pPr>
              <w:spacing w:line="480" w:lineRule="auto"/>
              <w:rPr>
                <w:rFonts w:cs="Arial"/>
              </w:rPr>
            </w:pPr>
            <w:r w:rsidRPr="00121116">
              <w:rPr>
                <w:rFonts w:cs="Arial"/>
              </w:rPr>
              <w:t>0 (</w:t>
            </w:r>
            <m:oMath>
              <m:r>
                <w:rPr>
                  <w:rFonts w:ascii="Cambria Math" w:hAnsi="Cambria Math" w:cs="Arial"/>
                </w:rPr>
                <m:t>t</m:t>
              </m:r>
            </m:oMath>
            <w:r w:rsidRPr="00121116">
              <w:rPr>
                <w:rFonts w:cs="Arial"/>
              </w:rPr>
              <w:t xml:space="preserve">&lt;1984), </w:t>
            </w:r>
          </w:p>
        </w:tc>
        <w:tc>
          <w:tcPr>
            <w:tcW w:w="2268" w:type="dxa"/>
            <w:tcMar>
              <w:left w:w="28" w:type="dxa"/>
            </w:tcMar>
          </w:tcPr>
          <w:p w:rsidR="00DF169B" w:rsidRPr="00121116" w:rsidRDefault="00DF169B" w:rsidP="000261F8">
            <w:pPr>
              <w:spacing w:line="480" w:lineRule="auto"/>
              <w:jc w:val="both"/>
              <w:rPr>
                <w:rFonts w:cs="Arial"/>
              </w:rPr>
            </w:pPr>
            <w:r w:rsidRPr="00121116">
              <w:rPr>
                <w:rFonts w:cs="Arial"/>
              </w:rPr>
              <w:t>–</w:t>
            </w:r>
          </w:p>
        </w:tc>
        <w:tc>
          <w:tcPr>
            <w:tcW w:w="1666" w:type="dxa"/>
            <w:tcMar>
              <w:left w:w="28" w:type="dxa"/>
            </w:tcMar>
          </w:tcPr>
          <w:p w:rsidR="00DF169B" w:rsidRDefault="00DF169B" w:rsidP="00C15E93">
            <w:pPr>
              <w:spacing w:line="480" w:lineRule="auto"/>
              <w:jc w:val="both"/>
              <w:rPr>
                <w:rFonts w:cs="Arial"/>
              </w:rPr>
            </w:pPr>
            <w:r w:rsidRPr="002F71F5">
              <w:rPr>
                <w:rFonts w:cs="Arial"/>
              </w:rPr>
              <w:t>assumption</w:t>
            </w: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Default="00DF169B" w:rsidP="000261F8">
            <w:pPr>
              <w:spacing w:line="480" w:lineRule="auto"/>
              <w:jc w:val="both"/>
              <w:rPr>
                <w:rFonts w:cs="Arial"/>
              </w:rPr>
            </w:pPr>
          </w:p>
        </w:tc>
        <w:tc>
          <w:tcPr>
            <w:tcW w:w="1701" w:type="dxa"/>
            <w:tcMar>
              <w:left w:w="28" w:type="dxa"/>
            </w:tcMar>
          </w:tcPr>
          <w:p w:rsidR="00DF169B" w:rsidRPr="00121116" w:rsidRDefault="00DF169B" w:rsidP="00FC0C15">
            <w:pPr>
              <w:spacing w:line="480" w:lineRule="auto"/>
              <w:rPr>
                <w:rFonts w:cs="Arial"/>
              </w:rPr>
            </w:pPr>
            <w:r w:rsidRPr="00121116">
              <w:rPr>
                <w:rFonts w:cs="Arial"/>
              </w:rPr>
              <w:t>0.4 (</w:t>
            </w:r>
            <m:oMath>
              <m:r>
                <w:rPr>
                  <w:rFonts w:ascii="Cambria Math" w:hAnsi="Cambria Math" w:cs="Arial"/>
                </w:rPr>
                <m:t>t</m:t>
              </m:r>
            </m:oMath>
            <w:r w:rsidRPr="00121116">
              <w:rPr>
                <w:rFonts w:eastAsiaTheme="minorEastAsia" w:cs="Arial"/>
              </w:rPr>
              <w:t>≥1984)</w:t>
            </w:r>
          </w:p>
        </w:tc>
        <w:tc>
          <w:tcPr>
            <w:tcW w:w="2268" w:type="dxa"/>
            <w:tcMar>
              <w:left w:w="28" w:type="dxa"/>
            </w:tcMar>
          </w:tcPr>
          <w:p w:rsidR="00DF169B" w:rsidRPr="00121116" w:rsidRDefault="00DF169B" w:rsidP="000261F8">
            <w:pPr>
              <w:spacing w:line="480" w:lineRule="auto"/>
              <w:jc w:val="both"/>
              <w:rPr>
                <w:rFonts w:cs="Arial"/>
              </w:rPr>
            </w:pPr>
            <w:r w:rsidRPr="00121116">
              <w:rPr>
                <w:rFonts w:cs="Arial"/>
              </w:rPr>
              <w:t>0.2 – 0.6</w:t>
            </w:r>
          </w:p>
        </w:tc>
        <w:tc>
          <w:tcPr>
            <w:tcW w:w="1666" w:type="dxa"/>
            <w:tcMar>
              <w:left w:w="28" w:type="dxa"/>
            </w:tcMar>
          </w:tcPr>
          <w:p w:rsidR="00DF169B" w:rsidRPr="002F71F5" w:rsidRDefault="00DF169B" w:rsidP="00C15E93">
            <w:pPr>
              <w:spacing w:line="480" w:lineRule="auto"/>
              <w:jc w:val="both"/>
              <w:rPr>
                <w:rFonts w:cs="Arial"/>
              </w:rPr>
            </w:pPr>
            <w:r w:rsidRPr="002F71F5">
              <w:rPr>
                <w:rFonts w:cs="Arial"/>
              </w:rPr>
              <w:t>assumption</w:t>
            </w:r>
          </w:p>
        </w:tc>
      </w:tr>
      <w:tr w:rsidR="00DF169B" w:rsidRPr="002B289D" w:rsidTr="000C495F">
        <w:tc>
          <w:tcPr>
            <w:tcW w:w="3039" w:type="dxa"/>
            <w:tcMar>
              <w:left w:w="28" w:type="dxa"/>
            </w:tcMar>
          </w:tcPr>
          <w:p w:rsidR="00DF169B" w:rsidRPr="00121116" w:rsidRDefault="00DF169B" w:rsidP="000261F8">
            <w:pPr>
              <w:spacing w:line="480" w:lineRule="auto"/>
              <w:rPr>
                <w:rFonts w:cs="Arial"/>
              </w:rPr>
            </w:pPr>
            <w:r w:rsidRPr="00121116">
              <w:rPr>
                <w:rFonts w:cs="Arial"/>
              </w:rPr>
              <w:t>Mortality rate due to causes other than HIV (per year)</w:t>
            </w:r>
          </w:p>
        </w:tc>
        <w:tc>
          <w:tcPr>
            <w:tcW w:w="1020" w:type="dxa"/>
            <w:tcMar>
              <w:left w:w="28" w:type="dxa"/>
              <w:right w:w="28" w:type="dxa"/>
            </w:tcMar>
          </w:tcPr>
          <w:p w:rsidR="00DF169B" w:rsidRPr="00121116" w:rsidRDefault="00DF169B" w:rsidP="0022570D">
            <w:pPr>
              <w:spacing w:line="480" w:lineRule="auto"/>
              <w:jc w:val="both"/>
              <w:rPr>
                <w:rFonts w:cs="Arial"/>
              </w:rPr>
            </w:pPr>
            <m:oMathPara>
              <m:oMathParaPr>
                <m:jc m:val="left"/>
              </m:oMathParaPr>
              <m:oMath>
                <m:r>
                  <w:rPr>
                    <w:rFonts w:ascii="Cambria Math" w:hAnsi="Cambria Math" w:cs="Arial"/>
                  </w:rPr>
                  <m:t>μ</m:t>
                </m:r>
              </m:oMath>
            </m:oMathPara>
          </w:p>
        </w:tc>
        <w:tc>
          <w:tcPr>
            <w:tcW w:w="1701" w:type="dxa"/>
            <w:tcMar>
              <w:left w:w="28" w:type="dxa"/>
            </w:tcMar>
          </w:tcPr>
          <w:p w:rsidR="00DF169B" w:rsidRPr="00121116" w:rsidRDefault="00DF169B" w:rsidP="000261F8">
            <w:pPr>
              <w:spacing w:line="480" w:lineRule="auto"/>
              <w:jc w:val="both"/>
              <w:rPr>
                <w:rFonts w:cs="Arial"/>
              </w:rPr>
            </w:pPr>
            <w:r w:rsidRPr="00121116">
              <w:rPr>
                <w:rFonts w:cs="Arial"/>
              </w:rPr>
              <w:t>0</w:t>
            </w:r>
          </w:p>
        </w:tc>
        <w:tc>
          <w:tcPr>
            <w:tcW w:w="2268" w:type="dxa"/>
            <w:tcMar>
              <w:left w:w="28" w:type="dxa"/>
            </w:tcMar>
          </w:tcPr>
          <w:p w:rsidR="00DF169B" w:rsidRPr="00121116" w:rsidRDefault="00DF169B" w:rsidP="000261F8">
            <w:pPr>
              <w:spacing w:line="480" w:lineRule="auto"/>
              <w:jc w:val="both"/>
              <w:rPr>
                <w:rFonts w:cs="Arial"/>
              </w:rPr>
            </w:pPr>
            <w:r w:rsidRPr="00121116">
              <w:rPr>
                <w:rFonts w:cs="Arial"/>
              </w:rPr>
              <w:t>–</w:t>
            </w:r>
          </w:p>
        </w:tc>
        <w:tc>
          <w:tcPr>
            <w:tcW w:w="1666" w:type="dxa"/>
            <w:tcMar>
              <w:left w:w="28" w:type="dxa"/>
            </w:tcMar>
          </w:tcPr>
          <w:p w:rsidR="00DF169B" w:rsidRPr="00121116" w:rsidRDefault="00DF169B" w:rsidP="000261F8">
            <w:pPr>
              <w:spacing w:line="480" w:lineRule="auto"/>
              <w:jc w:val="both"/>
              <w:rPr>
                <w:rFonts w:cs="Arial"/>
              </w:rPr>
            </w:pPr>
            <w:r w:rsidRPr="00121116">
              <w:rPr>
                <w:rFonts w:cs="Arial"/>
              </w:rPr>
              <w:t>assumption</w:t>
            </w:r>
          </w:p>
        </w:tc>
      </w:tr>
      <w:tr w:rsidR="00DF169B" w:rsidRPr="002B289D" w:rsidTr="000C495F">
        <w:tc>
          <w:tcPr>
            <w:tcW w:w="3039" w:type="dxa"/>
            <w:tcMar>
              <w:left w:w="28" w:type="dxa"/>
            </w:tcMar>
          </w:tcPr>
          <w:p w:rsidR="00DF169B" w:rsidRPr="002B289D" w:rsidRDefault="00DF169B" w:rsidP="000261F8">
            <w:pPr>
              <w:spacing w:line="480" w:lineRule="auto"/>
              <w:rPr>
                <w:rFonts w:cs="Arial"/>
              </w:rPr>
            </w:pPr>
            <w:r>
              <w:rPr>
                <w:rFonts w:cs="Arial"/>
              </w:rPr>
              <w:t>Start year of historical intervals for diagnosis rates</w:t>
            </w:r>
          </w:p>
        </w:tc>
        <w:tc>
          <w:tcPr>
            <w:tcW w:w="1020" w:type="dxa"/>
            <w:tcMar>
              <w:left w:w="28" w:type="dxa"/>
              <w:right w:w="28" w:type="dxa"/>
            </w:tcMar>
          </w:tcPr>
          <w:p w:rsidR="00DF169B" w:rsidRPr="00A867F2" w:rsidRDefault="00536BD6" w:rsidP="000261F8">
            <w:pPr>
              <w:spacing w:line="480" w:lineRule="auto"/>
              <w:jc w:val="both"/>
              <w:rPr>
                <w:rFonts w:cs="Arial"/>
                <w:i/>
              </w:rPr>
            </w:pPr>
            <m:oMathPara>
              <m:oMathParaPr>
                <m:jc m:val="left"/>
              </m:oMathParaPr>
              <m:oMath>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oMath>
            </m:oMathPara>
          </w:p>
        </w:tc>
        <w:tc>
          <w:tcPr>
            <w:tcW w:w="1701" w:type="dxa"/>
            <w:tcMar>
              <w:left w:w="28" w:type="dxa"/>
            </w:tcMar>
          </w:tcPr>
          <w:p w:rsidR="00DF169B" w:rsidRPr="002B289D" w:rsidRDefault="00DF169B" w:rsidP="000261F8">
            <w:pPr>
              <w:spacing w:line="480" w:lineRule="auto"/>
              <w:jc w:val="both"/>
              <w:rPr>
                <w:rFonts w:cs="Arial"/>
              </w:rPr>
            </w:pPr>
            <w:r>
              <w:rPr>
                <w:rFonts w:cs="Arial"/>
              </w:rPr>
              <w:t>1980</w:t>
            </w:r>
          </w:p>
        </w:tc>
        <w:tc>
          <w:tcPr>
            <w:tcW w:w="2268" w:type="dxa"/>
            <w:tcMar>
              <w:left w:w="28" w:type="dxa"/>
            </w:tcMar>
          </w:tcPr>
          <w:p w:rsidR="00DF169B" w:rsidRDefault="00DF169B" w:rsidP="000261F8">
            <w:pPr>
              <w:spacing w:line="480" w:lineRule="auto"/>
              <w:jc w:val="both"/>
              <w:rPr>
                <w:rFonts w:cs="Arial"/>
              </w:rPr>
            </w:pPr>
            <w:r>
              <w:rPr>
                <w:rFonts w:cs="Arial"/>
              </w:rPr>
              <w:t>–</w:t>
            </w:r>
          </w:p>
        </w:tc>
        <w:tc>
          <w:tcPr>
            <w:tcW w:w="1666" w:type="dxa"/>
            <w:tcMar>
              <w:left w:w="28" w:type="dxa"/>
            </w:tcMar>
          </w:tcPr>
          <w:p w:rsidR="00DF169B" w:rsidRDefault="00DF169B" w:rsidP="000261F8">
            <w:pPr>
              <w:spacing w:line="480" w:lineRule="auto"/>
              <w:jc w:val="both"/>
              <w:rPr>
                <w:rFonts w:cs="Arial"/>
              </w:rPr>
            </w:pP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A867F2"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oMath>
            </m:oMathPara>
          </w:p>
        </w:tc>
        <w:tc>
          <w:tcPr>
            <w:tcW w:w="1701" w:type="dxa"/>
            <w:tcMar>
              <w:left w:w="28" w:type="dxa"/>
            </w:tcMar>
          </w:tcPr>
          <w:p w:rsidR="00DF169B" w:rsidRPr="002B289D" w:rsidRDefault="00DF169B" w:rsidP="000261F8">
            <w:pPr>
              <w:spacing w:line="480" w:lineRule="auto"/>
              <w:jc w:val="both"/>
              <w:rPr>
                <w:rFonts w:cs="Arial"/>
              </w:rPr>
            </w:pPr>
            <w:r>
              <w:rPr>
                <w:rFonts w:cs="Arial"/>
              </w:rPr>
              <w:t>1984</w:t>
            </w:r>
          </w:p>
        </w:tc>
        <w:tc>
          <w:tcPr>
            <w:tcW w:w="2268" w:type="dxa"/>
            <w:tcMar>
              <w:left w:w="28" w:type="dxa"/>
            </w:tcMar>
          </w:tcPr>
          <w:p w:rsidR="00DF169B" w:rsidRDefault="00DF169B" w:rsidP="000261F8">
            <w:pPr>
              <w:spacing w:line="480" w:lineRule="auto"/>
              <w:jc w:val="both"/>
              <w:rPr>
                <w:rFonts w:cs="Arial"/>
              </w:rPr>
            </w:pPr>
            <w:r>
              <w:rPr>
                <w:rFonts w:cs="Arial"/>
              </w:rPr>
              <w:t>–</w:t>
            </w:r>
          </w:p>
        </w:tc>
        <w:tc>
          <w:tcPr>
            <w:tcW w:w="1666" w:type="dxa"/>
            <w:tcMar>
              <w:left w:w="28" w:type="dxa"/>
            </w:tcMar>
          </w:tcPr>
          <w:p w:rsidR="00DF169B" w:rsidRDefault="00DF169B" w:rsidP="000261F8">
            <w:pPr>
              <w:spacing w:line="480" w:lineRule="auto"/>
              <w:jc w:val="both"/>
              <w:rPr>
                <w:rFonts w:cs="Arial"/>
              </w:rPr>
            </w:pP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A867F2"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t</m:t>
                    </m:r>
                  </m:e>
                  <m:sub>
                    <m:r>
                      <w:rPr>
                        <w:rFonts w:ascii="Cambria Math" w:hAnsi="Cambria Math" w:cs="Arial"/>
                      </w:rPr>
                      <m:t>3</m:t>
                    </m:r>
                  </m:sub>
                </m:sSub>
              </m:oMath>
            </m:oMathPara>
          </w:p>
        </w:tc>
        <w:tc>
          <w:tcPr>
            <w:tcW w:w="1701" w:type="dxa"/>
            <w:tcMar>
              <w:left w:w="28" w:type="dxa"/>
            </w:tcMar>
          </w:tcPr>
          <w:p w:rsidR="00DF169B" w:rsidRPr="002B289D" w:rsidRDefault="00DF169B" w:rsidP="000261F8">
            <w:pPr>
              <w:spacing w:line="480" w:lineRule="auto"/>
              <w:jc w:val="both"/>
              <w:rPr>
                <w:rFonts w:cs="Arial"/>
              </w:rPr>
            </w:pPr>
            <w:r>
              <w:rPr>
                <w:rFonts w:cs="Arial"/>
              </w:rPr>
              <w:t>1996</w:t>
            </w:r>
          </w:p>
        </w:tc>
        <w:tc>
          <w:tcPr>
            <w:tcW w:w="2268" w:type="dxa"/>
            <w:tcMar>
              <w:left w:w="28" w:type="dxa"/>
            </w:tcMar>
          </w:tcPr>
          <w:p w:rsidR="00DF169B" w:rsidRDefault="00DF169B" w:rsidP="000261F8">
            <w:pPr>
              <w:spacing w:line="480" w:lineRule="auto"/>
              <w:jc w:val="both"/>
              <w:rPr>
                <w:rFonts w:cs="Arial"/>
              </w:rPr>
            </w:pPr>
            <w:r>
              <w:rPr>
                <w:rFonts w:cs="Arial"/>
              </w:rPr>
              <w:t>1995 – 1997</w:t>
            </w:r>
          </w:p>
        </w:tc>
        <w:tc>
          <w:tcPr>
            <w:tcW w:w="1666" w:type="dxa"/>
            <w:tcMar>
              <w:left w:w="28" w:type="dxa"/>
            </w:tcMar>
          </w:tcPr>
          <w:p w:rsidR="00DF169B" w:rsidRDefault="00DF169B" w:rsidP="000261F8">
            <w:pPr>
              <w:spacing w:line="480" w:lineRule="auto"/>
              <w:jc w:val="both"/>
              <w:rPr>
                <w:rFonts w:cs="Arial"/>
              </w:rPr>
            </w:pP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A867F2"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t</m:t>
                    </m:r>
                  </m:e>
                  <m:sub>
                    <m:r>
                      <w:rPr>
                        <w:rFonts w:ascii="Cambria Math" w:hAnsi="Cambria Math" w:cs="Arial"/>
                      </w:rPr>
                      <m:t>4</m:t>
                    </m:r>
                  </m:sub>
                </m:sSub>
              </m:oMath>
            </m:oMathPara>
          </w:p>
        </w:tc>
        <w:tc>
          <w:tcPr>
            <w:tcW w:w="1701" w:type="dxa"/>
            <w:tcMar>
              <w:left w:w="28" w:type="dxa"/>
            </w:tcMar>
          </w:tcPr>
          <w:p w:rsidR="00DF169B" w:rsidRPr="002B289D" w:rsidRDefault="00DF169B" w:rsidP="000261F8">
            <w:pPr>
              <w:spacing w:line="480" w:lineRule="auto"/>
              <w:jc w:val="both"/>
              <w:rPr>
                <w:rFonts w:cs="Arial"/>
              </w:rPr>
            </w:pPr>
            <w:r>
              <w:rPr>
                <w:rFonts w:cs="Arial"/>
              </w:rPr>
              <w:t>2000</w:t>
            </w:r>
          </w:p>
        </w:tc>
        <w:tc>
          <w:tcPr>
            <w:tcW w:w="2268" w:type="dxa"/>
            <w:tcMar>
              <w:left w:w="28" w:type="dxa"/>
            </w:tcMar>
          </w:tcPr>
          <w:p w:rsidR="00DF169B" w:rsidRDefault="00DF169B" w:rsidP="000261F8">
            <w:pPr>
              <w:spacing w:line="480" w:lineRule="auto"/>
              <w:jc w:val="both"/>
              <w:rPr>
                <w:rFonts w:cs="Arial"/>
              </w:rPr>
            </w:pPr>
            <w:r>
              <w:rPr>
                <w:rFonts w:cs="Arial"/>
              </w:rPr>
              <w:t>1999 – 2001</w:t>
            </w:r>
          </w:p>
        </w:tc>
        <w:tc>
          <w:tcPr>
            <w:tcW w:w="1666" w:type="dxa"/>
            <w:tcMar>
              <w:left w:w="28" w:type="dxa"/>
            </w:tcMar>
          </w:tcPr>
          <w:p w:rsidR="00DF169B" w:rsidRDefault="00DF169B" w:rsidP="000261F8">
            <w:pPr>
              <w:spacing w:line="480" w:lineRule="auto"/>
              <w:jc w:val="both"/>
              <w:rPr>
                <w:rFonts w:cs="Arial"/>
              </w:rPr>
            </w:pPr>
          </w:p>
        </w:tc>
      </w:tr>
      <w:tr w:rsidR="00DF169B" w:rsidRPr="002B289D" w:rsidTr="000C495F">
        <w:tc>
          <w:tcPr>
            <w:tcW w:w="3039" w:type="dxa"/>
            <w:tcMar>
              <w:left w:w="28" w:type="dxa"/>
            </w:tcMar>
          </w:tcPr>
          <w:p w:rsidR="00DF169B" w:rsidRPr="002B289D" w:rsidRDefault="00DF169B" w:rsidP="000261F8">
            <w:pPr>
              <w:spacing w:line="480" w:lineRule="auto"/>
              <w:jc w:val="both"/>
              <w:rPr>
                <w:rFonts w:cs="Arial"/>
              </w:rPr>
            </w:pPr>
          </w:p>
        </w:tc>
        <w:tc>
          <w:tcPr>
            <w:tcW w:w="1020" w:type="dxa"/>
            <w:tcMar>
              <w:left w:w="28" w:type="dxa"/>
              <w:right w:w="28" w:type="dxa"/>
            </w:tcMar>
          </w:tcPr>
          <w:p w:rsidR="00DF169B" w:rsidRPr="00A867F2"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t</m:t>
                    </m:r>
                  </m:e>
                  <m:sub>
                    <m:r>
                      <w:rPr>
                        <w:rFonts w:ascii="Cambria Math" w:hAnsi="Cambria Math" w:cs="Arial"/>
                      </w:rPr>
                      <m:t>5</m:t>
                    </m:r>
                  </m:sub>
                </m:sSub>
              </m:oMath>
            </m:oMathPara>
          </w:p>
        </w:tc>
        <w:tc>
          <w:tcPr>
            <w:tcW w:w="1701" w:type="dxa"/>
            <w:tcMar>
              <w:left w:w="28" w:type="dxa"/>
            </w:tcMar>
          </w:tcPr>
          <w:p w:rsidR="00DF169B" w:rsidRPr="002B289D" w:rsidRDefault="00DF169B" w:rsidP="000261F8">
            <w:pPr>
              <w:spacing w:line="480" w:lineRule="auto"/>
              <w:jc w:val="both"/>
              <w:rPr>
                <w:rFonts w:cs="Arial"/>
              </w:rPr>
            </w:pPr>
            <w:r>
              <w:rPr>
                <w:rFonts w:cs="Arial"/>
              </w:rPr>
              <w:t>2005</w:t>
            </w:r>
          </w:p>
        </w:tc>
        <w:tc>
          <w:tcPr>
            <w:tcW w:w="2268" w:type="dxa"/>
            <w:tcMar>
              <w:left w:w="28" w:type="dxa"/>
            </w:tcMar>
          </w:tcPr>
          <w:p w:rsidR="00DF169B" w:rsidRDefault="00DF169B" w:rsidP="000261F8">
            <w:pPr>
              <w:spacing w:line="480" w:lineRule="auto"/>
              <w:jc w:val="both"/>
              <w:rPr>
                <w:rFonts w:cs="Arial"/>
              </w:rPr>
            </w:pPr>
            <w:r>
              <w:rPr>
                <w:rFonts w:cs="Arial"/>
              </w:rPr>
              <w:t>2004 – 2006</w:t>
            </w:r>
          </w:p>
        </w:tc>
        <w:tc>
          <w:tcPr>
            <w:tcW w:w="1666" w:type="dxa"/>
            <w:tcMar>
              <w:left w:w="28" w:type="dxa"/>
            </w:tcMar>
          </w:tcPr>
          <w:p w:rsidR="00DF169B" w:rsidRDefault="00DF169B" w:rsidP="000261F8">
            <w:pPr>
              <w:spacing w:line="480" w:lineRule="auto"/>
              <w:jc w:val="both"/>
              <w:rPr>
                <w:rFonts w:cs="Arial"/>
              </w:rPr>
            </w:pPr>
          </w:p>
        </w:tc>
      </w:tr>
      <w:tr w:rsidR="00DF169B" w:rsidRPr="002B289D" w:rsidTr="000C495F">
        <w:tc>
          <w:tcPr>
            <w:tcW w:w="3039" w:type="dxa"/>
            <w:tcMar>
              <w:left w:w="28" w:type="dxa"/>
            </w:tcMar>
          </w:tcPr>
          <w:p w:rsidR="00DF169B" w:rsidRPr="005156B8" w:rsidRDefault="00DF169B" w:rsidP="000261F8">
            <w:pPr>
              <w:spacing w:line="480" w:lineRule="auto"/>
              <w:jc w:val="both"/>
              <w:rPr>
                <w:rFonts w:cs="Arial"/>
              </w:rPr>
            </w:pPr>
            <w:r w:rsidRPr="005156B8">
              <w:rPr>
                <w:rFonts w:cs="Arial"/>
              </w:rPr>
              <w:t>Number of internal knots</w:t>
            </w:r>
          </w:p>
        </w:tc>
        <w:tc>
          <w:tcPr>
            <w:tcW w:w="1020" w:type="dxa"/>
            <w:tcMar>
              <w:left w:w="28" w:type="dxa"/>
              <w:right w:w="28" w:type="dxa"/>
            </w:tcMar>
          </w:tcPr>
          <w:p w:rsidR="00DF169B" w:rsidRPr="005156B8" w:rsidRDefault="00DF169B" w:rsidP="00E85B3C">
            <w:pPr>
              <w:spacing w:line="480" w:lineRule="auto"/>
              <w:jc w:val="both"/>
              <w:rPr>
                <w:rFonts w:cs="Arial"/>
              </w:rPr>
            </w:pPr>
            <m:oMathPara>
              <m:oMathParaPr>
                <m:jc m:val="left"/>
              </m:oMathParaPr>
              <m:oMath>
                <m:r>
                  <w:rPr>
                    <w:rFonts w:ascii="Cambria Math" w:hAnsi="Cambria Math" w:cs="Arial"/>
                  </w:rPr>
                  <m:t>k</m:t>
                </m:r>
              </m:oMath>
            </m:oMathPara>
          </w:p>
        </w:tc>
        <w:tc>
          <w:tcPr>
            <w:tcW w:w="1701" w:type="dxa"/>
            <w:tcMar>
              <w:left w:w="28" w:type="dxa"/>
            </w:tcMar>
          </w:tcPr>
          <w:p w:rsidR="00DF169B" w:rsidRPr="005156B8" w:rsidRDefault="00DF169B" w:rsidP="000261F8">
            <w:pPr>
              <w:spacing w:line="480" w:lineRule="auto"/>
              <w:jc w:val="both"/>
              <w:rPr>
                <w:rFonts w:cs="Arial"/>
              </w:rPr>
            </w:pPr>
            <w:r w:rsidRPr="005156B8">
              <w:rPr>
                <w:rFonts w:cs="Arial"/>
              </w:rPr>
              <w:t>2 to 6</w:t>
            </w:r>
          </w:p>
        </w:tc>
        <w:tc>
          <w:tcPr>
            <w:tcW w:w="2268" w:type="dxa"/>
            <w:tcMar>
              <w:left w:w="28" w:type="dxa"/>
            </w:tcMar>
          </w:tcPr>
          <w:p w:rsidR="00DF169B" w:rsidRPr="005156B8" w:rsidRDefault="00DF169B" w:rsidP="000261F8">
            <w:pPr>
              <w:spacing w:line="480" w:lineRule="auto"/>
              <w:jc w:val="both"/>
              <w:rPr>
                <w:rFonts w:cs="Arial"/>
              </w:rPr>
            </w:pPr>
            <w:r w:rsidRPr="005156B8">
              <w:rPr>
                <w:rFonts w:cs="Arial"/>
              </w:rPr>
              <w:t>–</w:t>
            </w:r>
          </w:p>
        </w:tc>
        <w:tc>
          <w:tcPr>
            <w:tcW w:w="1666" w:type="dxa"/>
            <w:tcMar>
              <w:left w:w="28" w:type="dxa"/>
            </w:tcMar>
          </w:tcPr>
          <w:p w:rsidR="00DF169B" w:rsidRDefault="00DF169B" w:rsidP="000261F8">
            <w:pPr>
              <w:spacing w:line="480" w:lineRule="auto"/>
              <w:jc w:val="both"/>
              <w:rPr>
                <w:rFonts w:cs="Arial"/>
              </w:rPr>
            </w:pPr>
          </w:p>
        </w:tc>
      </w:tr>
    </w:tbl>
    <w:p w:rsidR="00DF169B" w:rsidRPr="002B289D" w:rsidRDefault="00DF169B" w:rsidP="000261F8">
      <w:pPr>
        <w:spacing w:line="480" w:lineRule="auto"/>
        <w:jc w:val="both"/>
        <w:rPr>
          <w:rFonts w:cs="Arial"/>
        </w:rPr>
      </w:pPr>
    </w:p>
    <w:p w:rsidR="00DF169B" w:rsidRDefault="00DF169B" w:rsidP="000261F8">
      <w:pPr>
        <w:spacing w:line="480" w:lineRule="auto"/>
        <w:jc w:val="both"/>
      </w:pPr>
    </w:p>
    <w:p w:rsidR="00DF169B" w:rsidRDefault="00DF169B" w:rsidP="000261F8">
      <w:pPr>
        <w:spacing w:line="480" w:lineRule="auto"/>
        <w:jc w:val="both"/>
      </w:pPr>
    </w:p>
    <w:p w:rsidR="00DF169B" w:rsidRDefault="00DF169B" w:rsidP="000261F8">
      <w:pPr>
        <w:spacing w:line="480" w:lineRule="auto"/>
        <w:jc w:val="both"/>
        <w:sectPr w:rsidR="00DF169B" w:rsidSect="004D38CF">
          <w:pgSz w:w="11906" w:h="16838"/>
          <w:pgMar w:top="1134" w:right="1134" w:bottom="1134" w:left="1134" w:header="708" w:footer="708" w:gutter="0"/>
          <w:cols w:space="708"/>
          <w:docGrid w:linePitch="360"/>
        </w:sectPr>
      </w:pPr>
    </w:p>
    <w:p w:rsidR="00DF169B" w:rsidRDefault="00E36400" w:rsidP="000261F8">
      <w:pPr>
        <w:spacing w:line="480" w:lineRule="auto"/>
        <w:jc w:val="both"/>
      </w:pPr>
      <w:proofErr w:type="spellStart"/>
      <w:r>
        <w:rPr>
          <w:b/>
        </w:rPr>
        <w:lastRenderedPageBreak/>
        <w:t>e</w:t>
      </w:r>
      <w:r w:rsidR="00DF169B" w:rsidRPr="00C00A02">
        <w:rPr>
          <w:b/>
        </w:rPr>
        <w:t>Table</w:t>
      </w:r>
      <w:proofErr w:type="spellEnd"/>
      <w:r w:rsidR="00DF169B" w:rsidRPr="00C00A02">
        <w:rPr>
          <w:b/>
        </w:rPr>
        <w:t xml:space="preserve"> 2</w:t>
      </w:r>
      <w:r w:rsidR="00DF169B">
        <w:t xml:space="preserve">: Partial rank correlation coefficients for the association between each input parameter and four model outcomes: the estimated time to diagnosis, the cumulative number of infections since 1980, the number of undiagnosed infections, and the proportion of undiagnosed infections. All model outcomes were evaluated at the end of 2011. </w:t>
      </w:r>
      <w:r w:rsidR="00DF169B" w:rsidRPr="009D2A3F">
        <w:rPr>
          <w:vertAlign w:val="superscript"/>
        </w:rPr>
        <w:t>**</w:t>
      </w:r>
      <w:r w:rsidR="00DF169B" w:rsidRPr="009D2A3F">
        <w:rPr>
          <w:i/>
        </w:rPr>
        <w:t>p</w:t>
      </w:r>
      <w:r w:rsidR="00DF169B">
        <w:t xml:space="preserve">&lt;0.001; </w:t>
      </w:r>
      <w:r w:rsidR="00DF169B" w:rsidRPr="009D2A3F">
        <w:rPr>
          <w:vertAlign w:val="superscript"/>
        </w:rPr>
        <w:t>*</w:t>
      </w:r>
      <w:r w:rsidR="00DF169B" w:rsidRPr="009D2A3F">
        <w:rPr>
          <w:i/>
        </w:rPr>
        <w:t>p</w:t>
      </w:r>
      <w:r w:rsidR="00DF169B">
        <w:t>&lt;0.01.</w:t>
      </w:r>
    </w:p>
    <w:p w:rsidR="00DF169B" w:rsidRDefault="00DF169B" w:rsidP="000261F8">
      <w:pPr>
        <w:spacing w:line="480" w:lineRule="auto"/>
        <w:jc w:val="both"/>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2053"/>
        <w:gridCol w:w="2054"/>
        <w:gridCol w:w="2056"/>
        <w:gridCol w:w="2055"/>
      </w:tblGrid>
      <w:tr w:rsidR="00DF169B" w:rsidTr="00DB644B">
        <w:tc>
          <w:tcPr>
            <w:tcW w:w="1422" w:type="dxa"/>
            <w:tcBorders>
              <w:top w:val="single" w:sz="4" w:space="0" w:color="auto"/>
              <w:bottom w:val="nil"/>
            </w:tcBorders>
            <w:tcMar>
              <w:left w:w="0" w:type="dxa"/>
              <w:right w:w="0" w:type="dxa"/>
            </w:tcMar>
          </w:tcPr>
          <w:p w:rsidR="00DF169B" w:rsidRPr="009D2A3F" w:rsidRDefault="00DF169B" w:rsidP="000261F8">
            <w:pPr>
              <w:spacing w:line="480" w:lineRule="auto"/>
              <w:rPr>
                <w:rFonts w:cs="Arial"/>
              </w:rPr>
            </w:pPr>
            <w:r w:rsidRPr="009D2A3F">
              <w:rPr>
                <w:rFonts w:cs="Arial"/>
              </w:rPr>
              <w:t>Parameter</w:t>
            </w:r>
          </w:p>
        </w:tc>
        <w:tc>
          <w:tcPr>
            <w:tcW w:w="2061" w:type="dxa"/>
            <w:tcBorders>
              <w:top w:val="single" w:sz="4" w:space="0" w:color="auto"/>
              <w:bottom w:val="nil"/>
            </w:tcBorders>
            <w:tcMar>
              <w:left w:w="28" w:type="dxa"/>
              <w:right w:w="28" w:type="dxa"/>
            </w:tcMar>
          </w:tcPr>
          <w:p w:rsidR="00DF169B" w:rsidRPr="00C00A02" w:rsidRDefault="00DF169B" w:rsidP="000261F8">
            <w:pPr>
              <w:spacing w:line="480" w:lineRule="auto"/>
              <w:jc w:val="right"/>
            </w:pPr>
            <w:r>
              <w:t>Time to diagnosis</w:t>
            </w:r>
          </w:p>
        </w:tc>
        <w:tc>
          <w:tcPr>
            <w:tcW w:w="2061" w:type="dxa"/>
            <w:tcBorders>
              <w:top w:val="single" w:sz="4" w:space="0" w:color="auto"/>
              <w:bottom w:val="nil"/>
            </w:tcBorders>
            <w:tcMar>
              <w:left w:w="0" w:type="dxa"/>
              <w:right w:w="0" w:type="dxa"/>
            </w:tcMar>
          </w:tcPr>
          <w:p w:rsidR="00DF169B" w:rsidRDefault="00DF169B" w:rsidP="000261F8">
            <w:pPr>
              <w:spacing w:line="480" w:lineRule="auto"/>
              <w:jc w:val="right"/>
            </w:pPr>
            <w:r>
              <w:t>Cumulative number of infections</w:t>
            </w:r>
          </w:p>
        </w:tc>
        <w:tc>
          <w:tcPr>
            <w:tcW w:w="2061" w:type="dxa"/>
            <w:tcBorders>
              <w:top w:val="single" w:sz="4" w:space="0" w:color="auto"/>
              <w:bottom w:val="nil"/>
            </w:tcBorders>
            <w:tcMar>
              <w:left w:w="0" w:type="dxa"/>
              <w:right w:w="0" w:type="dxa"/>
            </w:tcMar>
          </w:tcPr>
          <w:p w:rsidR="00DF169B" w:rsidRDefault="00DF169B" w:rsidP="000261F8">
            <w:pPr>
              <w:spacing w:line="480" w:lineRule="auto"/>
              <w:jc w:val="right"/>
            </w:pPr>
            <w:r>
              <w:t>Undiagnosed infections</w:t>
            </w:r>
          </w:p>
        </w:tc>
        <w:tc>
          <w:tcPr>
            <w:tcW w:w="2061" w:type="dxa"/>
            <w:tcBorders>
              <w:top w:val="single" w:sz="4" w:space="0" w:color="auto"/>
              <w:bottom w:val="nil"/>
            </w:tcBorders>
            <w:tcMar>
              <w:left w:w="0" w:type="dxa"/>
              <w:right w:w="0" w:type="dxa"/>
            </w:tcMar>
          </w:tcPr>
          <w:p w:rsidR="00DF169B" w:rsidRDefault="00DF169B" w:rsidP="000261F8">
            <w:pPr>
              <w:spacing w:line="480" w:lineRule="auto"/>
              <w:jc w:val="right"/>
            </w:pPr>
            <w:r>
              <w:t>% undiagnosed infections</w:t>
            </w:r>
          </w:p>
        </w:tc>
      </w:tr>
      <w:tr w:rsidR="00DF169B" w:rsidTr="00DB644B">
        <w:tc>
          <w:tcPr>
            <w:tcW w:w="1422" w:type="dxa"/>
            <w:tcBorders>
              <w:top w:val="single" w:sz="4" w:space="0" w:color="auto"/>
              <w:bottom w:val="nil"/>
            </w:tcBorders>
            <w:tcMar>
              <w:left w:w="0" w:type="dxa"/>
              <w:right w:w="0" w:type="dxa"/>
            </w:tcMar>
          </w:tcPr>
          <w:p w:rsidR="00DF169B" w:rsidRPr="003C6D85"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P</m:t>
                    </m:r>
                  </m:sub>
                </m:sSub>
              </m:oMath>
            </m:oMathPara>
          </w:p>
        </w:tc>
        <w:tc>
          <w:tcPr>
            <w:tcW w:w="2061" w:type="dxa"/>
            <w:tcBorders>
              <w:top w:val="single" w:sz="4" w:space="0" w:color="auto"/>
              <w:bottom w:val="nil"/>
            </w:tcBorders>
            <w:tcMar>
              <w:left w:w="28" w:type="dxa"/>
              <w:right w:w="28" w:type="dxa"/>
            </w:tcMar>
          </w:tcPr>
          <w:p w:rsidR="00DF169B" w:rsidRDefault="00DF169B" w:rsidP="0018707A">
            <w:pPr>
              <w:spacing w:line="480" w:lineRule="auto"/>
              <w:jc w:val="right"/>
            </w:pPr>
            <w:r w:rsidRPr="00BB66AF">
              <w:rPr>
                <w:vertAlign w:val="superscript"/>
              </w:rPr>
              <w:t>**</w:t>
            </w:r>
            <w:r>
              <w:t>-0.87</w:t>
            </w:r>
          </w:p>
        </w:tc>
        <w:tc>
          <w:tcPr>
            <w:tcW w:w="2061" w:type="dxa"/>
            <w:tcBorders>
              <w:top w:val="single" w:sz="4" w:space="0" w:color="auto"/>
              <w:bottom w:val="nil"/>
            </w:tcBorders>
            <w:tcMar>
              <w:left w:w="0" w:type="dxa"/>
              <w:right w:w="0" w:type="dxa"/>
            </w:tcMar>
          </w:tcPr>
          <w:p w:rsidR="00DF169B" w:rsidRDefault="00DF169B" w:rsidP="0097605F">
            <w:pPr>
              <w:spacing w:line="480" w:lineRule="auto"/>
              <w:jc w:val="right"/>
            </w:pPr>
            <w:r w:rsidRPr="00BB66AF">
              <w:rPr>
                <w:vertAlign w:val="superscript"/>
              </w:rPr>
              <w:t>**</w:t>
            </w:r>
            <w:r>
              <w:t>-0.87</w:t>
            </w:r>
          </w:p>
        </w:tc>
        <w:tc>
          <w:tcPr>
            <w:tcW w:w="2061" w:type="dxa"/>
            <w:tcBorders>
              <w:top w:val="single" w:sz="4" w:space="0" w:color="auto"/>
              <w:bottom w:val="nil"/>
            </w:tcBorders>
            <w:tcMar>
              <w:left w:w="0" w:type="dxa"/>
              <w:right w:w="0" w:type="dxa"/>
            </w:tcMar>
          </w:tcPr>
          <w:p w:rsidR="00DF169B" w:rsidRDefault="00DF169B" w:rsidP="0097605F">
            <w:pPr>
              <w:spacing w:line="480" w:lineRule="auto"/>
              <w:jc w:val="right"/>
            </w:pPr>
            <w:r w:rsidRPr="00BB66AF">
              <w:rPr>
                <w:vertAlign w:val="superscript"/>
              </w:rPr>
              <w:t>**</w:t>
            </w:r>
            <w:r>
              <w:t>-0.86</w:t>
            </w:r>
          </w:p>
        </w:tc>
        <w:tc>
          <w:tcPr>
            <w:tcW w:w="2061" w:type="dxa"/>
            <w:tcBorders>
              <w:top w:val="single" w:sz="4" w:space="0" w:color="auto"/>
              <w:bottom w:val="nil"/>
            </w:tcBorders>
            <w:tcMar>
              <w:left w:w="0" w:type="dxa"/>
              <w:right w:w="0" w:type="dxa"/>
            </w:tcMar>
          </w:tcPr>
          <w:p w:rsidR="00DF169B" w:rsidRDefault="00DF169B" w:rsidP="0097605F">
            <w:pPr>
              <w:spacing w:line="480" w:lineRule="auto"/>
              <w:jc w:val="right"/>
            </w:pPr>
            <w:r w:rsidRPr="00BB66AF">
              <w:rPr>
                <w:vertAlign w:val="superscript"/>
              </w:rPr>
              <w:t>**</w:t>
            </w:r>
            <w:r>
              <w:t>-0.86</w:t>
            </w:r>
          </w:p>
        </w:tc>
      </w:tr>
      <w:tr w:rsidR="00DF169B" w:rsidTr="00DB644B">
        <w:tc>
          <w:tcPr>
            <w:tcW w:w="1422" w:type="dxa"/>
            <w:tcBorders>
              <w:top w:val="nil"/>
            </w:tcBorders>
            <w:tcMar>
              <w:left w:w="0" w:type="dxa"/>
              <w:right w:w="0" w:type="dxa"/>
            </w:tcMar>
          </w:tcPr>
          <w:p w:rsidR="00DF169B" w:rsidRPr="003C6D85"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1</m:t>
                    </m:r>
                  </m:sub>
                </m:sSub>
              </m:oMath>
            </m:oMathPara>
          </w:p>
        </w:tc>
        <w:tc>
          <w:tcPr>
            <w:tcW w:w="2061" w:type="dxa"/>
            <w:tcBorders>
              <w:top w:val="nil"/>
            </w:tcBorders>
            <w:tcMar>
              <w:left w:w="28" w:type="dxa"/>
              <w:right w:w="28" w:type="dxa"/>
            </w:tcMar>
          </w:tcPr>
          <w:p w:rsidR="00DF169B" w:rsidRDefault="00DF169B" w:rsidP="000261F8">
            <w:pPr>
              <w:spacing w:line="480" w:lineRule="auto"/>
              <w:jc w:val="right"/>
            </w:pPr>
            <w:r w:rsidRPr="00BB66AF">
              <w:rPr>
                <w:vertAlign w:val="superscript"/>
              </w:rPr>
              <w:t>**</w:t>
            </w:r>
            <w:r>
              <w:t>-0.95</w:t>
            </w:r>
          </w:p>
        </w:tc>
        <w:tc>
          <w:tcPr>
            <w:tcW w:w="2061" w:type="dxa"/>
            <w:tcBorders>
              <w:top w:val="nil"/>
            </w:tcBorders>
            <w:tcMar>
              <w:left w:w="0" w:type="dxa"/>
              <w:right w:w="0" w:type="dxa"/>
            </w:tcMar>
          </w:tcPr>
          <w:p w:rsidR="00DF169B" w:rsidRDefault="00DF169B" w:rsidP="000261F8">
            <w:pPr>
              <w:spacing w:line="480" w:lineRule="auto"/>
              <w:jc w:val="right"/>
            </w:pPr>
            <w:r w:rsidRPr="00BB66AF">
              <w:rPr>
                <w:vertAlign w:val="superscript"/>
              </w:rPr>
              <w:t>**</w:t>
            </w:r>
            <w:r>
              <w:t>-0.93</w:t>
            </w:r>
          </w:p>
        </w:tc>
        <w:tc>
          <w:tcPr>
            <w:tcW w:w="2061" w:type="dxa"/>
            <w:tcBorders>
              <w:top w:val="nil"/>
            </w:tcBorders>
            <w:tcMar>
              <w:left w:w="0" w:type="dxa"/>
              <w:right w:w="0" w:type="dxa"/>
            </w:tcMar>
          </w:tcPr>
          <w:p w:rsidR="00DF169B" w:rsidRDefault="00DF169B" w:rsidP="0097605F">
            <w:pPr>
              <w:spacing w:line="480" w:lineRule="auto"/>
              <w:jc w:val="right"/>
            </w:pPr>
            <w:r w:rsidRPr="00BB66AF">
              <w:rPr>
                <w:vertAlign w:val="superscript"/>
              </w:rPr>
              <w:t>**</w:t>
            </w:r>
            <w:r>
              <w:t>-0.96</w:t>
            </w:r>
          </w:p>
        </w:tc>
        <w:tc>
          <w:tcPr>
            <w:tcW w:w="2061" w:type="dxa"/>
            <w:tcBorders>
              <w:top w:val="nil"/>
            </w:tcBorders>
            <w:tcMar>
              <w:left w:w="0" w:type="dxa"/>
              <w:right w:w="0" w:type="dxa"/>
            </w:tcMar>
          </w:tcPr>
          <w:p w:rsidR="00DF169B" w:rsidRDefault="00DF169B" w:rsidP="0097605F">
            <w:pPr>
              <w:spacing w:line="480" w:lineRule="auto"/>
              <w:jc w:val="right"/>
            </w:pPr>
            <w:r w:rsidRPr="00BB66AF">
              <w:rPr>
                <w:vertAlign w:val="superscript"/>
              </w:rPr>
              <w:t>**</w:t>
            </w:r>
            <w:r>
              <w:t>-0.96</w:t>
            </w:r>
          </w:p>
        </w:tc>
      </w:tr>
      <w:tr w:rsidR="00DF169B" w:rsidTr="00DB644B">
        <w:tc>
          <w:tcPr>
            <w:tcW w:w="1422" w:type="dxa"/>
            <w:tcMar>
              <w:left w:w="0" w:type="dxa"/>
              <w:right w:w="0" w:type="dxa"/>
            </w:tcMar>
          </w:tcPr>
          <w:p w:rsidR="00DF169B" w:rsidRPr="003C6D85"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2</m:t>
                    </m:r>
                  </m:sub>
                </m:sSub>
              </m:oMath>
            </m:oMathPara>
          </w:p>
        </w:tc>
        <w:tc>
          <w:tcPr>
            <w:tcW w:w="2061" w:type="dxa"/>
            <w:tcMar>
              <w:left w:w="28" w:type="dxa"/>
              <w:right w:w="28" w:type="dxa"/>
            </w:tcMar>
          </w:tcPr>
          <w:p w:rsidR="00DF169B" w:rsidRDefault="00DF169B" w:rsidP="000261F8">
            <w:pPr>
              <w:spacing w:line="480" w:lineRule="auto"/>
              <w:jc w:val="right"/>
            </w:pPr>
            <w:r w:rsidRPr="00BB66AF">
              <w:rPr>
                <w:vertAlign w:val="superscript"/>
              </w:rPr>
              <w:t>**</w:t>
            </w:r>
            <w:r>
              <w:t>-0.78</w:t>
            </w:r>
          </w:p>
        </w:tc>
        <w:tc>
          <w:tcPr>
            <w:tcW w:w="2061" w:type="dxa"/>
            <w:tcMar>
              <w:left w:w="0" w:type="dxa"/>
              <w:right w:w="0" w:type="dxa"/>
            </w:tcMar>
          </w:tcPr>
          <w:p w:rsidR="00DF169B" w:rsidRDefault="00DF169B" w:rsidP="0097605F">
            <w:pPr>
              <w:spacing w:line="480" w:lineRule="auto"/>
              <w:jc w:val="right"/>
            </w:pPr>
            <w:r w:rsidRPr="00BB66AF">
              <w:rPr>
                <w:vertAlign w:val="superscript"/>
              </w:rPr>
              <w:t>**</w:t>
            </w:r>
            <w:r>
              <w:t>-0.79</w:t>
            </w:r>
          </w:p>
        </w:tc>
        <w:tc>
          <w:tcPr>
            <w:tcW w:w="2061" w:type="dxa"/>
            <w:tcMar>
              <w:left w:w="0" w:type="dxa"/>
              <w:right w:w="0" w:type="dxa"/>
            </w:tcMar>
          </w:tcPr>
          <w:p w:rsidR="00DF169B" w:rsidRDefault="00DF169B" w:rsidP="0097605F">
            <w:pPr>
              <w:spacing w:line="480" w:lineRule="auto"/>
              <w:jc w:val="right"/>
            </w:pPr>
            <w:r w:rsidRPr="00BB66AF">
              <w:rPr>
                <w:vertAlign w:val="superscript"/>
              </w:rPr>
              <w:t>**</w:t>
            </w:r>
            <w:r>
              <w:t>-0.77</w:t>
            </w:r>
          </w:p>
        </w:tc>
        <w:tc>
          <w:tcPr>
            <w:tcW w:w="2061" w:type="dxa"/>
            <w:tcMar>
              <w:left w:w="0" w:type="dxa"/>
              <w:right w:w="0" w:type="dxa"/>
            </w:tcMar>
          </w:tcPr>
          <w:p w:rsidR="00DF169B" w:rsidRDefault="00DF169B" w:rsidP="0097605F">
            <w:pPr>
              <w:spacing w:line="480" w:lineRule="auto"/>
              <w:jc w:val="right"/>
            </w:pPr>
            <w:r w:rsidRPr="00BB66AF">
              <w:rPr>
                <w:vertAlign w:val="superscript"/>
              </w:rPr>
              <w:t>**</w:t>
            </w:r>
            <w:r>
              <w:t>-0.77</w:t>
            </w:r>
          </w:p>
        </w:tc>
      </w:tr>
      <w:tr w:rsidR="00DF169B" w:rsidTr="00DB644B">
        <w:tc>
          <w:tcPr>
            <w:tcW w:w="1422" w:type="dxa"/>
            <w:tcMar>
              <w:left w:w="0" w:type="dxa"/>
              <w:right w:w="0" w:type="dxa"/>
            </w:tcMar>
          </w:tcPr>
          <w:p w:rsidR="00DF169B" w:rsidRPr="003C6D85"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3</m:t>
                    </m:r>
                  </m:sub>
                </m:sSub>
              </m:oMath>
            </m:oMathPara>
          </w:p>
        </w:tc>
        <w:tc>
          <w:tcPr>
            <w:tcW w:w="2061" w:type="dxa"/>
            <w:tcMar>
              <w:left w:w="28" w:type="dxa"/>
              <w:right w:w="28" w:type="dxa"/>
            </w:tcMar>
          </w:tcPr>
          <w:p w:rsidR="00DF169B" w:rsidRDefault="00DF169B" w:rsidP="000261F8">
            <w:pPr>
              <w:spacing w:line="480" w:lineRule="auto"/>
              <w:jc w:val="right"/>
            </w:pPr>
            <w:r w:rsidRPr="00BB66AF">
              <w:rPr>
                <w:vertAlign w:val="superscript"/>
              </w:rPr>
              <w:t>**</w:t>
            </w:r>
            <w:r>
              <w:t>-0.69</w:t>
            </w:r>
          </w:p>
        </w:tc>
        <w:tc>
          <w:tcPr>
            <w:tcW w:w="2061" w:type="dxa"/>
            <w:tcMar>
              <w:left w:w="0" w:type="dxa"/>
              <w:right w:w="0" w:type="dxa"/>
            </w:tcMar>
          </w:tcPr>
          <w:p w:rsidR="00DF169B" w:rsidRDefault="00DF169B" w:rsidP="0097605F">
            <w:pPr>
              <w:spacing w:line="480" w:lineRule="auto"/>
              <w:jc w:val="right"/>
            </w:pPr>
            <w:r w:rsidRPr="00BB66AF">
              <w:rPr>
                <w:vertAlign w:val="superscript"/>
              </w:rPr>
              <w:t>**</w:t>
            </w:r>
            <w:r>
              <w:t>-0.84</w:t>
            </w:r>
          </w:p>
        </w:tc>
        <w:tc>
          <w:tcPr>
            <w:tcW w:w="2061" w:type="dxa"/>
            <w:tcMar>
              <w:left w:w="0" w:type="dxa"/>
              <w:right w:w="0" w:type="dxa"/>
            </w:tcMar>
          </w:tcPr>
          <w:p w:rsidR="00DF169B" w:rsidRDefault="00DF169B" w:rsidP="0097605F">
            <w:pPr>
              <w:spacing w:line="480" w:lineRule="auto"/>
              <w:jc w:val="right"/>
            </w:pPr>
            <w:r w:rsidRPr="00BB66AF">
              <w:rPr>
                <w:vertAlign w:val="superscript"/>
              </w:rPr>
              <w:t>**</w:t>
            </w:r>
            <w:r>
              <w:t>-0.69</w:t>
            </w:r>
          </w:p>
        </w:tc>
        <w:tc>
          <w:tcPr>
            <w:tcW w:w="2061" w:type="dxa"/>
            <w:tcMar>
              <w:left w:w="0" w:type="dxa"/>
              <w:right w:w="0" w:type="dxa"/>
            </w:tcMar>
          </w:tcPr>
          <w:p w:rsidR="00DF169B" w:rsidRDefault="00DF169B" w:rsidP="0097605F">
            <w:pPr>
              <w:spacing w:line="480" w:lineRule="auto"/>
              <w:jc w:val="right"/>
            </w:pPr>
            <w:r w:rsidRPr="00BB66AF">
              <w:rPr>
                <w:vertAlign w:val="superscript"/>
              </w:rPr>
              <w:t>**</w:t>
            </w:r>
            <w:r>
              <w:t>-0.66</w:t>
            </w:r>
          </w:p>
        </w:tc>
      </w:tr>
      <w:tr w:rsidR="00DF169B" w:rsidTr="00DB644B">
        <w:tc>
          <w:tcPr>
            <w:tcW w:w="1422" w:type="dxa"/>
            <w:tcMar>
              <w:left w:w="0" w:type="dxa"/>
              <w:right w:w="0" w:type="dxa"/>
            </w:tcMar>
          </w:tcPr>
          <w:p w:rsidR="00DF169B" w:rsidRPr="003C6D85"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4</m:t>
                    </m:r>
                  </m:sub>
                </m:sSub>
              </m:oMath>
            </m:oMathPara>
          </w:p>
        </w:tc>
        <w:tc>
          <w:tcPr>
            <w:tcW w:w="2061" w:type="dxa"/>
            <w:tcMar>
              <w:left w:w="28" w:type="dxa"/>
              <w:right w:w="28" w:type="dxa"/>
            </w:tcMar>
          </w:tcPr>
          <w:p w:rsidR="00DF169B" w:rsidRDefault="00DF169B" w:rsidP="000261F8">
            <w:pPr>
              <w:spacing w:line="480" w:lineRule="auto"/>
              <w:jc w:val="right"/>
            </w:pPr>
            <w:r w:rsidRPr="0097605F">
              <w:rPr>
                <w:vertAlign w:val="superscript"/>
              </w:rPr>
              <w:t>*</w:t>
            </w:r>
            <w:r>
              <w:t>-0.17</w:t>
            </w:r>
          </w:p>
        </w:tc>
        <w:tc>
          <w:tcPr>
            <w:tcW w:w="2061" w:type="dxa"/>
            <w:tcMar>
              <w:left w:w="0" w:type="dxa"/>
              <w:right w:w="0" w:type="dxa"/>
            </w:tcMar>
          </w:tcPr>
          <w:p w:rsidR="00DF169B" w:rsidRDefault="00DF169B" w:rsidP="0097605F">
            <w:pPr>
              <w:spacing w:line="480" w:lineRule="auto"/>
              <w:jc w:val="right"/>
            </w:pPr>
            <w:r w:rsidRPr="00BB66AF">
              <w:rPr>
                <w:vertAlign w:val="superscript"/>
              </w:rPr>
              <w:t>**</w:t>
            </w:r>
            <w:r>
              <w:t>-0.75</w:t>
            </w:r>
          </w:p>
        </w:tc>
        <w:tc>
          <w:tcPr>
            <w:tcW w:w="2061" w:type="dxa"/>
            <w:tcMar>
              <w:left w:w="0" w:type="dxa"/>
              <w:right w:w="0" w:type="dxa"/>
            </w:tcMar>
          </w:tcPr>
          <w:p w:rsidR="00DF169B" w:rsidRDefault="00DF169B" w:rsidP="0097605F">
            <w:pPr>
              <w:spacing w:line="480" w:lineRule="auto"/>
              <w:jc w:val="right"/>
            </w:pPr>
            <w:r>
              <w:t>-0.12</w:t>
            </w:r>
          </w:p>
        </w:tc>
        <w:tc>
          <w:tcPr>
            <w:tcW w:w="2061" w:type="dxa"/>
            <w:tcMar>
              <w:left w:w="0" w:type="dxa"/>
              <w:right w:w="0" w:type="dxa"/>
            </w:tcMar>
          </w:tcPr>
          <w:p w:rsidR="00DF169B" w:rsidRDefault="00DF169B" w:rsidP="0097605F">
            <w:pPr>
              <w:spacing w:line="480" w:lineRule="auto"/>
              <w:jc w:val="right"/>
            </w:pPr>
            <w:r>
              <w:t>0.05</w:t>
            </w:r>
          </w:p>
        </w:tc>
      </w:tr>
      <w:tr w:rsidR="00DF169B" w:rsidTr="00DB644B">
        <w:tc>
          <w:tcPr>
            <w:tcW w:w="1422" w:type="dxa"/>
            <w:tcMar>
              <w:left w:w="0" w:type="dxa"/>
              <w:right w:w="0" w:type="dxa"/>
            </w:tcMar>
          </w:tcPr>
          <w:p w:rsidR="00DF169B" w:rsidRPr="003C6D85" w:rsidRDefault="00536BD6" w:rsidP="000261F8">
            <w:pPr>
              <w:spacing w:line="480" w:lineRule="auto"/>
              <w:jc w:val="both"/>
              <w:rPr>
                <w:rFonts w:cs="Arial"/>
                <w:i/>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5</m:t>
                    </m:r>
                  </m:sub>
                </m:sSub>
              </m:oMath>
            </m:oMathPara>
          </w:p>
        </w:tc>
        <w:tc>
          <w:tcPr>
            <w:tcW w:w="2061" w:type="dxa"/>
            <w:tcMar>
              <w:left w:w="28" w:type="dxa"/>
              <w:right w:w="28" w:type="dxa"/>
            </w:tcMar>
          </w:tcPr>
          <w:p w:rsidR="00DF169B" w:rsidRDefault="00DF169B" w:rsidP="000261F8">
            <w:pPr>
              <w:spacing w:line="480" w:lineRule="auto"/>
              <w:jc w:val="right"/>
            </w:pPr>
            <w:r>
              <w:t>0.02</w:t>
            </w:r>
          </w:p>
        </w:tc>
        <w:tc>
          <w:tcPr>
            <w:tcW w:w="2061" w:type="dxa"/>
            <w:tcMar>
              <w:left w:w="0" w:type="dxa"/>
              <w:right w:w="0" w:type="dxa"/>
            </w:tcMar>
          </w:tcPr>
          <w:p w:rsidR="00DF169B" w:rsidRDefault="00DF169B" w:rsidP="0097605F">
            <w:pPr>
              <w:spacing w:line="480" w:lineRule="auto"/>
              <w:jc w:val="right"/>
            </w:pPr>
            <w:r w:rsidRPr="00BB66AF">
              <w:rPr>
                <w:vertAlign w:val="superscript"/>
              </w:rPr>
              <w:t>**</w:t>
            </w:r>
            <w:r>
              <w:t>0.72</w:t>
            </w:r>
          </w:p>
        </w:tc>
        <w:tc>
          <w:tcPr>
            <w:tcW w:w="2061" w:type="dxa"/>
            <w:tcMar>
              <w:left w:w="0" w:type="dxa"/>
              <w:right w:w="0" w:type="dxa"/>
            </w:tcMar>
          </w:tcPr>
          <w:p w:rsidR="00DF169B" w:rsidRDefault="00DF169B" w:rsidP="0097605F">
            <w:pPr>
              <w:spacing w:line="480" w:lineRule="auto"/>
              <w:jc w:val="right"/>
            </w:pPr>
            <w:r>
              <w:t>0.07</w:t>
            </w:r>
          </w:p>
        </w:tc>
        <w:tc>
          <w:tcPr>
            <w:tcW w:w="2061" w:type="dxa"/>
            <w:tcMar>
              <w:left w:w="0" w:type="dxa"/>
              <w:right w:w="0" w:type="dxa"/>
            </w:tcMar>
          </w:tcPr>
          <w:p w:rsidR="00DF169B" w:rsidRDefault="00DF169B" w:rsidP="0097605F">
            <w:pPr>
              <w:spacing w:line="480" w:lineRule="auto"/>
              <w:jc w:val="right"/>
            </w:pPr>
            <w:r>
              <w:t>-0.07</w:t>
            </w:r>
          </w:p>
        </w:tc>
      </w:tr>
      <w:tr w:rsidR="00DF169B" w:rsidTr="00DB644B">
        <w:tc>
          <w:tcPr>
            <w:tcW w:w="1422" w:type="dxa"/>
            <w:tcMar>
              <w:left w:w="0" w:type="dxa"/>
              <w:right w:w="0" w:type="dxa"/>
            </w:tcMar>
          </w:tcPr>
          <w:p w:rsidR="00DF169B" w:rsidRPr="00DB644B"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1</m:t>
                    </m:r>
                  </m:sub>
                </m:sSub>
              </m:oMath>
            </m:oMathPara>
          </w:p>
        </w:tc>
        <w:tc>
          <w:tcPr>
            <w:tcW w:w="2061" w:type="dxa"/>
            <w:tcMar>
              <w:left w:w="28" w:type="dxa"/>
              <w:right w:w="28" w:type="dxa"/>
            </w:tcMar>
          </w:tcPr>
          <w:p w:rsidR="00DF169B" w:rsidRDefault="00DF169B" w:rsidP="000261F8">
            <w:pPr>
              <w:spacing w:line="480" w:lineRule="auto"/>
              <w:jc w:val="right"/>
            </w:pPr>
            <w:r w:rsidRPr="00BB66AF">
              <w:rPr>
                <w:vertAlign w:val="superscript"/>
              </w:rPr>
              <w:t>**</w:t>
            </w:r>
            <w:r>
              <w:t>0.94</w:t>
            </w:r>
          </w:p>
        </w:tc>
        <w:tc>
          <w:tcPr>
            <w:tcW w:w="2061" w:type="dxa"/>
            <w:tcMar>
              <w:left w:w="0" w:type="dxa"/>
              <w:right w:w="0" w:type="dxa"/>
            </w:tcMar>
          </w:tcPr>
          <w:p w:rsidR="00DF169B" w:rsidRDefault="00DF169B" w:rsidP="000261F8">
            <w:pPr>
              <w:spacing w:line="480" w:lineRule="auto"/>
              <w:jc w:val="right"/>
            </w:pPr>
            <w:r w:rsidRPr="00BB66AF">
              <w:rPr>
                <w:vertAlign w:val="superscript"/>
              </w:rPr>
              <w:t>**</w:t>
            </w:r>
            <w:r>
              <w:t>0.95</w:t>
            </w:r>
          </w:p>
        </w:tc>
        <w:tc>
          <w:tcPr>
            <w:tcW w:w="2061" w:type="dxa"/>
            <w:tcMar>
              <w:left w:w="0" w:type="dxa"/>
              <w:right w:w="0" w:type="dxa"/>
            </w:tcMar>
          </w:tcPr>
          <w:p w:rsidR="00DF169B" w:rsidRDefault="00DF169B" w:rsidP="000261F8">
            <w:pPr>
              <w:spacing w:line="480" w:lineRule="auto"/>
              <w:jc w:val="right"/>
            </w:pPr>
            <w:r w:rsidRPr="00BB66AF">
              <w:rPr>
                <w:vertAlign w:val="superscript"/>
              </w:rPr>
              <w:t>**</w:t>
            </w:r>
            <w:r>
              <w:t>0.93</w:t>
            </w:r>
          </w:p>
        </w:tc>
        <w:tc>
          <w:tcPr>
            <w:tcW w:w="2061" w:type="dxa"/>
            <w:tcMar>
              <w:left w:w="0" w:type="dxa"/>
              <w:right w:w="0" w:type="dxa"/>
            </w:tcMar>
          </w:tcPr>
          <w:p w:rsidR="00DF169B" w:rsidRDefault="00DF169B" w:rsidP="000261F8">
            <w:pPr>
              <w:spacing w:line="480" w:lineRule="auto"/>
              <w:jc w:val="right"/>
            </w:pPr>
            <w:r w:rsidRPr="00BB66AF">
              <w:rPr>
                <w:vertAlign w:val="superscript"/>
              </w:rPr>
              <w:t>**</w:t>
            </w:r>
            <w:r>
              <w:t>0.93</w:t>
            </w:r>
          </w:p>
        </w:tc>
      </w:tr>
      <w:tr w:rsidR="00DF169B" w:rsidTr="00DB644B">
        <w:tc>
          <w:tcPr>
            <w:tcW w:w="1422" w:type="dxa"/>
            <w:tcMar>
              <w:left w:w="0" w:type="dxa"/>
              <w:right w:w="0" w:type="dxa"/>
            </w:tcMar>
          </w:tcPr>
          <w:p w:rsidR="00DF169B" w:rsidRPr="00DB644B"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2</m:t>
                    </m:r>
                  </m:sub>
                </m:sSub>
              </m:oMath>
            </m:oMathPara>
          </w:p>
        </w:tc>
        <w:tc>
          <w:tcPr>
            <w:tcW w:w="2061" w:type="dxa"/>
            <w:tcMar>
              <w:left w:w="28" w:type="dxa"/>
              <w:right w:w="28" w:type="dxa"/>
            </w:tcMar>
          </w:tcPr>
          <w:p w:rsidR="00DF169B" w:rsidRDefault="00DF169B" w:rsidP="000261F8">
            <w:pPr>
              <w:spacing w:line="480" w:lineRule="auto"/>
              <w:jc w:val="right"/>
            </w:pPr>
            <w:r w:rsidRPr="00BB66AF">
              <w:rPr>
                <w:vertAlign w:val="superscript"/>
              </w:rPr>
              <w:t>**</w:t>
            </w:r>
            <w:r>
              <w:t>0.69</w:t>
            </w:r>
          </w:p>
        </w:tc>
        <w:tc>
          <w:tcPr>
            <w:tcW w:w="2061" w:type="dxa"/>
            <w:tcMar>
              <w:left w:w="0" w:type="dxa"/>
              <w:right w:w="0" w:type="dxa"/>
            </w:tcMar>
          </w:tcPr>
          <w:p w:rsidR="00DF169B" w:rsidRDefault="00DF169B" w:rsidP="0097605F">
            <w:pPr>
              <w:spacing w:line="480" w:lineRule="auto"/>
              <w:jc w:val="right"/>
            </w:pPr>
            <w:r w:rsidRPr="00BB66AF">
              <w:rPr>
                <w:vertAlign w:val="superscript"/>
              </w:rPr>
              <w:t>**</w:t>
            </w:r>
            <w:r>
              <w:t>0.83</w:t>
            </w:r>
          </w:p>
        </w:tc>
        <w:tc>
          <w:tcPr>
            <w:tcW w:w="2061" w:type="dxa"/>
            <w:tcMar>
              <w:left w:w="0" w:type="dxa"/>
              <w:right w:w="0" w:type="dxa"/>
            </w:tcMar>
          </w:tcPr>
          <w:p w:rsidR="00DF169B" w:rsidRDefault="00DF169B" w:rsidP="0097605F">
            <w:pPr>
              <w:spacing w:line="480" w:lineRule="auto"/>
              <w:jc w:val="right"/>
            </w:pPr>
            <w:r w:rsidRPr="00BB66AF">
              <w:rPr>
                <w:vertAlign w:val="superscript"/>
              </w:rPr>
              <w:t>**</w:t>
            </w:r>
            <w:r>
              <w:t>0.60</w:t>
            </w:r>
          </w:p>
        </w:tc>
        <w:tc>
          <w:tcPr>
            <w:tcW w:w="2061" w:type="dxa"/>
            <w:tcMar>
              <w:left w:w="0" w:type="dxa"/>
              <w:right w:w="0" w:type="dxa"/>
            </w:tcMar>
          </w:tcPr>
          <w:p w:rsidR="00DF169B" w:rsidRDefault="00DF169B" w:rsidP="0097605F">
            <w:pPr>
              <w:spacing w:line="480" w:lineRule="auto"/>
              <w:jc w:val="right"/>
            </w:pPr>
            <w:r w:rsidRPr="00BB66AF">
              <w:rPr>
                <w:vertAlign w:val="superscript"/>
              </w:rPr>
              <w:t>**</w:t>
            </w:r>
            <w:r>
              <w:t>0.55</w:t>
            </w:r>
          </w:p>
        </w:tc>
      </w:tr>
      <w:tr w:rsidR="00DF169B" w:rsidRPr="00C00A02" w:rsidTr="00DB644B">
        <w:tc>
          <w:tcPr>
            <w:tcW w:w="1422" w:type="dxa"/>
            <w:tcMar>
              <w:left w:w="0" w:type="dxa"/>
              <w:right w:w="0" w:type="dxa"/>
            </w:tcMar>
          </w:tcPr>
          <w:p w:rsidR="00DF169B" w:rsidRPr="00DB644B" w:rsidRDefault="00536BD6" w:rsidP="000261F8">
            <w:pPr>
              <w:spacing w:line="480" w:lineRule="auto"/>
              <w:jc w:val="both"/>
              <w:rPr>
                <w:rFonts w:cs="Arial"/>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3</m:t>
                    </m:r>
                  </m:sub>
                </m:sSub>
              </m:oMath>
            </m:oMathPara>
          </w:p>
        </w:tc>
        <w:tc>
          <w:tcPr>
            <w:tcW w:w="2061" w:type="dxa"/>
            <w:tcMar>
              <w:left w:w="28" w:type="dxa"/>
              <w:right w:w="28" w:type="dxa"/>
            </w:tcMar>
          </w:tcPr>
          <w:p w:rsidR="00DF169B" w:rsidRDefault="00DF169B" w:rsidP="000261F8">
            <w:pPr>
              <w:spacing w:line="480" w:lineRule="auto"/>
              <w:jc w:val="right"/>
            </w:pPr>
            <w:r>
              <w:rPr>
                <w:vertAlign w:val="superscript"/>
              </w:rPr>
              <w:t>**</w:t>
            </w:r>
            <w:r>
              <w:t>0.28</w:t>
            </w:r>
          </w:p>
        </w:tc>
        <w:tc>
          <w:tcPr>
            <w:tcW w:w="2061" w:type="dxa"/>
            <w:tcMar>
              <w:left w:w="0" w:type="dxa"/>
              <w:right w:w="0" w:type="dxa"/>
            </w:tcMar>
          </w:tcPr>
          <w:p w:rsidR="00DF169B" w:rsidRPr="00C00A02" w:rsidRDefault="00DF169B" w:rsidP="0097605F">
            <w:pPr>
              <w:spacing w:line="480" w:lineRule="auto"/>
              <w:jc w:val="right"/>
              <w:rPr>
                <w:lang w:val="fr-FR"/>
              </w:rPr>
            </w:pPr>
            <w:r w:rsidRPr="00C00A02">
              <w:rPr>
                <w:vertAlign w:val="superscript"/>
                <w:lang w:val="fr-FR"/>
              </w:rPr>
              <w:t>**</w:t>
            </w:r>
            <w:r>
              <w:rPr>
                <w:lang w:val="fr-FR"/>
              </w:rPr>
              <w:t>0.53</w:t>
            </w:r>
          </w:p>
        </w:tc>
        <w:tc>
          <w:tcPr>
            <w:tcW w:w="2061" w:type="dxa"/>
            <w:tcMar>
              <w:left w:w="0" w:type="dxa"/>
              <w:right w:w="0" w:type="dxa"/>
            </w:tcMar>
          </w:tcPr>
          <w:p w:rsidR="00DF169B" w:rsidRPr="00C00A02" w:rsidRDefault="00DF169B" w:rsidP="0097605F">
            <w:pPr>
              <w:spacing w:line="480" w:lineRule="auto"/>
              <w:jc w:val="right"/>
              <w:rPr>
                <w:lang w:val="fr-FR"/>
              </w:rPr>
            </w:pPr>
            <w:r w:rsidRPr="0097605F">
              <w:rPr>
                <w:vertAlign w:val="superscript"/>
                <w:lang w:val="fr-FR"/>
              </w:rPr>
              <w:t>*</w:t>
            </w:r>
            <w:r>
              <w:rPr>
                <w:lang w:val="fr-FR"/>
              </w:rPr>
              <w:t>0.18</w:t>
            </w:r>
          </w:p>
        </w:tc>
        <w:tc>
          <w:tcPr>
            <w:tcW w:w="2061" w:type="dxa"/>
            <w:tcMar>
              <w:left w:w="0" w:type="dxa"/>
              <w:right w:w="0" w:type="dxa"/>
            </w:tcMar>
          </w:tcPr>
          <w:p w:rsidR="00DF169B" w:rsidRPr="00C00A02" w:rsidRDefault="00DF169B" w:rsidP="0097605F">
            <w:pPr>
              <w:spacing w:line="480" w:lineRule="auto"/>
              <w:jc w:val="right"/>
              <w:rPr>
                <w:lang w:val="fr-FR"/>
              </w:rPr>
            </w:pPr>
            <w:r>
              <w:rPr>
                <w:lang w:val="fr-FR"/>
              </w:rPr>
              <w:t>0.11</w:t>
            </w:r>
          </w:p>
        </w:tc>
      </w:tr>
      <w:tr w:rsidR="00DF169B" w:rsidRPr="00C00A02" w:rsidTr="00DB644B">
        <w:tc>
          <w:tcPr>
            <w:tcW w:w="1422" w:type="dxa"/>
            <w:tcMar>
              <w:left w:w="0" w:type="dxa"/>
              <w:right w:w="0" w:type="dxa"/>
            </w:tcMar>
          </w:tcPr>
          <w:p w:rsidR="00DF169B" w:rsidRPr="00DB644B" w:rsidRDefault="00536BD6" w:rsidP="000261F8">
            <w:pPr>
              <w:spacing w:line="480" w:lineRule="auto"/>
              <w:jc w:val="both"/>
              <w:rPr>
                <w:rFonts w:cs="Arial"/>
                <w:lang w:val="fr-FR"/>
              </w:rPr>
            </w:pPr>
            <m:oMathPara>
              <m:oMathParaPr>
                <m:jc m:val="left"/>
              </m:oMathParaPr>
              <m:oMath>
                <m:sSub>
                  <m:sSubPr>
                    <m:ctrlPr>
                      <w:rPr>
                        <w:rFonts w:ascii="Cambria Math" w:hAnsi="Cambria Math" w:cs="Arial"/>
                        <w:i/>
                        <w:lang w:val="fr-FR"/>
                      </w:rPr>
                    </m:ctrlPr>
                  </m:sSubPr>
                  <m:e>
                    <m:r>
                      <w:rPr>
                        <w:rFonts w:ascii="Cambria Math" w:hAnsi="Cambria Math" w:cs="Arial"/>
                        <w:lang w:val="fr-FR"/>
                      </w:rPr>
                      <m:t>t</m:t>
                    </m:r>
                  </m:e>
                  <m:sub>
                    <m:r>
                      <w:rPr>
                        <w:rFonts w:ascii="Cambria Math" w:hAnsi="Cambria Math" w:cs="Arial"/>
                        <w:lang w:val="fr-FR"/>
                      </w:rPr>
                      <m:t>3</m:t>
                    </m:r>
                  </m:sub>
                </m:sSub>
              </m:oMath>
            </m:oMathPara>
          </w:p>
        </w:tc>
        <w:tc>
          <w:tcPr>
            <w:tcW w:w="2061" w:type="dxa"/>
            <w:tcMar>
              <w:left w:w="28" w:type="dxa"/>
              <w:right w:w="28" w:type="dxa"/>
            </w:tcMar>
          </w:tcPr>
          <w:p w:rsidR="00DF169B" w:rsidRPr="00C00A02" w:rsidRDefault="00DF169B" w:rsidP="000261F8">
            <w:pPr>
              <w:spacing w:line="480" w:lineRule="auto"/>
              <w:jc w:val="right"/>
              <w:rPr>
                <w:lang w:val="fr-FR"/>
              </w:rPr>
            </w:pPr>
            <w:r w:rsidRPr="00F6601D">
              <w:rPr>
                <w:vertAlign w:val="superscript"/>
                <w:lang w:val="fr-FR"/>
              </w:rPr>
              <w:t>*</w:t>
            </w:r>
            <w:r>
              <w:rPr>
                <w:lang w:val="fr-FR"/>
              </w:rPr>
              <w:t>0</w:t>
            </w:r>
            <w:r w:rsidRPr="00C00A02">
              <w:rPr>
                <w:lang w:val="fr-FR"/>
              </w:rPr>
              <w:t>.</w:t>
            </w:r>
            <w:r>
              <w:rPr>
                <w:lang w:val="fr-FR"/>
              </w:rPr>
              <w:t>19</w:t>
            </w:r>
          </w:p>
        </w:tc>
        <w:tc>
          <w:tcPr>
            <w:tcW w:w="2061" w:type="dxa"/>
            <w:tcMar>
              <w:left w:w="0" w:type="dxa"/>
              <w:right w:w="0" w:type="dxa"/>
            </w:tcMar>
          </w:tcPr>
          <w:p w:rsidR="00DF169B" w:rsidRPr="00C00A02" w:rsidRDefault="00DF169B" w:rsidP="000261F8">
            <w:pPr>
              <w:spacing w:line="480" w:lineRule="auto"/>
              <w:jc w:val="right"/>
              <w:rPr>
                <w:lang w:val="fr-FR"/>
              </w:rPr>
            </w:pPr>
            <w:r w:rsidRPr="00C00A02">
              <w:rPr>
                <w:lang w:val="fr-FR"/>
              </w:rPr>
              <w:t>0.</w:t>
            </w:r>
            <w:r>
              <w:rPr>
                <w:lang w:val="fr-FR"/>
              </w:rPr>
              <w:t>11</w:t>
            </w:r>
          </w:p>
        </w:tc>
        <w:tc>
          <w:tcPr>
            <w:tcW w:w="2061" w:type="dxa"/>
            <w:tcMar>
              <w:left w:w="0" w:type="dxa"/>
              <w:right w:w="0" w:type="dxa"/>
            </w:tcMar>
          </w:tcPr>
          <w:p w:rsidR="00DF169B" w:rsidRPr="00C00A02" w:rsidRDefault="00DF169B" w:rsidP="0097605F">
            <w:pPr>
              <w:spacing w:line="480" w:lineRule="auto"/>
              <w:jc w:val="right"/>
              <w:rPr>
                <w:lang w:val="fr-FR"/>
              </w:rPr>
            </w:pPr>
            <w:r w:rsidRPr="0097605F">
              <w:rPr>
                <w:vertAlign w:val="superscript"/>
                <w:lang w:val="fr-FR"/>
              </w:rPr>
              <w:t>**</w:t>
            </w:r>
            <w:r>
              <w:rPr>
                <w:lang w:val="fr-FR"/>
              </w:rPr>
              <w:t>0</w:t>
            </w:r>
            <w:r w:rsidRPr="00C00A02">
              <w:rPr>
                <w:lang w:val="fr-FR"/>
              </w:rPr>
              <w:t>.</w:t>
            </w:r>
            <w:r>
              <w:rPr>
                <w:lang w:val="fr-FR"/>
              </w:rPr>
              <w:t>21</w:t>
            </w:r>
          </w:p>
        </w:tc>
        <w:tc>
          <w:tcPr>
            <w:tcW w:w="2061" w:type="dxa"/>
            <w:tcMar>
              <w:left w:w="0" w:type="dxa"/>
              <w:right w:w="0" w:type="dxa"/>
            </w:tcMar>
          </w:tcPr>
          <w:p w:rsidR="00DF169B" w:rsidRPr="00C00A02" w:rsidRDefault="00DF169B" w:rsidP="0097605F">
            <w:pPr>
              <w:spacing w:line="480" w:lineRule="auto"/>
              <w:jc w:val="right"/>
              <w:rPr>
                <w:lang w:val="fr-FR"/>
              </w:rPr>
            </w:pPr>
            <w:r w:rsidRPr="00BB66AF">
              <w:rPr>
                <w:vertAlign w:val="superscript"/>
              </w:rPr>
              <w:t>*</w:t>
            </w:r>
            <w:r>
              <w:rPr>
                <w:vertAlign w:val="superscript"/>
              </w:rPr>
              <w:t>*</w:t>
            </w:r>
            <w:r w:rsidRPr="00C00A02">
              <w:rPr>
                <w:lang w:val="fr-FR"/>
              </w:rPr>
              <w:t>0.</w:t>
            </w:r>
            <w:r>
              <w:rPr>
                <w:lang w:val="fr-FR"/>
              </w:rPr>
              <w:t>25</w:t>
            </w:r>
          </w:p>
        </w:tc>
      </w:tr>
      <w:tr w:rsidR="00DF169B" w:rsidRPr="00C00A02" w:rsidTr="00DB644B">
        <w:tc>
          <w:tcPr>
            <w:tcW w:w="1422" w:type="dxa"/>
            <w:tcMar>
              <w:left w:w="0" w:type="dxa"/>
              <w:right w:w="0" w:type="dxa"/>
            </w:tcMar>
          </w:tcPr>
          <w:p w:rsidR="00DF169B" w:rsidRPr="00DB644B" w:rsidRDefault="00536BD6" w:rsidP="000261F8">
            <w:pPr>
              <w:spacing w:line="480" w:lineRule="auto"/>
              <w:jc w:val="both"/>
              <w:rPr>
                <w:rFonts w:cs="Arial"/>
                <w:lang w:val="fr-FR"/>
              </w:rPr>
            </w:pPr>
            <m:oMathPara>
              <m:oMathParaPr>
                <m:jc m:val="left"/>
              </m:oMathParaPr>
              <m:oMath>
                <m:sSub>
                  <m:sSubPr>
                    <m:ctrlPr>
                      <w:rPr>
                        <w:rFonts w:ascii="Cambria Math" w:hAnsi="Cambria Math" w:cs="Arial"/>
                        <w:i/>
                        <w:lang w:val="fr-FR"/>
                      </w:rPr>
                    </m:ctrlPr>
                  </m:sSubPr>
                  <m:e>
                    <m:r>
                      <w:rPr>
                        <w:rFonts w:ascii="Cambria Math" w:hAnsi="Cambria Math" w:cs="Arial"/>
                        <w:lang w:val="fr-FR"/>
                      </w:rPr>
                      <m:t>t</m:t>
                    </m:r>
                  </m:e>
                  <m:sub>
                    <m:r>
                      <w:rPr>
                        <w:rFonts w:ascii="Cambria Math" w:hAnsi="Cambria Math" w:cs="Arial"/>
                        <w:lang w:val="fr-FR"/>
                      </w:rPr>
                      <m:t>4</m:t>
                    </m:r>
                  </m:sub>
                </m:sSub>
              </m:oMath>
            </m:oMathPara>
          </w:p>
        </w:tc>
        <w:tc>
          <w:tcPr>
            <w:tcW w:w="2061" w:type="dxa"/>
            <w:tcMar>
              <w:left w:w="28" w:type="dxa"/>
              <w:right w:w="28" w:type="dxa"/>
            </w:tcMar>
          </w:tcPr>
          <w:p w:rsidR="00DF169B" w:rsidRPr="00C00A02" w:rsidRDefault="00DF169B" w:rsidP="000261F8">
            <w:pPr>
              <w:spacing w:line="480" w:lineRule="auto"/>
              <w:jc w:val="right"/>
              <w:rPr>
                <w:lang w:val="fr-FR"/>
              </w:rPr>
            </w:pPr>
            <w:r w:rsidRPr="00C00A02">
              <w:rPr>
                <w:lang w:val="fr-FR"/>
              </w:rPr>
              <w:t>0.</w:t>
            </w:r>
            <w:r>
              <w:rPr>
                <w:lang w:val="fr-FR"/>
              </w:rPr>
              <w:t>07</w:t>
            </w:r>
          </w:p>
        </w:tc>
        <w:tc>
          <w:tcPr>
            <w:tcW w:w="2061" w:type="dxa"/>
            <w:tcMar>
              <w:left w:w="0" w:type="dxa"/>
              <w:right w:w="0" w:type="dxa"/>
            </w:tcMar>
          </w:tcPr>
          <w:p w:rsidR="00DF169B" w:rsidRPr="00C00A02" w:rsidRDefault="00DF169B" w:rsidP="0097605F">
            <w:pPr>
              <w:spacing w:line="480" w:lineRule="auto"/>
              <w:jc w:val="right"/>
              <w:rPr>
                <w:lang w:val="fr-FR"/>
              </w:rPr>
            </w:pPr>
            <w:r w:rsidRPr="00C00A02">
              <w:rPr>
                <w:lang w:val="fr-FR"/>
              </w:rPr>
              <w:t>0.</w:t>
            </w:r>
            <w:r>
              <w:rPr>
                <w:lang w:val="fr-FR"/>
              </w:rPr>
              <w:t>03</w:t>
            </w:r>
          </w:p>
        </w:tc>
        <w:tc>
          <w:tcPr>
            <w:tcW w:w="2061" w:type="dxa"/>
            <w:tcMar>
              <w:left w:w="0" w:type="dxa"/>
              <w:right w:w="0" w:type="dxa"/>
            </w:tcMar>
          </w:tcPr>
          <w:p w:rsidR="00DF169B" w:rsidRPr="00C00A02" w:rsidRDefault="00DF169B" w:rsidP="0097605F">
            <w:pPr>
              <w:spacing w:line="480" w:lineRule="auto"/>
              <w:jc w:val="right"/>
              <w:rPr>
                <w:lang w:val="fr-FR"/>
              </w:rPr>
            </w:pPr>
            <w:r>
              <w:rPr>
                <w:lang w:val="fr-FR"/>
              </w:rPr>
              <w:t>0.04</w:t>
            </w:r>
          </w:p>
        </w:tc>
        <w:tc>
          <w:tcPr>
            <w:tcW w:w="2061" w:type="dxa"/>
            <w:tcMar>
              <w:left w:w="0" w:type="dxa"/>
              <w:right w:w="0" w:type="dxa"/>
            </w:tcMar>
          </w:tcPr>
          <w:p w:rsidR="00DF169B" w:rsidRPr="00C00A02" w:rsidRDefault="00DF169B" w:rsidP="0097605F">
            <w:pPr>
              <w:spacing w:line="480" w:lineRule="auto"/>
              <w:jc w:val="right"/>
              <w:rPr>
                <w:lang w:val="fr-FR"/>
              </w:rPr>
            </w:pPr>
            <w:r w:rsidRPr="00C00A02">
              <w:rPr>
                <w:lang w:val="fr-FR"/>
              </w:rPr>
              <w:t>0.</w:t>
            </w:r>
            <w:r>
              <w:rPr>
                <w:lang w:val="fr-FR"/>
              </w:rPr>
              <w:t>04</w:t>
            </w:r>
          </w:p>
        </w:tc>
      </w:tr>
      <w:tr w:rsidR="00DF169B" w:rsidRPr="00BD2B03" w:rsidTr="00DB644B">
        <w:tc>
          <w:tcPr>
            <w:tcW w:w="1422" w:type="dxa"/>
            <w:tcMar>
              <w:left w:w="0" w:type="dxa"/>
              <w:right w:w="0" w:type="dxa"/>
            </w:tcMar>
          </w:tcPr>
          <w:p w:rsidR="00DF169B" w:rsidRPr="00DB644B" w:rsidRDefault="00536BD6" w:rsidP="000261F8">
            <w:pPr>
              <w:spacing w:line="480" w:lineRule="auto"/>
              <w:jc w:val="both"/>
              <w:rPr>
                <w:rFonts w:cs="Arial"/>
                <w:lang w:val="fr-FR"/>
              </w:rPr>
            </w:pPr>
            <m:oMathPara>
              <m:oMathParaPr>
                <m:jc m:val="left"/>
              </m:oMathParaPr>
              <m:oMath>
                <m:sSub>
                  <m:sSubPr>
                    <m:ctrlPr>
                      <w:rPr>
                        <w:rFonts w:ascii="Cambria Math" w:hAnsi="Cambria Math" w:cs="Arial"/>
                        <w:i/>
                        <w:lang w:val="fr-FR"/>
                      </w:rPr>
                    </m:ctrlPr>
                  </m:sSubPr>
                  <m:e>
                    <m:r>
                      <w:rPr>
                        <w:rFonts w:ascii="Cambria Math" w:hAnsi="Cambria Math" w:cs="Arial"/>
                        <w:lang w:val="fr-FR"/>
                      </w:rPr>
                      <m:t>t</m:t>
                    </m:r>
                  </m:e>
                  <m:sub>
                    <m:r>
                      <w:rPr>
                        <w:rFonts w:ascii="Cambria Math" w:hAnsi="Cambria Math" w:cs="Arial"/>
                        <w:lang w:val="fr-FR"/>
                      </w:rPr>
                      <m:t>5</m:t>
                    </m:r>
                  </m:sub>
                </m:sSub>
              </m:oMath>
            </m:oMathPara>
          </w:p>
        </w:tc>
        <w:tc>
          <w:tcPr>
            <w:tcW w:w="2061" w:type="dxa"/>
            <w:tcMar>
              <w:left w:w="28" w:type="dxa"/>
              <w:right w:w="28" w:type="dxa"/>
            </w:tcMar>
          </w:tcPr>
          <w:p w:rsidR="00DF169B" w:rsidRPr="00C00A02" w:rsidRDefault="00DF169B" w:rsidP="000261F8">
            <w:pPr>
              <w:spacing w:line="480" w:lineRule="auto"/>
              <w:jc w:val="right"/>
              <w:rPr>
                <w:lang w:val="fr-FR"/>
              </w:rPr>
            </w:pPr>
            <w:r w:rsidRPr="00C00A02">
              <w:rPr>
                <w:vertAlign w:val="superscript"/>
                <w:lang w:val="fr-FR"/>
              </w:rPr>
              <w:t>*</w:t>
            </w:r>
            <w:r>
              <w:rPr>
                <w:lang w:val="fr-FR"/>
              </w:rPr>
              <w:t>-0.20</w:t>
            </w:r>
          </w:p>
        </w:tc>
        <w:tc>
          <w:tcPr>
            <w:tcW w:w="2061" w:type="dxa"/>
            <w:tcMar>
              <w:left w:w="0" w:type="dxa"/>
              <w:right w:w="0" w:type="dxa"/>
            </w:tcMar>
          </w:tcPr>
          <w:p w:rsidR="00DF169B" w:rsidRPr="00C00A02" w:rsidRDefault="00DF169B" w:rsidP="000261F8">
            <w:pPr>
              <w:spacing w:line="480" w:lineRule="auto"/>
              <w:jc w:val="right"/>
              <w:rPr>
                <w:lang w:val="fr-FR"/>
              </w:rPr>
            </w:pPr>
            <w:r w:rsidRPr="00C00A02">
              <w:rPr>
                <w:vertAlign w:val="superscript"/>
                <w:lang w:val="fr-FR"/>
              </w:rPr>
              <w:t>**</w:t>
            </w:r>
            <w:r>
              <w:rPr>
                <w:lang w:val="fr-FR"/>
              </w:rPr>
              <w:t>-0.52</w:t>
            </w:r>
          </w:p>
        </w:tc>
        <w:tc>
          <w:tcPr>
            <w:tcW w:w="2061" w:type="dxa"/>
            <w:tcMar>
              <w:left w:w="0" w:type="dxa"/>
              <w:right w:w="0" w:type="dxa"/>
            </w:tcMar>
          </w:tcPr>
          <w:p w:rsidR="00DF169B" w:rsidRPr="00BD2B03" w:rsidRDefault="00DF169B" w:rsidP="0097605F">
            <w:pPr>
              <w:spacing w:line="480" w:lineRule="auto"/>
              <w:jc w:val="right"/>
            </w:pPr>
            <w:r w:rsidRPr="00BD2B03">
              <w:rPr>
                <w:vertAlign w:val="superscript"/>
              </w:rPr>
              <w:t>**</w:t>
            </w:r>
            <w:r w:rsidRPr="00BD2B03">
              <w:t>-</w:t>
            </w:r>
            <w:r>
              <w:t>0.35</w:t>
            </w:r>
          </w:p>
        </w:tc>
        <w:tc>
          <w:tcPr>
            <w:tcW w:w="2061" w:type="dxa"/>
            <w:tcMar>
              <w:left w:w="0" w:type="dxa"/>
              <w:right w:w="0" w:type="dxa"/>
            </w:tcMar>
          </w:tcPr>
          <w:p w:rsidR="00DF169B" w:rsidRPr="00BD2B03" w:rsidRDefault="00DF169B" w:rsidP="000261F8">
            <w:pPr>
              <w:spacing w:line="480" w:lineRule="auto"/>
              <w:jc w:val="right"/>
            </w:pPr>
            <w:r w:rsidRPr="00BD2B03">
              <w:rPr>
                <w:vertAlign w:val="superscript"/>
              </w:rPr>
              <w:t>**</w:t>
            </w:r>
            <w:r>
              <w:t>-0.38</w:t>
            </w:r>
          </w:p>
        </w:tc>
      </w:tr>
    </w:tbl>
    <w:p w:rsidR="00DF169B" w:rsidRDefault="00DF169B" w:rsidP="000261F8">
      <w:pPr>
        <w:spacing w:line="480" w:lineRule="auto"/>
        <w:jc w:val="both"/>
      </w:pPr>
    </w:p>
    <w:p w:rsidR="00DF169B" w:rsidRDefault="00DF169B" w:rsidP="000261F8">
      <w:pPr>
        <w:spacing w:line="480" w:lineRule="auto"/>
        <w:jc w:val="both"/>
      </w:pPr>
    </w:p>
    <w:p w:rsidR="00DF169B" w:rsidRPr="00BD2B03" w:rsidRDefault="00DF169B" w:rsidP="000261F8">
      <w:pPr>
        <w:spacing w:line="480" w:lineRule="auto"/>
        <w:jc w:val="both"/>
        <w:sectPr w:rsidR="00DF169B" w:rsidRPr="00BD2B03" w:rsidSect="004D38CF">
          <w:pgSz w:w="11906" w:h="16838"/>
          <w:pgMar w:top="1134" w:right="1134" w:bottom="1134" w:left="1134" w:header="708" w:footer="708" w:gutter="0"/>
          <w:cols w:space="708"/>
          <w:docGrid w:linePitch="360"/>
        </w:sectPr>
      </w:pPr>
    </w:p>
    <w:p w:rsidR="00DF169B" w:rsidRDefault="00E36400" w:rsidP="000261F8">
      <w:pPr>
        <w:spacing w:line="480" w:lineRule="auto"/>
        <w:jc w:val="both"/>
        <w:rPr>
          <w:rFonts w:eastAsiaTheme="minorEastAsia"/>
        </w:rPr>
      </w:pPr>
      <w:proofErr w:type="spellStart"/>
      <w:r>
        <w:rPr>
          <w:b/>
        </w:rPr>
        <w:lastRenderedPageBreak/>
        <w:t>e</w:t>
      </w:r>
      <w:r w:rsidR="00DF169B" w:rsidRPr="00BD2B03">
        <w:rPr>
          <w:b/>
        </w:rPr>
        <w:t>Figure</w:t>
      </w:r>
      <w:proofErr w:type="spellEnd"/>
      <w:r w:rsidR="00DF169B" w:rsidRPr="00BD2B03">
        <w:rPr>
          <w:b/>
        </w:rPr>
        <w:t xml:space="preserve"> 1</w:t>
      </w:r>
      <w:r w:rsidR="00DF169B" w:rsidRPr="00BD2B03">
        <w:t xml:space="preserve">: Complete </w:t>
      </w:r>
      <w:r w:rsidR="00DF169B">
        <w:t xml:space="preserve">model structure. HIV incidence over calendar time </w:t>
      </w:r>
      <m:oMath>
        <m:r>
          <w:rPr>
            <w:rFonts w:ascii="Cambria Math" w:hAnsi="Cambria Math"/>
          </w:rPr>
          <m:t>t</m:t>
        </m:r>
      </m:oMath>
      <w:r w:rsidR="00DF169B">
        <w:rPr>
          <w:rFonts w:eastAsiaTheme="minorEastAsia"/>
        </w:rPr>
        <w:t xml:space="preserve"> is denoted by </w:t>
      </w:r>
      <m:oMath>
        <m:r>
          <w:rPr>
            <w:rFonts w:ascii="Cambria Math" w:eastAsiaTheme="minorEastAsia" w:hAnsi="Cambria Math"/>
          </w:rPr>
          <m:t>I(t)</m:t>
        </m:r>
      </m:oMath>
      <w:r w:rsidR="00DF169B">
        <w:rPr>
          <w:rFonts w:eastAsiaTheme="minorEastAsia"/>
        </w:rPr>
        <w:t xml:space="preserve">. </w:t>
      </w:r>
      <w:r w:rsidR="00DF169B" w:rsidRPr="00CA3EA1">
        <w:rPr>
          <w:rFonts w:eastAsiaTheme="minorEastAsia"/>
        </w:rPr>
        <w:t xml:space="preserve">Immediately after infection, all individuals first enter a phase of primary infection, </w:t>
      </w:r>
      <m:oMath>
        <m:r>
          <w:rPr>
            <w:rFonts w:ascii="Cambria Math" w:eastAsiaTheme="minorEastAsia" w:hAnsi="Cambria Math"/>
          </w:rPr>
          <m:t>P(t)</m:t>
        </m:r>
      </m:oMath>
      <w:r w:rsidR="00DF169B" w:rsidRPr="00CA3EA1">
        <w:rPr>
          <w:rFonts w:eastAsiaTheme="minorEastAsia"/>
        </w:rPr>
        <w:t xml:space="preserve">. After primary infection, individuals enter at a rate </w:t>
      </w:r>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 xml:space="preserve">i </m:t>
                </m:r>
              </m:sub>
            </m:sSub>
            <m:r>
              <w:rPr>
                <w:rFonts w:ascii="Cambria Math" w:eastAsiaTheme="minorEastAsia" w:hAnsi="Cambria Math"/>
              </w:rPr>
              <m:t>q</m:t>
            </m:r>
          </m:e>
          <m:sub>
            <m:r>
              <w:rPr>
                <w:rFonts w:ascii="Cambria Math" w:eastAsiaTheme="minorEastAsia" w:hAnsi="Cambria Math"/>
              </w:rPr>
              <m:t>P</m:t>
            </m:r>
          </m:sub>
        </m:sSub>
      </m:oMath>
      <w:r w:rsidR="00DF169B" w:rsidRPr="00CA3EA1">
        <w:rPr>
          <w:rFonts w:eastAsiaTheme="minorEastAsia"/>
        </w:rPr>
        <w:t xml:space="preserve"> (</w:t>
      </w:r>
      <m:oMath>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5</m:t>
            </m:r>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r>
              <w:rPr>
                <w:rFonts w:ascii="Cambria Math" w:eastAsiaTheme="minorEastAsia" w:hAnsi="Cambria Math"/>
              </w:rPr>
              <m:t>=1</m:t>
            </m:r>
          </m:e>
        </m:nary>
      </m:oMath>
      <w:r w:rsidR="00DF169B" w:rsidRPr="00CA3EA1">
        <w:rPr>
          <w:rFonts w:eastAsiaTheme="minorEastAsia"/>
        </w:rPr>
        <w:t xml:space="preserve">) one of five compartments of undiagnosed HIV infection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(t)</m:t>
        </m:r>
      </m:oMath>
      <w:r w:rsidR="00DF169B" w:rsidRPr="00CA3EA1">
        <w:rPr>
          <w:rFonts w:eastAsiaTheme="minorEastAsia"/>
        </w:rPr>
        <w:t xml:space="preserve"> that represent</w:t>
      </w:r>
      <w:r w:rsidR="00DF169B" w:rsidRPr="00FC0C15">
        <w:rPr>
          <w:rFonts w:eastAsiaTheme="minorEastAsia"/>
        </w:rPr>
        <w:t xml:space="preserve"> </w:t>
      </w:r>
      <w:r w:rsidR="00DF169B">
        <w:rPr>
          <w:rFonts w:eastAsiaTheme="minorEastAsia"/>
        </w:rPr>
        <w:t>compartments with CD4 ≥500, 350-499, 200-349, and &lt;200 cells/mm</w:t>
      </w:r>
      <w:r w:rsidR="00DF169B" w:rsidRPr="00BA491E">
        <w:rPr>
          <w:rFonts w:eastAsiaTheme="minorEastAsia"/>
          <w:vertAlign w:val="superscript"/>
        </w:rPr>
        <w:t>3</w:t>
      </w:r>
      <w:r w:rsidR="00DF169B">
        <w:rPr>
          <w:rFonts w:eastAsiaTheme="minorEastAsia"/>
        </w:rPr>
        <w:t>, and AIDS, respectively</w:t>
      </w:r>
      <w:r w:rsidR="00DF169B" w:rsidRPr="00CA3EA1">
        <w:rPr>
          <w:rFonts w:eastAsiaTheme="minorEastAsia"/>
        </w:rPr>
        <w:t>.</w:t>
      </w:r>
      <w:r w:rsidR="00DF169B">
        <w:rPr>
          <w:rFonts w:eastAsiaTheme="minorEastAsia"/>
        </w:rPr>
        <w:t xml:space="preserve"> In the absence of treatment, individuals progress to the next compartment at a rate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i=1,…,4</m:t>
            </m:r>
          </m:e>
        </m:d>
      </m:oMath>
      <w:r w:rsidR="00DF169B">
        <w:rPr>
          <w:rFonts w:eastAsiaTheme="minorEastAsia"/>
        </w:rPr>
        <w:t xml:space="preserve"> until they develop AIDS, stage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5</m:t>
            </m:r>
          </m:sub>
        </m:sSub>
        <m:r>
          <w:rPr>
            <w:rFonts w:ascii="Cambria Math" w:eastAsiaTheme="minorEastAsia" w:hAnsi="Cambria Math"/>
          </w:rPr>
          <m:t>(t)</m:t>
        </m:r>
      </m:oMath>
      <w:r w:rsidR="00DF169B">
        <w:rPr>
          <w:rFonts w:eastAsiaTheme="minorEastAsia"/>
        </w:rPr>
        <w:t xml:space="preserve">,  and then die at a rate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5</m:t>
            </m:r>
          </m:sub>
        </m:sSub>
      </m:oMath>
      <w:r w:rsidR="00DF169B">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u</m:t>
            </m:r>
          </m:sup>
        </m:sSup>
        <m:r>
          <w:rPr>
            <w:rFonts w:ascii="Cambria Math" w:eastAsiaTheme="minorEastAsia" w:hAnsi="Cambria Math"/>
          </w:rPr>
          <m:t>(t)</m:t>
        </m:r>
      </m:oMath>
      <w:r w:rsidR="00DF169B" w:rsidRPr="00CA3EA1">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d</m:t>
            </m:r>
          </m:sup>
        </m:sSup>
        <m:r>
          <w:rPr>
            <w:rFonts w:ascii="Cambria Math" w:eastAsiaTheme="minorEastAsia" w:hAnsi="Cambria Math"/>
          </w:rPr>
          <m:t>(t)</m:t>
        </m:r>
      </m:oMath>
      <w:r w:rsidR="00DF169B" w:rsidRPr="00CA3EA1">
        <w:rPr>
          <w:rFonts w:eastAsiaTheme="minorEastAsia"/>
        </w:rPr>
        <w:t xml:space="preserve"> are stages of AIDS-related death among undiagnosed and diagnosed HIV-infected patients, respectively.</w:t>
      </w:r>
      <w:r w:rsidR="00DF169B">
        <w:rPr>
          <w:rFonts w:eastAsiaTheme="minorEastAsia"/>
        </w:rPr>
        <w:t xml:space="preserve"> During each stage except primary infection individuals can be diagnosed at a rate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(t)</m:t>
        </m:r>
      </m:oMath>
      <w:r w:rsidR="00DF169B">
        <w:rPr>
          <w:rFonts w:eastAsiaTheme="minorEastAsia"/>
        </w:rPr>
        <w:t xml:space="preserve">, which depends on the stage and on calendar time, and then enter a compartment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(t)</m:t>
        </m:r>
      </m:oMath>
      <w:r w:rsidR="00DF169B">
        <w:rPr>
          <w:rFonts w:eastAsiaTheme="minorEastAsia"/>
        </w:rPr>
        <w:t xml:space="preserve"> of diagnosed HIV infection. </w:t>
      </w:r>
      <w:r w:rsidR="00DF169B" w:rsidRPr="00CA3EA1">
        <w:rPr>
          <w:rFonts w:eastAsiaTheme="minorEastAsia"/>
        </w:rPr>
        <w:t>Dashed lines indicate that HIV progression is different in diagnosed individuals after starting antiretroviral treatment</w:t>
      </w:r>
      <w:r w:rsidR="00DF169B">
        <w:rPr>
          <w:rFonts w:eastAsiaTheme="minorEastAsia"/>
        </w:rPr>
        <w:t xml:space="preserve"> </w:t>
      </w:r>
      <w:r w:rsidR="00DF169B" w:rsidRPr="00121116">
        <w:rPr>
          <w:rFonts w:eastAsiaTheme="minorEastAsia"/>
        </w:rPr>
        <w:t>and that the model only considers HIV progression among diagnosed individuals in the period before 1996.</w:t>
      </w:r>
    </w:p>
    <w:p w:rsidR="00DF169B" w:rsidRDefault="00DF169B" w:rsidP="000261F8">
      <w:pPr>
        <w:spacing w:line="480" w:lineRule="auto"/>
        <w:jc w:val="both"/>
      </w:pPr>
      <w:r>
        <w:rPr>
          <w:noProof/>
          <w:lang w:eastAsia="en-GB"/>
        </w:rPr>
        <w:drawing>
          <wp:inline distT="0" distB="0" distL="0" distR="0" wp14:anchorId="72544840" wp14:editId="2664B171">
            <wp:extent cx="6070895" cy="370800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structure full 140811.tif"/>
                    <pic:cNvPicPr/>
                  </pic:nvPicPr>
                  <pic:blipFill rotWithShape="1">
                    <a:blip r:embed="rId8">
                      <a:extLst>
                        <a:ext uri="{28A0092B-C50C-407E-A947-70E740481C1C}">
                          <a14:useLocalDpi xmlns:a14="http://schemas.microsoft.com/office/drawing/2010/main" val="0"/>
                        </a:ext>
                      </a:extLst>
                    </a:blip>
                    <a:srcRect t="8497" b="3270"/>
                    <a:stretch/>
                  </pic:blipFill>
                  <pic:spPr bwMode="auto">
                    <a:xfrm>
                      <a:off x="0" y="0"/>
                      <a:ext cx="6120130" cy="3738072"/>
                    </a:xfrm>
                    <a:prstGeom prst="rect">
                      <a:avLst/>
                    </a:prstGeom>
                    <a:ln>
                      <a:noFill/>
                    </a:ln>
                    <a:extLst>
                      <a:ext uri="{53640926-AAD7-44D8-BBD7-CCE9431645EC}">
                        <a14:shadowObscured xmlns:a14="http://schemas.microsoft.com/office/drawing/2010/main"/>
                      </a:ext>
                    </a:extLst>
                  </pic:spPr>
                </pic:pic>
              </a:graphicData>
            </a:graphic>
          </wp:inline>
        </w:drawing>
      </w:r>
    </w:p>
    <w:p w:rsidR="00DF169B" w:rsidRDefault="00DF169B" w:rsidP="000261F8">
      <w:pPr>
        <w:spacing w:line="480" w:lineRule="auto"/>
        <w:jc w:val="both"/>
      </w:pPr>
    </w:p>
    <w:p w:rsidR="00DF169B" w:rsidRDefault="00DF169B" w:rsidP="000261F8">
      <w:pPr>
        <w:spacing w:line="480" w:lineRule="auto"/>
        <w:jc w:val="both"/>
      </w:pPr>
    </w:p>
    <w:p w:rsidR="00DF169B" w:rsidRDefault="00DF169B" w:rsidP="000261F8">
      <w:pPr>
        <w:spacing w:line="480" w:lineRule="auto"/>
        <w:jc w:val="both"/>
        <w:sectPr w:rsidR="00DF169B" w:rsidSect="004D38CF">
          <w:pgSz w:w="11906" w:h="16838"/>
          <w:pgMar w:top="1134" w:right="1134" w:bottom="1134" w:left="1134" w:header="708" w:footer="708" w:gutter="0"/>
          <w:cols w:space="708"/>
          <w:docGrid w:linePitch="360"/>
        </w:sectPr>
      </w:pPr>
    </w:p>
    <w:p w:rsidR="00DF169B" w:rsidRDefault="00E36400" w:rsidP="002E1DCD">
      <w:pPr>
        <w:spacing w:line="480" w:lineRule="auto"/>
        <w:jc w:val="both"/>
      </w:pPr>
      <w:proofErr w:type="spellStart"/>
      <w:r>
        <w:rPr>
          <w:b/>
        </w:rPr>
        <w:lastRenderedPageBreak/>
        <w:t>e</w:t>
      </w:r>
      <w:r w:rsidR="00DF169B" w:rsidRPr="005156B8">
        <w:rPr>
          <w:b/>
        </w:rPr>
        <w:t>Figure</w:t>
      </w:r>
      <w:proofErr w:type="spellEnd"/>
      <w:r w:rsidR="00DF169B" w:rsidRPr="005156B8">
        <w:rPr>
          <w:b/>
        </w:rPr>
        <w:t xml:space="preserve"> 2</w:t>
      </w:r>
      <w:r w:rsidR="00DF169B" w:rsidRPr="005156B8">
        <w:t>: Estimated and true number of infections for three different simulated HIV epidemics when fitting to the total annual number of HIV diagnoses instead of diagnoses by CD4 count stratum. Black solid lines show the model estimates, and dashed lines are 95% confidence intervals. Thin grey lines show results of multivariable sensitivity analyses. Grey dots are the true annual number of infections that were used as input in the simulations.</w:t>
      </w:r>
    </w:p>
    <w:p w:rsidR="00DF169B" w:rsidRDefault="00DF169B" w:rsidP="000261F8">
      <w:pPr>
        <w:spacing w:line="480" w:lineRule="auto"/>
        <w:jc w:val="both"/>
      </w:pPr>
    </w:p>
    <w:p w:rsidR="00DF169B" w:rsidRDefault="00DF169B" w:rsidP="000261F8">
      <w:pPr>
        <w:spacing w:line="480" w:lineRule="auto"/>
        <w:jc w:val="both"/>
      </w:pPr>
      <w:r>
        <w:rPr>
          <w:noProof/>
          <w:lang w:eastAsia="en-GB"/>
        </w:rPr>
        <w:drawing>
          <wp:inline distT="0" distB="0" distL="0" distR="0">
            <wp:extent cx="3024000" cy="302400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OPHIE_HETM_v06_2_Infection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extent cx="3024000" cy="302400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OPHIE_HETF_v06_2_Infections.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extent cx="3024000" cy="3024000"/>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OPHIE_MSM_v06_2_Infections.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p>
    <w:p w:rsidR="00DF169B" w:rsidRDefault="00DF169B" w:rsidP="000261F8">
      <w:pPr>
        <w:spacing w:line="480" w:lineRule="auto"/>
        <w:jc w:val="both"/>
      </w:pPr>
    </w:p>
    <w:p w:rsidR="00DF169B" w:rsidRDefault="00DF169B" w:rsidP="000261F8">
      <w:pPr>
        <w:spacing w:line="480" w:lineRule="auto"/>
        <w:jc w:val="both"/>
        <w:sectPr w:rsidR="00DF169B" w:rsidSect="004D38CF">
          <w:pgSz w:w="11906" w:h="16838"/>
          <w:pgMar w:top="1134" w:right="1134" w:bottom="1134" w:left="1134" w:header="708" w:footer="708" w:gutter="0"/>
          <w:cols w:space="708"/>
          <w:docGrid w:linePitch="360"/>
        </w:sectPr>
      </w:pPr>
    </w:p>
    <w:p w:rsidR="00DF169B" w:rsidRDefault="00E36400" w:rsidP="000261F8">
      <w:pPr>
        <w:spacing w:line="480" w:lineRule="auto"/>
        <w:jc w:val="both"/>
      </w:pPr>
      <w:proofErr w:type="spellStart"/>
      <w:r>
        <w:rPr>
          <w:b/>
        </w:rPr>
        <w:lastRenderedPageBreak/>
        <w:t>e</w:t>
      </w:r>
      <w:r w:rsidR="00DF169B" w:rsidRPr="005156B8">
        <w:rPr>
          <w:b/>
        </w:rPr>
        <w:t>Figure</w:t>
      </w:r>
      <w:proofErr w:type="spellEnd"/>
      <w:r w:rsidR="00DF169B" w:rsidRPr="005156B8">
        <w:rPr>
          <w:b/>
        </w:rPr>
        <w:t xml:space="preserve"> 3</w:t>
      </w:r>
      <w:r w:rsidR="00DF169B" w:rsidRPr="005156B8">
        <w:t>: Estimated and true number of undiagnosed infections for three different simulated HIV epidemics when fitting to the total annual number of HIV diagnoses instead of diagnoses by CD4 count stratum. Black solid lines show the model estimates, and dashed lines are 95% confidence intervals. Thin grey lines show results of multivariable sensitivity analyses. Grey dots are the true annual proportions undiagnosed infections.</w:t>
      </w:r>
    </w:p>
    <w:p w:rsidR="00DF169B" w:rsidRDefault="00DF169B" w:rsidP="000261F8">
      <w:pPr>
        <w:spacing w:line="480" w:lineRule="auto"/>
        <w:jc w:val="both"/>
      </w:pPr>
    </w:p>
    <w:p w:rsidR="00DF169B" w:rsidRDefault="00DF169B" w:rsidP="000261F8">
      <w:pPr>
        <w:spacing w:line="480" w:lineRule="auto"/>
        <w:jc w:val="both"/>
      </w:pPr>
      <w:r>
        <w:rPr>
          <w:noProof/>
          <w:lang w:eastAsia="en-GB"/>
        </w:rPr>
        <w:drawing>
          <wp:inline distT="0" distB="0" distL="0" distR="0">
            <wp:extent cx="3024000" cy="3024000"/>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OPHIE_HETM_v06_2_Undiagnosed.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extent cx="3024000" cy="3024000"/>
            <wp:effectExtent l="0" t="0" r="508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OPHIE_HETF_v06_2_Undiagnosed.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extent cx="3024000" cy="3024000"/>
            <wp:effectExtent l="0" t="0" r="508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OPHIE_MSM_v06_2_Undiagnosed.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p>
    <w:p w:rsidR="00DF169B" w:rsidRDefault="00DF169B" w:rsidP="000261F8">
      <w:pPr>
        <w:spacing w:line="480" w:lineRule="auto"/>
        <w:jc w:val="both"/>
      </w:pPr>
    </w:p>
    <w:p w:rsidR="00DF169B" w:rsidRDefault="00DF169B" w:rsidP="000261F8">
      <w:pPr>
        <w:spacing w:line="480" w:lineRule="auto"/>
        <w:jc w:val="both"/>
        <w:sectPr w:rsidR="00DF169B" w:rsidSect="004D38CF">
          <w:pgSz w:w="11906" w:h="16838"/>
          <w:pgMar w:top="1134" w:right="1134" w:bottom="1134" w:left="1134" w:header="708" w:footer="708" w:gutter="0"/>
          <w:cols w:space="708"/>
          <w:docGrid w:linePitch="360"/>
        </w:sectPr>
      </w:pPr>
    </w:p>
    <w:p w:rsidR="00DF169B" w:rsidRDefault="00E36400" w:rsidP="000261F8">
      <w:pPr>
        <w:spacing w:line="480" w:lineRule="auto"/>
        <w:jc w:val="both"/>
      </w:pPr>
      <w:proofErr w:type="spellStart"/>
      <w:r>
        <w:rPr>
          <w:b/>
        </w:rPr>
        <w:lastRenderedPageBreak/>
        <w:t>e</w:t>
      </w:r>
      <w:r w:rsidR="00DF169B" w:rsidRPr="00BC2E1D">
        <w:rPr>
          <w:b/>
        </w:rPr>
        <w:t>Figure</w:t>
      </w:r>
      <w:proofErr w:type="spellEnd"/>
      <w:r w:rsidR="00DF169B" w:rsidRPr="00BC2E1D">
        <w:rPr>
          <w:b/>
        </w:rPr>
        <w:t xml:space="preserve"> </w:t>
      </w:r>
      <w:r w:rsidR="00DF169B">
        <w:rPr>
          <w:b/>
        </w:rPr>
        <w:t>4</w:t>
      </w:r>
      <w:r w:rsidR="00DF169B">
        <w:t xml:space="preserve">: Model fits to reported HIV and AIDS cases in </w:t>
      </w:r>
      <w:proofErr w:type="spellStart"/>
      <w:r w:rsidR="00DF169B">
        <w:t>MSM</w:t>
      </w:r>
      <w:proofErr w:type="spellEnd"/>
      <w:r w:rsidR="00DF169B">
        <w:t xml:space="preserve"> in the Netherlands. (A) Annual number of new AIDS cases (+ signs) and concurrent HIV and AIDS diagnoses (dots); (B) annual number of HIV diagnoses. Black solid lines show the best model fit to the data, whilst black dashed lines are 95% confidence intervals. Black shapes are data points used for fitting, grey shapes are not used for fitting. Thin grey lines show results of multivariable sensitivity analyses. In panel B, the thick dashed grey line is the model estimate for the actual number of HIV diagnoses taking into account patients who did not survive up to 1996.</w:t>
      </w:r>
    </w:p>
    <w:p w:rsidR="00DF169B" w:rsidRDefault="00DF169B" w:rsidP="000261F8">
      <w:pPr>
        <w:spacing w:line="480" w:lineRule="auto"/>
        <w:jc w:val="both"/>
      </w:pPr>
    </w:p>
    <w:p w:rsidR="00DF169B" w:rsidRDefault="00DF169B" w:rsidP="000261F8">
      <w:pPr>
        <w:spacing w:line="480" w:lineRule="auto"/>
        <w:jc w:val="both"/>
      </w:pPr>
      <w:r>
        <w:rPr>
          <w:noProof/>
          <w:lang w:eastAsia="en-GB"/>
        </w:rPr>
        <w:drawing>
          <wp:inline distT="0" distB="0" distL="0" distR="0">
            <wp:extent cx="3024000" cy="3024000"/>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MSM_v03_2_Diagnoses AIDS.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extent cx="3024000" cy="302400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MSM_v03_2_Diagnoses.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p>
    <w:p w:rsidR="00DF169B" w:rsidRDefault="00DF169B" w:rsidP="000261F8">
      <w:pPr>
        <w:spacing w:line="480" w:lineRule="auto"/>
        <w:jc w:val="both"/>
      </w:pPr>
    </w:p>
    <w:p w:rsidR="00DF169B" w:rsidRDefault="00DF169B" w:rsidP="000261F8">
      <w:pPr>
        <w:spacing w:line="480" w:lineRule="auto"/>
        <w:jc w:val="both"/>
      </w:pPr>
    </w:p>
    <w:p w:rsidR="00DF169B" w:rsidRDefault="00DF169B" w:rsidP="000261F8">
      <w:pPr>
        <w:spacing w:line="480" w:lineRule="auto"/>
        <w:jc w:val="both"/>
      </w:pPr>
    </w:p>
    <w:p w:rsidR="00DF169B" w:rsidRDefault="00DF169B" w:rsidP="000261F8">
      <w:pPr>
        <w:spacing w:line="480" w:lineRule="auto"/>
        <w:jc w:val="both"/>
        <w:sectPr w:rsidR="00DF169B" w:rsidSect="004D38CF">
          <w:pgSz w:w="11906" w:h="16838"/>
          <w:pgMar w:top="1134" w:right="1134" w:bottom="1134" w:left="1134" w:header="708" w:footer="708" w:gutter="0"/>
          <w:cols w:space="708"/>
          <w:docGrid w:linePitch="360"/>
        </w:sectPr>
      </w:pPr>
    </w:p>
    <w:p w:rsidR="00DF169B" w:rsidRDefault="00E36400" w:rsidP="000261F8">
      <w:pPr>
        <w:spacing w:line="480" w:lineRule="auto"/>
        <w:jc w:val="both"/>
      </w:pPr>
      <w:proofErr w:type="spellStart"/>
      <w:r>
        <w:rPr>
          <w:b/>
        </w:rPr>
        <w:lastRenderedPageBreak/>
        <w:t>e</w:t>
      </w:r>
      <w:r w:rsidR="00DF169B" w:rsidRPr="0036160A">
        <w:rPr>
          <w:b/>
        </w:rPr>
        <w:t>Figure</w:t>
      </w:r>
      <w:proofErr w:type="spellEnd"/>
      <w:r w:rsidR="00DF169B">
        <w:rPr>
          <w:b/>
        </w:rPr>
        <w:t xml:space="preserve"> 5</w:t>
      </w:r>
      <w:r w:rsidR="00DF169B">
        <w:t>: Model fits to reported HIV diagnoses by CD4 count. The panels show the annual number of observed HIV diagnoses (black dots) with CD4 counts (A) ≥500 cells/mm</w:t>
      </w:r>
      <w:r w:rsidR="00DF169B" w:rsidRPr="00116AE6">
        <w:rPr>
          <w:vertAlign w:val="superscript"/>
        </w:rPr>
        <w:t>3</w:t>
      </w:r>
      <w:r w:rsidR="00DF169B">
        <w:t>, (B) 350-499 cells/mm</w:t>
      </w:r>
      <w:r w:rsidR="00DF169B" w:rsidRPr="001925FF">
        <w:rPr>
          <w:vertAlign w:val="superscript"/>
        </w:rPr>
        <w:t>3</w:t>
      </w:r>
      <w:r w:rsidR="00DF169B">
        <w:t>, (C) 200-349 cells/mm</w:t>
      </w:r>
      <w:r w:rsidR="00DF169B" w:rsidRPr="00116AE6">
        <w:rPr>
          <w:vertAlign w:val="superscript"/>
        </w:rPr>
        <w:t>3</w:t>
      </w:r>
      <w:r w:rsidR="00DF169B">
        <w:t>, and (D) &lt;200 cells/mm</w:t>
      </w:r>
      <w:r w:rsidR="00DF169B" w:rsidRPr="00116AE6">
        <w:rPr>
          <w:vertAlign w:val="superscript"/>
        </w:rPr>
        <w:t>3</w:t>
      </w:r>
      <w:r w:rsidR="00DF169B">
        <w:t>. Black solid lines show the model fit, and dashed lines are 95% confidence intervals. Thick grey lines are the actual number of HIV diagnoses taking into account patients who did not survive up to 1996 and patients for whom no CD4 was available. Thin grey lines show results of multivariable sensitivity analyses.</w:t>
      </w:r>
    </w:p>
    <w:p w:rsidR="00DF169B" w:rsidRDefault="00DF169B" w:rsidP="000261F8">
      <w:pPr>
        <w:spacing w:line="480" w:lineRule="auto"/>
        <w:jc w:val="both"/>
      </w:pPr>
    </w:p>
    <w:p w:rsidR="00DF169B" w:rsidRDefault="00DF169B" w:rsidP="000261F8">
      <w:pPr>
        <w:spacing w:line="480" w:lineRule="auto"/>
        <w:jc w:val="both"/>
      </w:pPr>
      <w:r>
        <w:rPr>
          <w:noProof/>
          <w:lang w:eastAsia="en-GB"/>
        </w:rPr>
        <w:drawing>
          <wp:inline distT="0" distB="0" distL="0" distR="0">
            <wp:extent cx="3024000" cy="3024000"/>
            <wp:effectExtent l="0" t="0" r="508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MSM_v03_2_Diagnoses_CD4_1.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extent cx="3024000" cy="3024000"/>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MSM_v03_2_Diagnoses_CD4_2.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extent cx="3024000" cy="302400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MSM_v03_2_Diagnoses_CD4_3.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extent cx="3024000" cy="3024000"/>
            <wp:effectExtent l="0" t="0" r="508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MSM_v03_2_Diagnoses_CD4_4.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p>
    <w:p w:rsidR="00DF169B" w:rsidRDefault="00DF169B" w:rsidP="000261F8">
      <w:pPr>
        <w:spacing w:line="480" w:lineRule="auto"/>
        <w:jc w:val="both"/>
        <w:sectPr w:rsidR="00DF169B" w:rsidSect="004D38CF">
          <w:pgSz w:w="11906" w:h="16838"/>
          <w:pgMar w:top="1134" w:right="1134" w:bottom="1134" w:left="1134" w:header="708" w:footer="708" w:gutter="0"/>
          <w:cols w:space="708"/>
          <w:docGrid w:linePitch="360"/>
        </w:sectPr>
      </w:pPr>
    </w:p>
    <w:p w:rsidR="00DF169B" w:rsidRDefault="00E36400" w:rsidP="000261F8">
      <w:pPr>
        <w:spacing w:line="480" w:lineRule="auto"/>
        <w:jc w:val="both"/>
      </w:pPr>
      <w:proofErr w:type="spellStart"/>
      <w:r>
        <w:rPr>
          <w:b/>
        </w:rPr>
        <w:lastRenderedPageBreak/>
        <w:t>e</w:t>
      </w:r>
      <w:r w:rsidR="00DF169B" w:rsidRPr="00121116">
        <w:rPr>
          <w:b/>
        </w:rPr>
        <w:t>Figure</w:t>
      </w:r>
      <w:proofErr w:type="spellEnd"/>
      <w:r w:rsidR="00DF169B" w:rsidRPr="00121116">
        <w:rPr>
          <w:b/>
        </w:rPr>
        <w:t xml:space="preserve"> 6</w:t>
      </w:r>
      <w:r w:rsidR="00DF169B" w:rsidRPr="00121116">
        <w:t>: Model outcomes for men who have sex with men (</w:t>
      </w:r>
      <w:proofErr w:type="spellStart"/>
      <w:r w:rsidR="00DF169B" w:rsidRPr="00121116">
        <w:t>MSM</w:t>
      </w:r>
      <w:proofErr w:type="spellEnd"/>
      <w:r w:rsidR="00DF169B" w:rsidRPr="00121116">
        <w:t xml:space="preserve">) in the Netherlands when diagnosis rates in the period 1984-1995 were assumed to be a linear function of calendar time. (A) Annual number of new HIV infections; (B) average time from HIV infection to diagnosis by year of infection if diagnosis rates would remain the same as in the year of infection; (C) average time from HIV infection to diagnosis by year of diagnosis; (D) total number of individuals living with HIV and number of diagnosed and undiagnosed HIV infections, with dots representing the number of diagnosed </w:t>
      </w:r>
      <w:proofErr w:type="spellStart"/>
      <w:r w:rsidR="00DF169B" w:rsidRPr="00121116">
        <w:t>MSM</w:t>
      </w:r>
      <w:proofErr w:type="spellEnd"/>
      <w:r w:rsidR="00DF169B" w:rsidRPr="00121116">
        <w:t xml:space="preserve"> living with HIV according to the</w:t>
      </w:r>
      <w:r w:rsidR="00CB703C">
        <w:t xml:space="preserve"> AIDS Therapy Evaluation in the Netherlands (</w:t>
      </w:r>
      <w:r w:rsidR="00DF169B" w:rsidRPr="00121116">
        <w:t>ATHENA</w:t>
      </w:r>
      <w:r w:rsidR="00CB703C">
        <w:t>)</w:t>
      </w:r>
      <w:r w:rsidR="00DF169B" w:rsidRPr="00121116">
        <w:t xml:space="preserve"> database. Dashed grey lines in (A), (B), and (C) are results for the main model with constant diagnosis rate in 1984-1995, while thin grey lines show results of multivariable sensitivity analyses.</w:t>
      </w:r>
    </w:p>
    <w:p w:rsidR="00DF169B" w:rsidRDefault="00DF169B" w:rsidP="000261F8">
      <w:pPr>
        <w:spacing w:line="480" w:lineRule="auto"/>
        <w:jc w:val="both"/>
        <w:sectPr w:rsidR="00DF169B" w:rsidSect="004D38CF">
          <w:pgSz w:w="11906" w:h="16838"/>
          <w:pgMar w:top="1134" w:right="1134" w:bottom="1134" w:left="1134" w:header="708" w:footer="708" w:gutter="0"/>
          <w:cols w:space="708"/>
          <w:docGrid w:linePitch="360"/>
        </w:sectPr>
      </w:pPr>
      <w:bookmarkStart w:id="0" w:name="_GoBack"/>
      <w:bookmarkEnd w:id="0"/>
      <w:r>
        <w:rPr>
          <w:noProof/>
          <w:lang w:eastAsia="en-GB"/>
        </w:rPr>
        <w:drawing>
          <wp:inline distT="0" distB="0" distL="0" distR="0" wp14:anchorId="07C25109" wp14:editId="44AB813D">
            <wp:extent cx="3024000" cy="302400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2013_MSM_v10_2_Infections.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14:anchorId="7D5B83E7" wp14:editId="3AE0289C">
            <wp:extent cx="3024000" cy="302400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2013_MSM_v10_2_TimeToDiag.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14:anchorId="67B7A9E6" wp14:editId="0BFDBDE4">
            <wp:extent cx="3024000" cy="302400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2013_MSM_v10_2_TimeToDiagActual.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14:anchorId="318DB03E" wp14:editId="23AF07DA">
            <wp:extent cx="3024000" cy="302400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2013_MSM_v10_2_Prevalence.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p>
    <w:p w:rsidR="00DF169B" w:rsidRDefault="00E36400" w:rsidP="00A919F5">
      <w:pPr>
        <w:spacing w:line="480" w:lineRule="auto"/>
        <w:jc w:val="both"/>
      </w:pPr>
      <w:proofErr w:type="spellStart"/>
      <w:r>
        <w:rPr>
          <w:b/>
        </w:rPr>
        <w:lastRenderedPageBreak/>
        <w:t>e</w:t>
      </w:r>
      <w:r w:rsidR="00DF169B" w:rsidRPr="00121116">
        <w:rPr>
          <w:b/>
        </w:rPr>
        <w:t>Figure</w:t>
      </w:r>
      <w:proofErr w:type="spellEnd"/>
      <w:r w:rsidR="00DF169B" w:rsidRPr="00121116">
        <w:rPr>
          <w:b/>
        </w:rPr>
        <w:t xml:space="preserve"> 7</w:t>
      </w:r>
      <w:r w:rsidR="00DF169B" w:rsidRPr="00121116">
        <w:t>: Estimated diagnosis rates for the four CD4 count intervals (A) ≥500 cells/mm</w:t>
      </w:r>
      <w:r w:rsidR="00DF169B" w:rsidRPr="00121116">
        <w:rPr>
          <w:vertAlign w:val="superscript"/>
        </w:rPr>
        <w:t>3</w:t>
      </w:r>
      <w:r w:rsidR="00DF169B" w:rsidRPr="00121116">
        <w:t>, (B) 350-499 cells/mm</w:t>
      </w:r>
      <w:r w:rsidR="00DF169B" w:rsidRPr="00121116">
        <w:rPr>
          <w:vertAlign w:val="superscript"/>
        </w:rPr>
        <w:t>3</w:t>
      </w:r>
      <w:r w:rsidR="00DF169B" w:rsidRPr="00121116">
        <w:t>, (C) 200-349 cells/mm</w:t>
      </w:r>
      <w:r w:rsidR="00DF169B" w:rsidRPr="00121116">
        <w:rPr>
          <w:vertAlign w:val="superscript"/>
        </w:rPr>
        <w:t>3</w:t>
      </w:r>
      <w:r w:rsidR="00DF169B" w:rsidRPr="00121116">
        <w:t>, and (D) &lt;200 cells/mm</w:t>
      </w:r>
      <w:r w:rsidR="00DF169B" w:rsidRPr="00121116">
        <w:rPr>
          <w:vertAlign w:val="superscript"/>
        </w:rPr>
        <w:t>3</w:t>
      </w:r>
      <w:r w:rsidR="00DF169B" w:rsidRPr="00121116">
        <w:t>. Solid lines show the estimated diagnosis rate, and dashed lines are 95% confidence intervals. Black lines are results when assuming a constant diagnosis rate in the period 1984-1995, while grey lines represent results when assuming a linear function of calendar time.</w:t>
      </w:r>
    </w:p>
    <w:p w:rsidR="00DF169B" w:rsidRDefault="00DF169B" w:rsidP="000261F8">
      <w:pPr>
        <w:spacing w:line="480" w:lineRule="auto"/>
        <w:jc w:val="both"/>
      </w:pPr>
      <w:r>
        <w:rPr>
          <w:noProof/>
          <w:lang w:eastAsia="en-GB"/>
        </w:rPr>
        <w:drawing>
          <wp:inline distT="0" distB="0" distL="0" distR="0" wp14:anchorId="4E844DE8" wp14:editId="44ADAEDF">
            <wp:extent cx="3024000" cy="302400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2013_MSM_2_Diagnosis_Rate_1.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14:anchorId="5304368E" wp14:editId="63ADB77B">
            <wp:extent cx="3024000" cy="302400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2013_MSM_2_Diagnosis_Rate_2.t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14:anchorId="29BE7A0C" wp14:editId="0B5CEB3D">
            <wp:extent cx="3024000" cy="3024000"/>
            <wp:effectExtent l="0" t="0" r="508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2013_MSM_2_Diagnosis_Rate_3.t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14:anchorId="0C8884D6" wp14:editId="6C5CB984">
            <wp:extent cx="3024000" cy="3024000"/>
            <wp:effectExtent l="0" t="0" r="508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2013_MSM_2_Diagnosis_Rate_4.t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p>
    <w:p w:rsidR="00DF169B" w:rsidRDefault="00DF169B" w:rsidP="000261F8">
      <w:pPr>
        <w:spacing w:line="480" w:lineRule="auto"/>
        <w:jc w:val="both"/>
      </w:pPr>
    </w:p>
    <w:p w:rsidR="00DF169B" w:rsidRDefault="00DF169B" w:rsidP="000261F8">
      <w:pPr>
        <w:spacing w:line="480" w:lineRule="auto"/>
        <w:jc w:val="both"/>
        <w:sectPr w:rsidR="00DF169B" w:rsidSect="004D38CF">
          <w:pgSz w:w="11906" w:h="16838"/>
          <w:pgMar w:top="1134" w:right="1134" w:bottom="1134" w:left="1134" w:header="708" w:footer="708" w:gutter="0"/>
          <w:cols w:space="708"/>
          <w:docGrid w:linePitch="360"/>
        </w:sectPr>
      </w:pPr>
    </w:p>
    <w:p w:rsidR="00DF169B" w:rsidRDefault="00E36400" w:rsidP="000261F8">
      <w:pPr>
        <w:spacing w:line="480" w:lineRule="auto"/>
        <w:jc w:val="both"/>
      </w:pPr>
      <w:proofErr w:type="spellStart"/>
      <w:r>
        <w:rPr>
          <w:b/>
        </w:rPr>
        <w:lastRenderedPageBreak/>
        <w:t>e</w:t>
      </w:r>
      <w:r w:rsidR="00DF169B" w:rsidRPr="00121116">
        <w:rPr>
          <w:b/>
        </w:rPr>
        <w:t>Figure</w:t>
      </w:r>
      <w:proofErr w:type="spellEnd"/>
      <w:r w:rsidR="00DF169B" w:rsidRPr="00121116">
        <w:rPr>
          <w:b/>
        </w:rPr>
        <w:t xml:space="preserve"> 8</w:t>
      </w:r>
      <w:r w:rsidR="00DF169B">
        <w:t>: Model outcomes for men who have sex with men in the Netherlands when no information on CD4 counts was used. (A) Annual number of new HIV infections; (B) average time from HIV infection to diagnosis by year of infection if parameters would not change. Black solid lines show the best model fit to the data, whilst black dashed lines are 95% confidence intervals. Thin grey lines show results of multivariable sensitivity analyses.</w:t>
      </w:r>
    </w:p>
    <w:p w:rsidR="00DF169B" w:rsidRDefault="00DF169B" w:rsidP="000261F8">
      <w:pPr>
        <w:spacing w:line="480" w:lineRule="auto"/>
        <w:jc w:val="both"/>
      </w:pPr>
    </w:p>
    <w:p w:rsidR="00DF169B" w:rsidRDefault="00DF169B" w:rsidP="000261F8">
      <w:pPr>
        <w:spacing w:line="480" w:lineRule="auto"/>
        <w:jc w:val="both"/>
      </w:pPr>
      <w:r>
        <w:rPr>
          <w:noProof/>
          <w:lang w:eastAsia="en-GB"/>
        </w:rPr>
        <w:drawing>
          <wp:inline distT="0" distB="0" distL="0" distR="0">
            <wp:extent cx="3024000" cy="302400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MSM_v06_2_Infections.t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r>
        <w:rPr>
          <w:noProof/>
          <w:lang w:eastAsia="en-GB"/>
        </w:rPr>
        <w:drawing>
          <wp:inline distT="0" distB="0" distL="0" distR="0">
            <wp:extent cx="3024000" cy="3024000"/>
            <wp:effectExtent l="0" t="0" r="508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MSM_v06_2_TimeToDiag.t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024000" cy="3024000"/>
                    </a:xfrm>
                    <a:prstGeom prst="rect">
                      <a:avLst/>
                    </a:prstGeom>
                  </pic:spPr>
                </pic:pic>
              </a:graphicData>
            </a:graphic>
          </wp:inline>
        </w:drawing>
      </w:r>
    </w:p>
    <w:p w:rsidR="00DF169B" w:rsidRDefault="00DF169B" w:rsidP="000261F8">
      <w:pPr>
        <w:spacing w:line="480" w:lineRule="auto"/>
        <w:jc w:val="both"/>
      </w:pPr>
    </w:p>
    <w:p w:rsidR="00DF169B" w:rsidRDefault="00DF169B" w:rsidP="000261F8">
      <w:pPr>
        <w:spacing w:line="480" w:lineRule="auto"/>
        <w:jc w:val="both"/>
      </w:pPr>
    </w:p>
    <w:p w:rsidR="00DF169B" w:rsidRDefault="00DF169B" w:rsidP="000261F8">
      <w:pPr>
        <w:spacing w:line="480" w:lineRule="auto"/>
        <w:jc w:val="both"/>
        <w:sectPr w:rsidR="00DF169B" w:rsidSect="004D38CF">
          <w:pgSz w:w="11906" w:h="16838"/>
          <w:pgMar w:top="1134" w:right="1134" w:bottom="1134" w:left="1134" w:header="708" w:footer="708" w:gutter="0"/>
          <w:cols w:space="708"/>
          <w:docGrid w:linePitch="360"/>
        </w:sectPr>
      </w:pPr>
    </w:p>
    <w:p w:rsidR="00DF169B" w:rsidRDefault="00DF169B" w:rsidP="004350B3">
      <w:pPr>
        <w:jc w:val="center"/>
        <w:rPr>
          <w:noProof/>
        </w:rPr>
      </w:pPr>
      <w:r>
        <w:rPr>
          <w:noProof/>
        </w:rPr>
        <w:lastRenderedPageBreak/>
        <w:t>References</w:t>
      </w:r>
    </w:p>
    <w:p w:rsidR="00DF169B" w:rsidRDefault="00DF169B" w:rsidP="004350B3">
      <w:pPr>
        <w:jc w:val="center"/>
        <w:rPr>
          <w:noProof/>
        </w:rPr>
      </w:pPr>
    </w:p>
    <w:p w:rsidR="00DF169B" w:rsidRDefault="00DF169B" w:rsidP="004350B3">
      <w:pPr>
        <w:tabs>
          <w:tab w:val="right" w:pos="360"/>
          <w:tab w:val="left" w:pos="540"/>
        </w:tabs>
        <w:spacing w:after="240" w:line="480" w:lineRule="auto"/>
        <w:ind w:left="540" w:hanging="540"/>
        <w:jc w:val="both"/>
        <w:rPr>
          <w:noProof/>
        </w:rPr>
      </w:pPr>
      <w:r>
        <w:rPr>
          <w:noProof/>
        </w:rPr>
        <w:tab/>
        <w:t xml:space="preserve">1. </w:t>
      </w:r>
      <w:r>
        <w:rPr>
          <w:noProof/>
        </w:rPr>
        <w:tab/>
        <w:t xml:space="preserve">Ramsay JO. Monotone Regression Splines in Action. </w:t>
      </w:r>
      <w:r w:rsidRPr="004350B3">
        <w:rPr>
          <w:i/>
          <w:noProof/>
        </w:rPr>
        <w:t>Statistical Science</w:t>
      </w:r>
      <w:r>
        <w:rPr>
          <w:noProof/>
        </w:rPr>
        <w:t xml:space="preserve"> 1988; </w:t>
      </w:r>
      <w:r w:rsidRPr="004350B3">
        <w:rPr>
          <w:b/>
          <w:noProof/>
        </w:rPr>
        <w:t>3</w:t>
      </w:r>
      <w:r>
        <w:rPr>
          <w:noProof/>
        </w:rPr>
        <w:t>:425-441.</w:t>
      </w:r>
    </w:p>
    <w:p w:rsidR="00DF169B" w:rsidRDefault="00DF169B" w:rsidP="004350B3">
      <w:pPr>
        <w:tabs>
          <w:tab w:val="right" w:pos="360"/>
          <w:tab w:val="left" w:pos="540"/>
        </w:tabs>
        <w:spacing w:after="240" w:line="480" w:lineRule="auto"/>
        <w:ind w:left="540" w:hanging="540"/>
        <w:jc w:val="both"/>
        <w:rPr>
          <w:noProof/>
        </w:rPr>
      </w:pPr>
      <w:r>
        <w:rPr>
          <w:noProof/>
        </w:rPr>
        <w:tab/>
        <w:t xml:space="preserve">2. </w:t>
      </w:r>
      <w:r>
        <w:rPr>
          <w:noProof/>
        </w:rPr>
        <w:tab/>
        <w:t xml:space="preserve">Alioum A, Commenges D, Thiebaut R, Dabis F. A multistate approach for estimating the incidence of human immunodeficiency virus by using data from a prevalent cohort study. </w:t>
      </w:r>
      <w:r w:rsidRPr="004350B3">
        <w:rPr>
          <w:i/>
          <w:noProof/>
        </w:rPr>
        <w:t>Appl Statist</w:t>
      </w:r>
      <w:r>
        <w:rPr>
          <w:noProof/>
        </w:rPr>
        <w:t xml:space="preserve"> 2005; </w:t>
      </w:r>
      <w:r w:rsidRPr="004350B3">
        <w:rPr>
          <w:b/>
          <w:noProof/>
        </w:rPr>
        <w:t>54</w:t>
      </w:r>
      <w:r>
        <w:rPr>
          <w:noProof/>
        </w:rPr>
        <w:t>:739-752.</w:t>
      </w:r>
    </w:p>
    <w:p w:rsidR="00DF169B" w:rsidRDefault="00DF169B" w:rsidP="004350B3">
      <w:pPr>
        <w:tabs>
          <w:tab w:val="right" w:pos="360"/>
          <w:tab w:val="left" w:pos="540"/>
        </w:tabs>
        <w:spacing w:after="240" w:line="480" w:lineRule="auto"/>
        <w:ind w:left="540" w:hanging="540"/>
        <w:jc w:val="both"/>
        <w:rPr>
          <w:noProof/>
        </w:rPr>
      </w:pPr>
      <w:r>
        <w:rPr>
          <w:noProof/>
        </w:rPr>
        <w:tab/>
        <w:t xml:space="preserve">3. </w:t>
      </w:r>
      <w:r>
        <w:rPr>
          <w:noProof/>
        </w:rPr>
        <w:tab/>
        <w:t xml:space="preserve">Lee CA, Phillips AN, Elford J, Janossy G, Griffiths P, Kernoff P. Progression of HIV disease in a haemophilic cohort followed for 11 years and the effect of treatment. </w:t>
      </w:r>
      <w:r w:rsidRPr="004350B3">
        <w:rPr>
          <w:i/>
          <w:noProof/>
        </w:rPr>
        <w:t>BMJ</w:t>
      </w:r>
      <w:r>
        <w:rPr>
          <w:noProof/>
        </w:rPr>
        <w:t xml:space="preserve"> 1991; </w:t>
      </w:r>
      <w:r w:rsidRPr="004350B3">
        <w:rPr>
          <w:b/>
          <w:noProof/>
        </w:rPr>
        <w:t>303</w:t>
      </w:r>
      <w:r>
        <w:rPr>
          <w:noProof/>
        </w:rPr>
        <w:t>:1093-1096.</w:t>
      </w:r>
    </w:p>
    <w:p w:rsidR="00DF169B" w:rsidRDefault="00DF169B" w:rsidP="004350B3">
      <w:pPr>
        <w:tabs>
          <w:tab w:val="right" w:pos="360"/>
          <w:tab w:val="left" w:pos="540"/>
        </w:tabs>
        <w:spacing w:after="240" w:line="480" w:lineRule="auto"/>
        <w:ind w:left="540" w:hanging="540"/>
        <w:jc w:val="both"/>
        <w:rPr>
          <w:noProof/>
        </w:rPr>
      </w:pPr>
      <w:r>
        <w:rPr>
          <w:noProof/>
        </w:rPr>
        <w:tab/>
        <w:t xml:space="preserve">4. </w:t>
      </w:r>
      <w:r>
        <w:rPr>
          <w:noProof/>
        </w:rPr>
        <w:tab/>
        <w:t xml:space="preserve">Morgan D, Mahe C, Mayanja B, Whitworth JA. Progression to symptomatic disease in people infected with HIV-1 in rural Uganda: prospective cohort study. </w:t>
      </w:r>
      <w:r w:rsidRPr="004350B3">
        <w:rPr>
          <w:i/>
          <w:noProof/>
        </w:rPr>
        <w:t>BMJ</w:t>
      </w:r>
      <w:r>
        <w:rPr>
          <w:noProof/>
        </w:rPr>
        <w:t xml:space="preserve"> 2002; </w:t>
      </w:r>
      <w:r w:rsidRPr="004350B3">
        <w:rPr>
          <w:b/>
          <w:noProof/>
        </w:rPr>
        <w:t>324</w:t>
      </w:r>
      <w:r>
        <w:rPr>
          <w:noProof/>
        </w:rPr>
        <w:t>:193-196.</w:t>
      </w:r>
    </w:p>
    <w:p w:rsidR="00DF169B" w:rsidRPr="00C75113" w:rsidRDefault="00DF169B" w:rsidP="004350B3">
      <w:pPr>
        <w:tabs>
          <w:tab w:val="right" w:pos="360"/>
          <w:tab w:val="left" w:pos="540"/>
        </w:tabs>
        <w:spacing w:after="240" w:line="480" w:lineRule="auto"/>
        <w:ind w:left="540" w:hanging="540"/>
        <w:jc w:val="both"/>
        <w:rPr>
          <w:noProof/>
        </w:rPr>
      </w:pPr>
      <w:r>
        <w:rPr>
          <w:noProof/>
        </w:rPr>
        <w:tab/>
        <w:t xml:space="preserve">5. </w:t>
      </w:r>
      <w:r>
        <w:rPr>
          <w:noProof/>
        </w:rPr>
        <w:tab/>
        <w:t xml:space="preserve">Flegg PJ. Barnett Christie Lecture (1993). The natural history of HIV infection: a study in Edinburgh drug users. </w:t>
      </w:r>
      <w:r w:rsidRPr="00C75113">
        <w:rPr>
          <w:i/>
          <w:noProof/>
        </w:rPr>
        <w:t>J Infect</w:t>
      </w:r>
      <w:r w:rsidRPr="00C75113">
        <w:rPr>
          <w:noProof/>
        </w:rPr>
        <w:t xml:space="preserve"> 1994; </w:t>
      </w:r>
      <w:r w:rsidRPr="00C75113">
        <w:rPr>
          <w:b/>
          <w:noProof/>
        </w:rPr>
        <w:t>29</w:t>
      </w:r>
      <w:r w:rsidRPr="00C75113">
        <w:rPr>
          <w:noProof/>
        </w:rPr>
        <w:t>:311-321.</w:t>
      </w:r>
    </w:p>
    <w:p w:rsidR="00DF169B" w:rsidRDefault="00DF169B" w:rsidP="004350B3">
      <w:pPr>
        <w:tabs>
          <w:tab w:val="right" w:pos="360"/>
          <w:tab w:val="left" w:pos="540"/>
        </w:tabs>
        <w:spacing w:after="240" w:line="480" w:lineRule="auto"/>
        <w:ind w:left="540" w:hanging="540"/>
        <w:jc w:val="both"/>
        <w:rPr>
          <w:noProof/>
        </w:rPr>
      </w:pPr>
      <w:r w:rsidRPr="00C75113">
        <w:rPr>
          <w:noProof/>
        </w:rPr>
        <w:tab/>
        <w:t xml:space="preserve">6. </w:t>
      </w:r>
      <w:r w:rsidRPr="00C75113">
        <w:rPr>
          <w:noProof/>
        </w:rPr>
        <w:tab/>
        <w:t xml:space="preserve">Schouten M, van Velde AJ, Snijdewind IJ, Verbon A, Rijnders BJ, van der Ende ME. </w:t>
      </w:r>
      <w:r>
        <w:rPr>
          <w:noProof/>
        </w:rPr>
        <w:t xml:space="preserve">[Late diagnosis of HIV positive patients in Rotterdam, the Netherlands: risk factors and missed opportunities]. </w:t>
      </w:r>
      <w:r w:rsidRPr="004350B3">
        <w:rPr>
          <w:i/>
          <w:noProof/>
        </w:rPr>
        <w:t>Ned Tijdschr Geneeskd</w:t>
      </w:r>
      <w:r>
        <w:rPr>
          <w:noProof/>
        </w:rPr>
        <w:t xml:space="preserve"> 2013; </w:t>
      </w:r>
      <w:r w:rsidRPr="004350B3">
        <w:rPr>
          <w:b/>
          <w:noProof/>
        </w:rPr>
        <w:t>157</w:t>
      </w:r>
      <w:r>
        <w:rPr>
          <w:noProof/>
        </w:rPr>
        <w:t>:A5731.</w:t>
      </w:r>
    </w:p>
    <w:p w:rsidR="00DF169B" w:rsidRDefault="00DF169B" w:rsidP="004350B3">
      <w:pPr>
        <w:tabs>
          <w:tab w:val="right" w:pos="360"/>
          <w:tab w:val="left" w:pos="540"/>
        </w:tabs>
        <w:spacing w:after="240" w:line="480" w:lineRule="auto"/>
        <w:ind w:left="540" w:hanging="540"/>
        <w:jc w:val="both"/>
        <w:rPr>
          <w:noProof/>
        </w:rPr>
      </w:pPr>
      <w:r>
        <w:rPr>
          <w:noProof/>
        </w:rPr>
        <w:tab/>
        <w:t xml:space="preserve">7. </w:t>
      </w:r>
      <w:r>
        <w:rPr>
          <w:noProof/>
        </w:rPr>
        <w:tab/>
        <w:t xml:space="preserve">British HIV Association Audit &amp; Standards Sub-Committee. 2010-11 survey of HIV testing policy and practice and audit of new patients when first seen post-diagnosis. 2011 Available at: </w:t>
      </w:r>
      <w:r w:rsidRPr="004350B3">
        <w:rPr>
          <w:noProof/>
          <w:u w:val="single"/>
        </w:rPr>
        <w:t>www.bhiva.org/documents/ClinicalAudit/FindingsandReports/HIVdiagnosisWebVersion.ppt</w:t>
      </w:r>
      <w:r>
        <w:rPr>
          <w:noProof/>
        </w:rPr>
        <w:t>.</w:t>
      </w:r>
    </w:p>
    <w:p w:rsidR="00DF169B" w:rsidRDefault="00DF169B" w:rsidP="004350B3">
      <w:pPr>
        <w:tabs>
          <w:tab w:val="right" w:pos="360"/>
          <w:tab w:val="left" w:pos="540"/>
        </w:tabs>
        <w:spacing w:after="240" w:line="480" w:lineRule="auto"/>
        <w:ind w:left="540" w:hanging="540"/>
        <w:jc w:val="both"/>
        <w:rPr>
          <w:noProof/>
        </w:rPr>
      </w:pPr>
      <w:r>
        <w:rPr>
          <w:noProof/>
        </w:rPr>
        <w:tab/>
        <w:t xml:space="preserve">8. </w:t>
      </w:r>
      <w:r>
        <w:rPr>
          <w:noProof/>
        </w:rPr>
        <w:tab/>
        <w:t xml:space="preserve">Mccullagh P. Quasi-Likelihood Functions. </w:t>
      </w:r>
      <w:r w:rsidRPr="004350B3">
        <w:rPr>
          <w:i/>
          <w:noProof/>
        </w:rPr>
        <w:t>Annals of Statistics</w:t>
      </w:r>
      <w:r>
        <w:rPr>
          <w:noProof/>
        </w:rPr>
        <w:t xml:space="preserve"> 1983; </w:t>
      </w:r>
      <w:r w:rsidRPr="004350B3">
        <w:rPr>
          <w:b/>
          <w:noProof/>
        </w:rPr>
        <w:t>11</w:t>
      </w:r>
      <w:r>
        <w:rPr>
          <w:noProof/>
        </w:rPr>
        <w:t>:59-67.</w:t>
      </w:r>
    </w:p>
    <w:p w:rsidR="00DF169B" w:rsidRDefault="00DF169B" w:rsidP="004350B3">
      <w:pPr>
        <w:tabs>
          <w:tab w:val="right" w:pos="360"/>
          <w:tab w:val="left" w:pos="540"/>
        </w:tabs>
        <w:spacing w:after="240" w:line="480" w:lineRule="auto"/>
        <w:ind w:left="540" w:hanging="540"/>
        <w:jc w:val="both"/>
        <w:rPr>
          <w:noProof/>
        </w:rPr>
      </w:pPr>
      <w:r>
        <w:rPr>
          <w:noProof/>
        </w:rPr>
        <w:tab/>
        <w:t xml:space="preserve">9. </w:t>
      </w:r>
      <w:r>
        <w:rPr>
          <w:noProof/>
        </w:rPr>
        <w:tab/>
        <w:t xml:space="preserve">Efron B, Tibshirani RJ. An Introduction to the Bootstrap. New York: Chapman &amp; Hall/CRC, </w:t>
      </w:r>
      <w:r w:rsidRPr="004350B3">
        <w:rPr>
          <w:b/>
          <w:noProof/>
        </w:rPr>
        <w:t>1993</w:t>
      </w:r>
      <w:r>
        <w:rPr>
          <w:noProof/>
        </w:rPr>
        <w:t>.</w:t>
      </w:r>
    </w:p>
    <w:p w:rsidR="00DF169B" w:rsidRDefault="00DF169B" w:rsidP="004350B3">
      <w:pPr>
        <w:tabs>
          <w:tab w:val="right" w:pos="360"/>
          <w:tab w:val="left" w:pos="540"/>
        </w:tabs>
        <w:spacing w:after="240" w:line="480" w:lineRule="auto"/>
        <w:ind w:left="540" w:hanging="540"/>
        <w:jc w:val="both"/>
        <w:rPr>
          <w:noProof/>
        </w:rPr>
      </w:pPr>
      <w:r>
        <w:rPr>
          <w:noProof/>
        </w:rPr>
        <w:lastRenderedPageBreak/>
        <w:tab/>
        <w:t xml:space="preserve">10. </w:t>
      </w:r>
      <w:r>
        <w:rPr>
          <w:noProof/>
        </w:rPr>
        <w:tab/>
        <w:t xml:space="preserve">Phillips AN, Sabin C, Pillay D, Lundgren JD. HIV in the UK 1980-2006: reconstruction using a model of HIV infection and the effect of antiretroviral therapy. </w:t>
      </w:r>
      <w:r w:rsidRPr="004350B3">
        <w:rPr>
          <w:i/>
          <w:noProof/>
        </w:rPr>
        <w:t>HIV Med</w:t>
      </w:r>
      <w:r>
        <w:rPr>
          <w:noProof/>
        </w:rPr>
        <w:t xml:space="preserve"> 2007; </w:t>
      </w:r>
      <w:r w:rsidRPr="004350B3">
        <w:rPr>
          <w:b/>
          <w:noProof/>
        </w:rPr>
        <w:t>8</w:t>
      </w:r>
      <w:r>
        <w:rPr>
          <w:noProof/>
        </w:rPr>
        <w:t>:536-546.</w:t>
      </w:r>
    </w:p>
    <w:p w:rsidR="00DF169B" w:rsidRDefault="00DF169B" w:rsidP="004350B3">
      <w:pPr>
        <w:tabs>
          <w:tab w:val="right" w:pos="360"/>
          <w:tab w:val="left" w:pos="540"/>
        </w:tabs>
        <w:spacing w:after="240" w:line="480" w:lineRule="auto"/>
        <w:ind w:left="540" w:hanging="540"/>
        <w:jc w:val="both"/>
        <w:rPr>
          <w:noProof/>
        </w:rPr>
      </w:pPr>
      <w:r>
        <w:rPr>
          <w:noProof/>
        </w:rPr>
        <w:tab/>
        <w:t xml:space="preserve">11. </w:t>
      </w:r>
      <w:r>
        <w:rPr>
          <w:noProof/>
        </w:rPr>
        <w:tab/>
        <w:t xml:space="preserve">Phillips AN, Cambiano V, Nakagawa F </w:t>
      </w:r>
      <w:r w:rsidRPr="004350B3">
        <w:rPr>
          <w:i/>
          <w:noProof/>
        </w:rPr>
        <w:t>et al</w:t>
      </w:r>
      <w:r>
        <w:rPr>
          <w:noProof/>
        </w:rPr>
        <w:t xml:space="preserve">. Increased HIV incidence in men who have sex with men despite high levels of ART-induced viral suppression: analysis of an extensively documented epidemic. </w:t>
      </w:r>
      <w:r w:rsidRPr="004350B3">
        <w:rPr>
          <w:i/>
          <w:noProof/>
        </w:rPr>
        <w:t>PLoS ONE</w:t>
      </w:r>
      <w:r>
        <w:rPr>
          <w:noProof/>
        </w:rPr>
        <w:t xml:space="preserve"> 2013; </w:t>
      </w:r>
      <w:r w:rsidRPr="004350B3">
        <w:rPr>
          <w:b/>
          <w:noProof/>
        </w:rPr>
        <w:t>8</w:t>
      </w:r>
      <w:r>
        <w:rPr>
          <w:noProof/>
        </w:rPr>
        <w:t>:e55312.</w:t>
      </w:r>
    </w:p>
    <w:p w:rsidR="00DF169B" w:rsidRDefault="00DF169B" w:rsidP="004350B3">
      <w:pPr>
        <w:tabs>
          <w:tab w:val="right" w:pos="360"/>
          <w:tab w:val="left" w:pos="540"/>
        </w:tabs>
        <w:spacing w:after="240" w:line="480" w:lineRule="auto"/>
        <w:ind w:left="540" w:hanging="540"/>
        <w:jc w:val="both"/>
        <w:rPr>
          <w:noProof/>
        </w:rPr>
      </w:pPr>
      <w:r>
        <w:rPr>
          <w:noProof/>
        </w:rPr>
        <w:tab/>
      </w:r>
      <w:r w:rsidRPr="00121116">
        <w:rPr>
          <w:noProof/>
        </w:rPr>
        <w:t xml:space="preserve">12. </w:t>
      </w:r>
      <w:r w:rsidRPr="00121116">
        <w:rPr>
          <w:noProof/>
        </w:rPr>
        <w:tab/>
        <w:t>Health Council of the Netherlands: Standing Committee on Infectious Diseases and Immunology. Reconsidering the policy on HIV testing. Publication no. 1999/02. The Hague, Health Council of the Netherlands, 1999.</w:t>
      </w:r>
      <w:r>
        <w:rPr>
          <w:noProof/>
        </w:rPr>
        <w:t xml:space="preserve">  </w:t>
      </w:r>
    </w:p>
    <w:p w:rsidR="00DF169B" w:rsidRDefault="00DF169B" w:rsidP="004350B3">
      <w:pPr>
        <w:tabs>
          <w:tab w:val="right" w:pos="360"/>
          <w:tab w:val="left" w:pos="540"/>
        </w:tabs>
        <w:spacing w:after="240" w:line="480" w:lineRule="auto"/>
        <w:ind w:left="540" w:hanging="540"/>
        <w:jc w:val="both"/>
        <w:rPr>
          <w:noProof/>
        </w:rPr>
      </w:pPr>
      <w:r>
        <w:rPr>
          <w:noProof/>
        </w:rPr>
        <w:tab/>
        <w:t xml:space="preserve">13. </w:t>
      </w:r>
      <w:r>
        <w:rPr>
          <w:noProof/>
        </w:rPr>
        <w:tab/>
        <w:t xml:space="preserve">Sanchez MA, Blower SM. Uncertainty and sensitivity analysis of the basic reproductive rate. Tuberculosis as an example. </w:t>
      </w:r>
      <w:r w:rsidRPr="004350B3">
        <w:rPr>
          <w:i/>
          <w:noProof/>
        </w:rPr>
        <w:t>Am J Epidemiol</w:t>
      </w:r>
      <w:r>
        <w:rPr>
          <w:noProof/>
        </w:rPr>
        <w:t xml:space="preserve"> 1997; </w:t>
      </w:r>
      <w:r w:rsidRPr="004350B3">
        <w:rPr>
          <w:b/>
          <w:noProof/>
        </w:rPr>
        <w:t>145</w:t>
      </w:r>
      <w:r>
        <w:rPr>
          <w:noProof/>
        </w:rPr>
        <w:t>:1127-1137.</w:t>
      </w:r>
    </w:p>
    <w:p w:rsidR="00DF169B" w:rsidRDefault="00DF169B" w:rsidP="004350B3">
      <w:pPr>
        <w:tabs>
          <w:tab w:val="right" w:pos="360"/>
          <w:tab w:val="left" w:pos="540"/>
        </w:tabs>
        <w:spacing w:after="240" w:line="480" w:lineRule="auto"/>
        <w:ind w:left="540" w:hanging="540"/>
        <w:jc w:val="both"/>
        <w:rPr>
          <w:noProof/>
        </w:rPr>
      </w:pPr>
      <w:r>
        <w:rPr>
          <w:noProof/>
        </w:rPr>
        <w:tab/>
        <w:t xml:space="preserve">14. </w:t>
      </w:r>
      <w:r>
        <w:rPr>
          <w:noProof/>
        </w:rPr>
        <w:tab/>
        <w:t xml:space="preserve">van Sighem A, Vidondo B, Glass TR </w:t>
      </w:r>
      <w:r w:rsidRPr="004350B3">
        <w:rPr>
          <w:i/>
          <w:noProof/>
        </w:rPr>
        <w:t>et al</w:t>
      </w:r>
      <w:r>
        <w:rPr>
          <w:noProof/>
        </w:rPr>
        <w:t xml:space="preserve">. Resurgence of HIV infection among men who have sex with men in Switzerland: mathematical modelling study. </w:t>
      </w:r>
      <w:r w:rsidRPr="004350B3">
        <w:rPr>
          <w:i/>
          <w:noProof/>
        </w:rPr>
        <w:t>PLoS ONE</w:t>
      </w:r>
      <w:r>
        <w:rPr>
          <w:noProof/>
        </w:rPr>
        <w:t xml:space="preserve"> 2012; </w:t>
      </w:r>
      <w:r w:rsidRPr="004350B3">
        <w:rPr>
          <w:b/>
          <w:noProof/>
        </w:rPr>
        <w:t>7</w:t>
      </w:r>
      <w:r>
        <w:rPr>
          <w:noProof/>
        </w:rPr>
        <w:t>:e44819.</w:t>
      </w:r>
    </w:p>
    <w:p w:rsidR="00DF169B" w:rsidRPr="00C75113" w:rsidRDefault="00DF169B" w:rsidP="004350B3">
      <w:pPr>
        <w:tabs>
          <w:tab w:val="right" w:pos="360"/>
          <w:tab w:val="left" w:pos="540"/>
        </w:tabs>
        <w:spacing w:after="240" w:line="480" w:lineRule="auto"/>
        <w:ind w:left="540" w:hanging="540"/>
        <w:jc w:val="both"/>
        <w:rPr>
          <w:noProof/>
        </w:rPr>
      </w:pPr>
      <w:r>
        <w:rPr>
          <w:noProof/>
        </w:rPr>
        <w:tab/>
        <w:t xml:space="preserve">15. </w:t>
      </w:r>
      <w:r>
        <w:rPr>
          <w:noProof/>
        </w:rPr>
        <w:tab/>
        <w:t xml:space="preserve">Hollingsworth TD, Anderson RM, Fraser C. HIV-1 transmission, by stage of infection. </w:t>
      </w:r>
      <w:r w:rsidRPr="00C75113">
        <w:rPr>
          <w:i/>
          <w:noProof/>
        </w:rPr>
        <w:t>J Infect Dis</w:t>
      </w:r>
      <w:r w:rsidRPr="00C75113">
        <w:rPr>
          <w:noProof/>
        </w:rPr>
        <w:t xml:space="preserve"> 2008; </w:t>
      </w:r>
      <w:r w:rsidRPr="00C75113">
        <w:rPr>
          <w:b/>
          <w:noProof/>
        </w:rPr>
        <w:t>198</w:t>
      </w:r>
      <w:r w:rsidRPr="00C75113">
        <w:rPr>
          <w:noProof/>
        </w:rPr>
        <w:t>:687-693.</w:t>
      </w:r>
    </w:p>
    <w:p w:rsidR="00DF169B" w:rsidRPr="00C75113" w:rsidRDefault="00DF169B" w:rsidP="004350B3">
      <w:pPr>
        <w:tabs>
          <w:tab w:val="right" w:pos="360"/>
          <w:tab w:val="left" w:pos="540"/>
        </w:tabs>
        <w:spacing w:after="240" w:line="480" w:lineRule="auto"/>
        <w:ind w:left="540" w:hanging="540"/>
        <w:jc w:val="both"/>
        <w:rPr>
          <w:noProof/>
        </w:rPr>
      </w:pPr>
      <w:r w:rsidRPr="00C75113">
        <w:rPr>
          <w:noProof/>
        </w:rPr>
        <w:tab/>
        <w:t xml:space="preserve">16. </w:t>
      </w:r>
      <w:r w:rsidRPr="00C75113">
        <w:rPr>
          <w:noProof/>
        </w:rPr>
        <w:tab/>
        <w:t xml:space="preserve">Lodi S, Phillips A, Touloumi G </w:t>
      </w:r>
      <w:r w:rsidRPr="00C75113">
        <w:rPr>
          <w:i/>
          <w:noProof/>
        </w:rPr>
        <w:t>et al</w:t>
      </w:r>
      <w:r w:rsidRPr="00C75113">
        <w:rPr>
          <w:noProof/>
        </w:rPr>
        <w:t xml:space="preserve">. </w:t>
      </w:r>
      <w:r>
        <w:rPr>
          <w:noProof/>
        </w:rPr>
        <w:t xml:space="preserve">Time from human immunodeficiency virus seroconversion to reaching CD4+ cell count thresholds &lt;200, &lt;350, and &lt;500 Cells/mm(3): assessment of need following changes in treatment guidelines. </w:t>
      </w:r>
      <w:r w:rsidRPr="00C75113">
        <w:rPr>
          <w:i/>
          <w:noProof/>
        </w:rPr>
        <w:t>Clin Infect Dis</w:t>
      </w:r>
      <w:r w:rsidRPr="00C75113">
        <w:rPr>
          <w:noProof/>
        </w:rPr>
        <w:t xml:space="preserve"> 2011; </w:t>
      </w:r>
      <w:r w:rsidRPr="00C75113">
        <w:rPr>
          <w:b/>
          <w:noProof/>
        </w:rPr>
        <w:t>53</w:t>
      </w:r>
      <w:r w:rsidRPr="00C75113">
        <w:rPr>
          <w:noProof/>
        </w:rPr>
        <w:t>:817-825.</w:t>
      </w:r>
    </w:p>
    <w:p w:rsidR="00DF169B" w:rsidRPr="00C75113" w:rsidRDefault="00DF169B" w:rsidP="004350B3">
      <w:pPr>
        <w:tabs>
          <w:tab w:val="right" w:pos="360"/>
          <w:tab w:val="left" w:pos="540"/>
        </w:tabs>
        <w:spacing w:after="240" w:line="480" w:lineRule="auto"/>
        <w:ind w:left="540" w:hanging="540"/>
        <w:jc w:val="both"/>
        <w:rPr>
          <w:noProof/>
        </w:rPr>
      </w:pPr>
      <w:r w:rsidRPr="00C75113">
        <w:rPr>
          <w:noProof/>
        </w:rPr>
        <w:tab/>
        <w:t xml:space="preserve">17. </w:t>
      </w:r>
      <w:r w:rsidRPr="00C75113">
        <w:rPr>
          <w:noProof/>
        </w:rPr>
        <w:tab/>
        <w:t xml:space="preserve">Cori A, Ayles H, Beyers N </w:t>
      </w:r>
      <w:r w:rsidRPr="00C75113">
        <w:rPr>
          <w:i/>
          <w:noProof/>
        </w:rPr>
        <w:t>et al</w:t>
      </w:r>
      <w:r w:rsidRPr="00C75113">
        <w:rPr>
          <w:noProof/>
        </w:rPr>
        <w:t xml:space="preserve">. </w:t>
      </w:r>
      <w:r>
        <w:rPr>
          <w:noProof/>
        </w:rPr>
        <w:t xml:space="preserve">HPTN 071 (PopART): A Cluster-Randomized Trial of the Population Impact of an HIV Combination Prevention Intervention Including Universal Testing and Treatment: Mathematical Model. </w:t>
      </w:r>
      <w:r w:rsidRPr="00C75113">
        <w:rPr>
          <w:i/>
          <w:noProof/>
        </w:rPr>
        <w:t>PLoS ONE</w:t>
      </w:r>
      <w:r w:rsidRPr="00C75113">
        <w:rPr>
          <w:noProof/>
        </w:rPr>
        <w:t xml:space="preserve"> 2014; </w:t>
      </w:r>
      <w:r w:rsidRPr="00C75113">
        <w:rPr>
          <w:b/>
          <w:noProof/>
        </w:rPr>
        <w:t>9</w:t>
      </w:r>
      <w:r w:rsidRPr="00C75113">
        <w:rPr>
          <w:noProof/>
        </w:rPr>
        <w:t>:e84511.</w:t>
      </w:r>
    </w:p>
    <w:p w:rsidR="00DF169B" w:rsidRDefault="00DF169B" w:rsidP="004350B3">
      <w:pPr>
        <w:tabs>
          <w:tab w:val="right" w:pos="360"/>
          <w:tab w:val="left" w:pos="540"/>
        </w:tabs>
        <w:spacing w:after="240" w:line="480" w:lineRule="auto"/>
        <w:ind w:left="540" w:hanging="540"/>
        <w:jc w:val="both"/>
        <w:rPr>
          <w:noProof/>
        </w:rPr>
      </w:pPr>
      <w:r w:rsidRPr="00C75113">
        <w:rPr>
          <w:noProof/>
        </w:rPr>
        <w:tab/>
        <w:t xml:space="preserve">18. </w:t>
      </w:r>
      <w:r w:rsidRPr="00C75113">
        <w:rPr>
          <w:noProof/>
        </w:rPr>
        <w:tab/>
        <w:t xml:space="preserve">Bezemer D, de Wolf F, Boerlijst MC </w:t>
      </w:r>
      <w:r w:rsidRPr="00C75113">
        <w:rPr>
          <w:i/>
          <w:noProof/>
        </w:rPr>
        <w:t>et al</w:t>
      </w:r>
      <w:r w:rsidRPr="00C75113">
        <w:rPr>
          <w:noProof/>
        </w:rPr>
        <w:t xml:space="preserve">. </w:t>
      </w:r>
      <w:r>
        <w:rPr>
          <w:noProof/>
        </w:rPr>
        <w:t xml:space="preserve">A resurgent HIV-1 epidemic among men who have sex with men in the era of potent antiretroviral therapy. </w:t>
      </w:r>
      <w:r w:rsidRPr="004350B3">
        <w:rPr>
          <w:i/>
          <w:noProof/>
        </w:rPr>
        <w:t>AIDS</w:t>
      </w:r>
      <w:r>
        <w:rPr>
          <w:noProof/>
        </w:rPr>
        <w:t xml:space="preserve"> 2008; </w:t>
      </w:r>
      <w:r w:rsidRPr="004350B3">
        <w:rPr>
          <w:b/>
          <w:noProof/>
        </w:rPr>
        <w:t>22</w:t>
      </w:r>
      <w:r>
        <w:rPr>
          <w:noProof/>
        </w:rPr>
        <w:t>:1071-1077.</w:t>
      </w:r>
    </w:p>
    <w:p w:rsidR="00DF169B" w:rsidRDefault="00DF169B" w:rsidP="004350B3">
      <w:pPr>
        <w:tabs>
          <w:tab w:val="right" w:pos="360"/>
          <w:tab w:val="left" w:pos="540"/>
        </w:tabs>
        <w:spacing w:line="480" w:lineRule="auto"/>
        <w:ind w:left="540" w:hanging="540"/>
        <w:jc w:val="both"/>
        <w:rPr>
          <w:noProof/>
        </w:rPr>
      </w:pPr>
      <w:r>
        <w:rPr>
          <w:noProof/>
        </w:rPr>
        <w:lastRenderedPageBreak/>
        <w:tab/>
        <w:t xml:space="preserve">19. </w:t>
      </w:r>
      <w:r>
        <w:rPr>
          <w:noProof/>
        </w:rPr>
        <w:tab/>
        <w:t xml:space="preserve">Bezemer D, de Wolf F, Boerlijst MC, van Sighem A, Hollingsworth TD, Fraser C. 27 years of the HIV epidemic amongst men having sex with men in the Netherlands: an in depth mathematical model-based analysis. </w:t>
      </w:r>
      <w:r w:rsidRPr="004350B3">
        <w:rPr>
          <w:i/>
          <w:noProof/>
        </w:rPr>
        <w:t>Epidemics</w:t>
      </w:r>
      <w:r>
        <w:rPr>
          <w:noProof/>
        </w:rPr>
        <w:t xml:space="preserve"> 2010; </w:t>
      </w:r>
      <w:r w:rsidRPr="004350B3">
        <w:rPr>
          <w:b/>
          <w:noProof/>
        </w:rPr>
        <w:t>2</w:t>
      </w:r>
      <w:r>
        <w:rPr>
          <w:noProof/>
        </w:rPr>
        <w:t>:66-79.</w:t>
      </w:r>
    </w:p>
    <w:p w:rsidR="00DF169B" w:rsidRDefault="00DF169B" w:rsidP="004350B3">
      <w:pPr>
        <w:tabs>
          <w:tab w:val="right" w:pos="360"/>
          <w:tab w:val="left" w:pos="540"/>
        </w:tabs>
        <w:spacing w:line="480" w:lineRule="auto"/>
        <w:ind w:left="540" w:hanging="540"/>
        <w:jc w:val="both"/>
        <w:rPr>
          <w:noProof/>
        </w:rPr>
      </w:pPr>
    </w:p>
    <w:p w:rsidR="00DF169B" w:rsidRPr="0034686C" w:rsidRDefault="00DF169B" w:rsidP="00055013">
      <w:pPr>
        <w:tabs>
          <w:tab w:val="right" w:pos="360"/>
          <w:tab w:val="left" w:pos="540"/>
        </w:tabs>
        <w:spacing w:line="480" w:lineRule="auto"/>
        <w:ind w:left="540" w:hanging="540"/>
        <w:jc w:val="both"/>
      </w:pPr>
    </w:p>
    <w:p w:rsidR="00DF169B" w:rsidRPr="0034686C" w:rsidRDefault="00DF169B">
      <w:pPr>
        <w:tabs>
          <w:tab w:val="right" w:pos="360"/>
          <w:tab w:val="left" w:pos="540"/>
        </w:tabs>
        <w:spacing w:line="480" w:lineRule="auto"/>
        <w:ind w:left="540" w:hanging="540"/>
        <w:jc w:val="both"/>
      </w:pPr>
    </w:p>
    <w:p w:rsidR="000C2704" w:rsidRDefault="000C2704"/>
    <w:sectPr w:rsidR="000C2704" w:rsidSect="004D38C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D6" w:rsidRDefault="00536BD6">
      <w:r>
        <w:separator/>
      </w:r>
    </w:p>
  </w:endnote>
  <w:endnote w:type="continuationSeparator" w:id="0">
    <w:p w:rsidR="00536BD6" w:rsidRDefault="0053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63381"/>
      <w:docPartObj>
        <w:docPartGallery w:val="Page Numbers (Bottom of Page)"/>
        <w:docPartUnique/>
      </w:docPartObj>
    </w:sdtPr>
    <w:sdtEndPr>
      <w:rPr>
        <w:noProof/>
      </w:rPr>
    </w:sdtEndPr>
    <w:sdtContent>
      <w:p w:rsidR="00AC7275" w:rsidRDefault="006218A4">
        <w:pPr>
          <w:pStyle w:val="Footer"/>
          <w:jc w:val="right"/>
        </w:pPr>
        <w:r>
          <w:fldChar w:fldCharType="begin"/>
        </w:r>
        <w:r>
          <w:instrText xml:space="preserve"> PAGE   \* MERGEFORMAT </w:instrText>
        </w:r>
        <w:r>
          <w:fldChar w:fldCharType="separate"/>
        </w:r>
        <w:r w:rsidR="00C75113">
          <w:rPr>
            <w:noProof/>
          </w:rPr>
          <w:t>18</w:t>
        </w:r>
        <w:r>
          <w:rPr>
            <w:noProof/>
          </w:rPr>
          <w:fldChar w:fldCharType="end"/>
        </w:r>
      </w:p>
    </w:sdtContent>
  </w:sdt>
  <w:p w:rsidR="00AC7275" w:rsidRDefault="00536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D6" w:rsidRDefault="00536BD6">
      <w:r>
        <w:separator/>
      </w:r>
    </w:p>
  </w:footnote>
  <w:footnote w:type="continuationSeparator" w:id="0">
    <w:p w:rsidR="00536BD6" w:rsidRDefault="00536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DF169B"/>
    <w:rsid w:val="000C2704"/>
    <w:rsid w:val="00121116"/>
    <w:rsid w:val="00264EB7"/>
    <w:rsid w:val="003574D5"/>
    <w:rsid w:val="004423C3"/>
    <w:rsid w:val="004E4BB1"/>
    <w:rsid w:val="00536BD6"/>
    <w:rsid w:val="005B42AF"/>
    <w:rsid w:val="006218A4"/>
    <w:rsid w:val="006401C0"/>
    <w:rsid w:val="0068543A"/>
    <w:rsid w:val="00724B9C"/>
    <w:rsid w:val="00B65316"/>
    <w:rsid w:val="00C75113"/>
    <w:rsid w:val="00CB703C"/>
    <w:rsid w:val="00DF169B"/>
    <w:rsid w:val="00E3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9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69B"/>
    <w:rPr>
      <w:rFonts w:ascii="Tahoma" w:hAnsi="Tahoma" w:cs="Tahoma"/>
      <w:sz w:val="16"/>
      <w:szCs w:val="16"/>
    </w:rPr>
  </w:style>
  <w:style w:type="character" w:customStyle="1" w:styleId="BalloonTextChar">
    <w:name w:val="Balloon Text Char"/>
    <w:link w:val="BalloonText"/>
    <w:uiPriority w:val="99"/>
    <w:semiHidden/>
    <w:rsid w:val="00DF169B"/>
    <w:rPr>
      <w:rFonts w:ascii="Tahoma" w:hAnsi="Tahoma" w:cs="Tahoma"/>
      <w:sz w:val="16"/>
      <w:szCs w:val="16"/>
      <w:lang w:eastAsia="en-US"/>
    </w:rPr>
  </w:style>
  <w:style w:type="table" w:styleId="TableGrid">
    <w:name w:val="Table Grid"/>
    <w:basedOn w:val="TableNormal"/>
    <w:uiPriority w:val="59"/>
    <w:rsid w:val="00DF169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F169B"/>
    <w:rPr>
      <w:color w:val="808080"/>
    </w:rPr>
  </w:style>
  <w:style w:type="character" w:styleId="CommentReference">
    <w:name w:val="annotation reference"/>
    <w:uiPriority w:val="99"/>
    <w:semiHidden/>
    <w:unhideWhenUsed/>
    <w:rsid w:val="00DF169B"/>
    <w:rPr>
      <w:sz w:val="16"/>
      <w:szCs w:val="16"/>
    </w:rPr>
  </w:style>
  <w:style w:type="paragraph" w:styleId="CommentText">
    <w:name w:val="annotation text"/>
    <w:basedOn w:val="Normal"/>
    <w:link w:val="CommentTextChar"/>
    <w:uiPriority w:val="99"/>
    <w:semiHidden/>
    <w:unhideWhenUsed/>
    <w:rsid w:val="00DF169B"/>
  </w:style>
  <w:style w:type="character" w:customStyle="1" w:styleId="CommentTextChar">
    <w:name w:val="Comment Text Char"/>
    <w:link w:val="CommentText"/>
    <w:uiPriority w:val="99"/>
    <w:semiHidden/>
    <w:rsid w:val="00DF169B"/>
    <w:rPr>
      <w:lang w:eastAsia="en-US"/>
    </w:rPr>
  </w:style>
  <w:style w:type="paragraph" w:styleId="CommentSubject">
    <w:name w:val="annotation subject"/>
    <w:basedOn w:val="CommentText"/>
    <w:next w:val="CommentText"/>
    <w:link w:val="CommentSubjectChar"/>
    <w:uiPriority w:val="99"/>
    <w:semiHidden/>
    <w:unhideWhenUsed/>
    <w:rsid w:val="00DF169B"/>
    <w:rPr>
      <w:b/>
      <w:bCs/>
    </w:rPr>
  </w:style>
  <w:style w:type="character" w:customStyle="1" w:styleId="CommentSubjectChar">
    <w:name w:val="Comment Subject Char"/>
    <w:link w:val="CommentSubject"/>
    <w:uiPriority w:val="99"/>
    <w:semiHidden/>
    <w:rsid w:val="00DF169B"/>
    <w:rPr>
      <w:b/>
      <w:bCs/>
      <w:lang w:eastAsia="en-US"/>
    </w:rPr>
  </w:style>
  <w:style w:type="paragraph" w:styleId="Revision">
    <w:name w:val="Revision"/>
    <w:hidden/>
    <w:uiPriority w:val="99"/>
    <w:semiHidden/>
    <w:rsid w:val="00DF169B"/>
    <w:rPr>
      <w:rFonts w:eastAsiaTheme="minorHAnsi" w:cstheme="minorBidi"/>
      <w:lang w:eastAsia="en-US"/>
    </w:rPr>
  </w:style>
  <w:style w:type="character" w:styleId="Hyperlink">
    <w:name w:val="Hyperlink"/>
    <w:uiPriority w:val="99"/>
    <w:semiHidden/>
    <w:unhideWhenUsed/>
    <w:rsid w:val="00DF169B"/>
    <w:rPr>
      <w:color w:val="0000FF" w:themeColor="hyperlink"/>
      <w:u w:val="single"/>
    </w:rPr>
  </w:style>
  <w:style w:type="paragraph" w:styleId="PlainText">
    <w:name w:val="Plain Text"/>
    <w:basedOn w:val="Normal"/>
    <w:link w:val="PlainTextChar"/>
    <w:uiPriority w:val="99"/>
    <w:semiHidden/>
    <w:unhideWhenUsed/>
    <w:rsid w:val="00DF169B"/>
    <w:rPr>
      <w:szCs w:val="21"/>
    </w:rPr>
  </w:style>
  <w:style w:type="character" w:customStyle="1" w:styleId="PlainTextChar">
    <w:name w:val="Plain Text Char"/>
    <w:link w:val="PlainText"/>
    <w:uiPriority w:val="99"/>
    <w:semiHidden/>
    <w:rsid w:val="00DF169B"/>
    <w:rPr>
      <w:szCs w:val="21"/>
      <w:lang w:eastAsia="en-US"/>
    </w:rPr>
  </w:style>
  <w:style w:type="paragraph" w:styleId="Header">
    <w:name w:val="header"/>
    <w:basedOn w:val="Normal"/>
    <w:link w:val="HeaderChar"/>
    <w:uiPriority w:val="99"/>
    <w:unhideWhenUsed/>
    <w:rsid w:val="00DF169B"/>
    <w:pPr>
      <w:tabs>
        <w:tab w:val="center" w:pos="4513"/>
        <w:tab w:val="right" w:pos="9026"/>
      </w:tabs>
    </w:pPr>
  </w:style>
  <w:style w:type="character" w:customStyle="1" w:styleId="HeaderChar">
    <w:name w:val="Header Char"/>
    <w:link w:val="Header"/>
    <w:uiPriority w:val="99"/>
    <w:rsid w:val="00DF169B"/>
    <w:rPr>
      <w:lang w:eastAsia="en-US"/>
    </w:rPr>
  </w:style>
  <w:style w:type="paragraph" w:styleId="Footer">
    <w:name w:val="footer"/>
    <w:basedOn w:val="Normal"/>
    <w:link w:val="FooterChar"/>
    <w:uiPriority w:val="99"/>
    <w:unhideWhenUsed/>
    <w:rsid w:val="00DF169B"/>
    <w:pPr>
      <w:tabs>
        <w:tab w:val="center" w:pos="4513"/>
        <w:tab w:val="right" w:pos="9026"/>
      </w:tabs>
    </w:pPr>
  </w:style>
  <w:style w:type="character" w:customStyle="1" w:styleId="FooterChar">
    <w:name w:val="Footer Char"/>
    <w:link w:val="Footer"/>
    <w:uiPriority w:val="99"/>
    <w:rsid w:val="00DF169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9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69B"/>
    <w:rPr>
      <w:rFonts w:ascii="Tahoma" w:hAnsi="Tahoma" w:cs="Tahoma"/>
      <w:sz w:val="16"/>
      <w:szCs w:val="16"/>
    </w:rPr>
  </w:style>
  <w:style w:type="character" w:customStyle="1" w:styleId="BalloonTextChar">
    <w:name w:val="Balloon Text Char"/>
    <w:link w:val="BalloonText"/>
    <w:uiPriority w:val="99"/>
    <w:semiHidden/>
    <w:rsid w:val="00DF169B"/>
    <w:rPr>
      <w:rFonts w:ascii="Tahoma" w:hAnsi="Tahoma" w:cs="Tahoma"/>
      <w:sz w:val="16"/>
      <w:szCs w:val="16"/>
      <w:lang w:eastAsia="en-US"/>
    </w:rPr>
  </w:style>
  <w:style w:type="table" w:styleId="TableGrid">
    <w:name w:val="Table Grid"/>
    <w:basedOn w:val="TableNormal"/>
    <w:uiPriority w:val="59"/>
    <w:rsid w:val="00DF169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F169B"/>
    <w:rPr>
      <w:color w:val="808080"/>
    </w:rPr>
  </w:style>
  <w:style w:type="character" w:styleId="CommentReference">
    <w:name w:val="annotation reference"/>
    <w:uiPriority w:val="99"/>
    <w:semiHidden/>
    <w:unhideWhenUsed/>
    <w:rsid w:val="00DF169B"/>
    <w:rPr>
      <w:sz w:val="16"/>
      <w:szCs w:val="16"/>
    </w:rPr>
  </w:style>
  <w:style w:type="paragraph" w:styleId="CommentText">
    <w:name w:val="annotation text"/>
    <w:basedOn w:val="Normal"/>
    <w:link w:val="CommentTextChar"/>
    <w:uiPriority w:val="99"/>
    <w:semiHidden/>
    <w:unhideWhenUsed/>
    <w:rsid w:val="00DF169B"/>
  </w:style>
  <w:style w:type="character" w:customStyle="1" w:styleId="CommentTextChar">
    <w:name w:val="Comment Text Char"/>
    <w:link w:val="CommentText"/>
    <w:uiPriority w:val="99"/>
    <w:semiHidden/>
    <w:rsid w:val="00DF169B"/>
    <w:rPr>
      <w:lang w:eastAsia="en-US"/>
    </w:rPr>
  </w:style>
  <w:style w:type="paragraph" w:styleId="CommentSubject">
    <w:name w:val="annotation subject"/>
    <w:basedOn w:val="CommentText"/>
    <w:next w:val="CommentText"/>
    <w:link w:val="CommentSubjectChar"/>
    <w:uiPriority w:val="99"/>
    <w:semiHidden/>
    <w:unhideWhenUsed/>
    <w:rsid w:val="00DF169B"/>
    <w:rPr>
      <w:b/>
      <w:bCs/>
    </w:rPr>
  </w:style>
  <w:style w:type="character" w:customStyle="1" w:styleId="CommentSubjectChar">
    <w:name w:val="Comment Subject Char"/>
    <w:link w:val="CommentSubject"/>
    <w:uiPriority w:val="99"/>
    <w:semiHidden/>
    <w:rsid w:val="00DF169B"/>
    <w:rPr>
      <w:b/>
      <w:bCs/>
      <w:lang w:eastAsia="en-US"/>
    </w:rPr>
  </w:style>
  <w:style w:type="paragraph" w:styleId="Revision">
    <w:name w:val="Revision"/>
    <w:hidden/>
    <w:uiPriority w:val="99"/>
    <w:semiHidden/>
    <w:rsid w:val="00DF169B"/>
    <w:rPr>
      <w:rFonts w:eastAsiaTheme="minorHAnsi" w:cstheme="minorBidi"/>
      <w:lang w:eastAsia="en-US"/>
    </w:rPr>
  </w:style>
  <w:style w:type="character" w:styleId="Hyperlink">
    <w:name w:val="Hyperlink"/>
    <w:uiPriority w:val="99"/>
    <w:semiHidden/>
    <w:unhideWhenUsed/>
    <w:rsid w:val="00DF169B"/>
    <w:rPr>
      <w:color w:val="0000FF" w:themeColor="hyperlink"/>
      <w:u w:val="single"/>
    </w:rPr>
  </w:style>
  <w:style w:type="paragraph" w:styleId="PlainText">
    <w:name w:val="Plain Text"/>
    <w:basedOn w:val="Normal"/>
    <w:link w:val="PlainTextChar"/>
    <w:uiPriority w:val="99"/>
    <w:semiHidden/>
    <w:unhideWhenUsed/>
    <w:rsid w:val="00DF169B"/>
    <w:rPr>
      <w:szCs w:val="21"/>
    </w:rPr>
  </w:style>
  <w:style w:type="character" w:customStyle="1" w:styleId="PlainTextChar">
    <w:name w:val="Plain Text Char"/>
    <w:link w:val="PlainText"/>
    <w:uiPriority w:val="99"/>
    <w:semiHidden/>
    <w:rsid w:val="00DF169B"/>
    <w:rPr>
      <w:szCs w:val="21"/>
      <w:lang w:eastAsia="en-US"/>
    </w:rPr>
  </w:style>
  <w:style w:type="paragraph" w:styleId="Header">
    <w:name w:val="header"/>
    <w:basedOn w:val="Normal"/>
    <w:link w:val="HeaderChar"/>
    <w:uiPriority w:val="99"/>
    <w:unhideWhenUsed/>
    <w:rsid w:val="00DF169B"/>
    <w:pPr>
      <w:tabs>
        <w:tab w:val="center" w:pos="4513"/>
        <w:tab w:val="right" w:pos="9026"/>
      </w:tabs>
    </w:pPr>
  </w:style>
  <w:style w:type="character" w:customStyle="1" w:styleId="HeaderChar">
    <w:name w:val="Header Char"/>
    <w:link w:val="Header"/>
    <w:uiPriority w:val="99"/>
    <w:rsid w:val="00DF169B"/>
    <w:rPr>
      <w:lang w:eastAsia="en-US"/>
    </w:rPr>
  </w:style>
  <w:style w:type="paragraph" w:styleId="Footer">
    <w:name w:val="footer"/>
    <w:basedOn w:val="Normal"/>
    <w:link w:val="FooterChar"/>
    <w:uiPriority w:val="99"/>
    <w:unhideWhenUsed/>
    <w:rsid w:val="00DF169B"/>
    <w:pPr>
      <w:tabs>
        <w:tab w:val="center" w:pos="4513"/>
        <w:tab w:val="right" w:pos="9026"/>
      </w:tabs>
    </w:pPr>
  </w:style>
  <w:style w:type="character" w:customStyle="1" w:styleId="FooterChar">
    <w:name w:val="Footer Char"/>
    <w:link w:val="Footer"/>
    <w:uiPriority w:val="99"/>
    <w:rsid w:val="00DF169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6.tiff"/><Relationship Id="rId18" Type="http://schemas.openxmlformats.org/officeDocument/2006/relationships/image" Target="media/image11.tiff"/><Relationship Id="rId26" Type="http://schemas.openxmlformats.org/officeDocument/2006/relationships/image" Target="media/image19.tiff"/><Relationship Id="rId3" Type="http://schemas.openxmlformats.org/officeDocument/2006/relationships/settings" Target="settings.xml"/><Relationship Id="rId21" Type="http://schemas.openxmlformats.org/officeDocument/2006/relationships/image" Target="media/image14.tiff"/><Relationship Id="rId7" Type="http://schemas.openxmlformats.org/officeDocument/2006/relationships/footer" Target="footer1.xml"/><Relationship Id="rId12" Type="http://schemas.openxmlformats.org/officeDocument/2006/relationships/image" Target="media/image5.tiff"/><Relationship Id="rId17" Type="http://schemas.openxmlformats.org/officeDocument/2006/relationships/image" Target="media/image10.tiff"/><Relationship Id="rId25" Type="http://schemas.openxmlformats.org/officeDocument/2006/relationships/image" Target="media/image18.tiff"/><Relationship Id="rId2" Type="http://schemas.microsoft.com/office/2007/relationships/stylesWithEffects" Target="stylesWithEffects.xml"/><Relationship Id="rId16" Type="http://schemas.openxmlformats.org/officeDocument/2006/relationships/image" Target="media/image9.tiff"/><Relationship Id="rId20" Type="http://schemas.openxmlformats.org/officeDocument/2006/relationships/image" Target="media/image13.tiff"/><Relationship Id="rId29" Type="http://schemas.openxmlformats.org/officeDocument/2006/relationships/image" Target="media/image22.tif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tiff"/><Relationship Id="rId24" Type="http://schemas.openxmlformats.org/officeDocument/2006/relationships/image" Target="media/image17.tif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tiff"/><Relationship Id="rId23" Type="http://schemas.openxmlformats.org/officeDocument/2006/relationships/image" Target="media/image16.tiff"/><Relationship Id="rId28" Type="http://schemas.openxmlformats.org/officeDocument/2006/relationships/image" Target="media/image21.tiff"/><Relationship Id="rId10" Type="http://schemas.openxmlformats.org/officeDocument/2006/relationships/image" Target="media/image3.tiff"/><Relationship Id="rId19" Type="http://schemas.openxmlformats.org/officeDocument/2006/relationships/image" Target="media/image12.tif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image" Target="media/image7.tiff"/><Relationship Id="rId22" Type="http://schemas.openxmlformats.org/officeDocument/2006/relationships/image" Target="media/image15.tiff"/><Relationship Id="rId27" Type="http://schemas.openxmlformats.org/officeDocument/2006/relationships/image" Target="media/image20.tiff"/><Relationship Id="rId30" Type="http://schemas.openxmlformats.org/officeDocument/2006/relationships/image" Target="media/image2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4221</Words>
  <Characters>24061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van Sighem</dc:creator>
  <cp:lastModifiedBy>A.I. van Sighem</cp:lastModifiedBy>
  <cp:revision>7</cp:revision>
  <dcterms:created xsi:type="dcterms:W3CDTF">2015-01-31T16:22:00Z</dcterms:created>
  <dcterms:modified xsi:type="dcterms:W3CDTF">2015-04-24T07:00:00Z</dcterms:modified>
</cp:coreProperties>
</file>