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6B" w:rsidRPr="004038DC" w:rsidRDefault="00690383" w:rsidP="006D47BD">
      <w:pPr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038DC">
        <w:rPr>
          <w:rFonts w:ascii="Times New Roman" w:hAnsi="Times New Roman" w:hint="eastAsia"/>
          <w:b/>
          <w:sz w:val="24"/>
        </w:rPr>
        <w:t>Supplemental</w:t>
      </w:r>
      <w:r w:rsidRPr="004038DC">
        <w:rPr>
          <w:rFonts w:ascii="Times New Roman" w:hAnsi="Times New Roman"/>
          <w:b/>
          <w:sz w:val="24"/>
        </w:rPr>
        <w:t xml:space="preserve"> Material</w:t>
      </w:r>
    </w:p>
    <w:p w:rsidR="006E1E15" w:rsidRPr="004038DC" w:rsidRDefault="006E1E15" w:rsidP="006D47BD">
      <w:pPr>
        <w:jc w:val="left"/>
        <w:rPr>
          <w:rFonts w:ascii="Times New Roman" w:hAnsi="Times New Roman"/>
          <w:sz w:val="24"/>
          <w:u w:val="single"/>
        </w:rPr>
      </w:pPr>
    </w:p>
    <w:p w:rsidR="00774C48" w:rsidRPr="004038DC" w:rsidRDefault="004038DC" w:rsidP="00774C48">
      <w:pPr>
        <w:jc w:val="lef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240ADA" w:rsidRPr="004038DC">
        <w:rPr>
          <w:rFonts w:ascii="Times New Roman" w:hAnsi="Times New Roman"/>
          <w:sz w:val="24"/>
        </w:rPr>
        <w:t>Table</w:t>
      </w:r>
      <w:proofErr w:type="spellEnd"/>
      <w:proofErr w:type="gramEnd"/>
      <w:r w:rsidR="00240ADA" w:rsidRPr="004038DC">
        <w:rPr>
          <w:rFonts w:ascii="Times New Roman" w:hAnsi="Times New Roman"/>
          <w:sz w:val="24"/>
        </w:rPr>
        <w:t xml:space="preserve"> 1</w:t>
      </w:r>
      <w:r w:rsidR="0060366B" w:rsidRPr="004038DC">
        <w:rPr>
          <w:rFonts w:ascii="Times New Roman" w:hAnsi="Times New Roman"/>
          <w:sz w:val="24"/>
        </w:rPr>
        <w:t xml:space="preserve">. </w:t>
      </w:r>
      <w:proofErr w:type="gramStart"/>
      <w:r w:rsidR="00774C48" w:rsidRPr="004038DC">
        <w:rPr>
          <w:rFonts w:ascii="Times New Roman" w:eastAsia="ＭＳ Ｐゴシック" w:hAnsi="Times New Roman"/>
          <w:bCs/>
          <w:kern w:val="0"/>
          <w:sz w:val="24"/>
        </w:rPr>
        <w:t>Restriction to areas less than 400 km</w:t>
      </w:r>
      <w:r w:rsidR="00774C48" w:rsidRPr="004038DC">
        <w:rPr>
          <w:rFonts w:ascii="Times New Roman" w:eastAsia="ＭＳ Ｐゴシック" w:hAnsi="Times New Roman"/>
          <w:bCs/>
          <w:kern w:val="0"/>
          <w:sz w:val="24"/>
          <w:vertAlign w:val="superscript"/>
        </w:rPr>
        <w:t>2</w:t>
      </w:r>
      <w:r w:rsidR="00774C48" w:rsidRPr="004038DC">
        <w:rPr>
          <w:rFonts w:ascii="Times New Roman" w:hAnsi="Times New Roman"/>
          <w:sz w:val="24"/>
        </w:rPr>
        <w:t>.</w:t>
      </w:r>
      <w:proofErr w:type="gramEnd"/>
    </w:p>
    <w:p w:rsidR="00774C48" w:rsidRPr="004038DC" w:rsidRDefault="00774C48" w:rsidP="006D47BD">
      <w:pPr>
        <w:jc w:val="left"/>
        <w:rPr>
          <w:rFonts w:ascii="Times New Roman" w:hAnsi="Times New Roman"/>
          <w:sz w:val="24"/>
        </w:rPr>
      </w:pPr>
    </w:p>
    <w:p w:rsidR="00774C48" w:rsidRPr="004038DC" w:rsidRDefault="004038DC" w:rsidP="006D47BD">
      <w:pPr>
        <w:jc w:val="left"/>
        <w:rPr>
          <w:rFonts w:ascii="Times New Roman" w:eastAsia="ＭＳ Ｐゴシック" w:hAnsi="Times New Roman"/>
          <w:bCs/>
          <w:kern w:val="0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240ADA" w:rsidRPr="004038DC">
        <w:rPr>
          <w:rFonts w:ascii="Times New Roman" w:hAnsi="Times New Roman"/>
          <w:sz w:val="24"/>
        </w:rPr>
        <w:t>Table</w:t>
      </w:r>
      <w:proofErr w:type="spellEnd"/>
      <w:proofErr w:type="gramEnd"/>
      <w:r w:rsidR="00240ADA" w:rsidRPr="004038DC">
        <w:rPr>
          <w:rFonts w:ascii="Times New Roman" w:hAnsi="Times New Roman"/>
          <w:sz w:val="24"/>
        </w:rPr>
        <w:t xml:space="preserve"> 2</w:t>
      </w:r>
      <w:r w:rsidR="0060366B" w:rsidRPr="004038DC">
        <w:rPr>
          <w:rFonts w:ascii="Times New Roman" w:hAnsi="Times New Roman"/>
          <w:sz w:val="24"/>
        </w:rPr>
        <w:t xml:space="preserve">. </w:t>
      </w:r>
      <w:proofErr w:type="gramStart"/>
      <w:r w:rsidR="00774C48" w:rsidRPr="004038DC">
        <w:rPr>
          <w:rFonts w:ascii="Times New Roman" w:eastAsia="ＭＳ Ｐゴシック" w:hAnsi="Times New Roman"/>
          <w:bCs/>
          <w:kern w:val="0"/>
          <w:sz w:val="24"/>
        </w:rPr>
        <w:t xml:space="preserve">Restriction to mothers who did not move or build </w:t>
      </w:r>
      <w:r w:rsidR="00E7613D" w:rsidRPr="004038DC">
        <w:rPr>
          <w:rFonts w:ascii="Times New Roman" w:eastAsia="ＭＳ Ｐゴシック" w:hAnsi="Times New Roman"/>
          <w:bCs/>
          <w:kern w:val="0"/>
          <w:sz w:val="24"/>
        </w:rPr>
        <w:t>a</w:t>
      </w:r>
      <w:r w:rsidR="00B02D71" w:rsidRPr="004038DC">
        <w:rPr>
          <w:rFonts w:ascii="Times New Roman" w:eastAsia="ＭＳ Ｐゴシック" w:hAnsi="Times New Roman"/>
          <w:bCs/>
          <w:kern w:val="0"/>
          <w:sz w:val="24"/>
        </w:rPr>
        <w:t xml:space="preserve"> home</w:t>
      </w:r>
      <w:r w:rsidR="00E7613D" w:rsidRPr="004038DC">
        <w:rPr>
          <w:rFonts w:ascii="Times New Roman" w:eastAsia="ＭＳ Ｐゴシック" w:hAnsi="Times New Roman"/>
          <w:bCs/>
          <w:kern w:val="0"/>
          <w:sz w:val="24"/>
        </w:rPr>
        <w:t xml:space="preserve"> </w:t>
      </w:r>
      <w:r w:rsidR="00774C48" w:rsidRPr="004038DC">
        <w:rPr>
          <w:rFonts w:ascii="Times New Roman" w:eastAsia="ＭＳ Ｐゴシック" w:hAnsi="Times New Roman"/>
          <w:bCs/>
          <w:kern w:val="0"/>
          <w:sz w:val="24"/>
        </w:rPr>
        <w:t>extension</w:t>
      </w:r>
      <w:r w:rsidR="00E7613D" w:rsidRPr="004038DC">
        <w:rPr>
          <w:rFonts w:ascii="Times New Roman" w:eastAsia="ＭＳ Ｐゴシック" w:hAnsi="Times New Roman"/>
          <w:bCs/>
          <w:kern w:val="0"/>
          <w:sz w:val="24"/>
        </w:rPr>
        <w:t>.</w:t>
      </w:r>
      <w:proofErr w:type="gramEnd"/>
    </w:p>
    <w:p w:rsidR="00153CC2" w:rsidRPr="004038DC" w:rsidRDefault="00153CC2" w:rsidP="00153CC2">
      <w:pPr>
        <w:jc w:val="left"/>
        <w:rPr>
          <w:rFonts w:ascii="Times New Roman" w:hAnsi="Times New Roman"/>
          <w:sz w:val="24"/>
        </w:rPr>
      </w:pPr>
    </w:p>
    <w:p w:rsidR="00153CC2" w:rsidRPr="004038DC" w:rsidRDefault="004038DC" w:rsidP="00153CC2">
      <w:pPr>
        <w:jc w:val="lef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153CC2" w:rsidRPr="004038DC">
        <w:rPr>
          <w:rFonts w:ascii="Times New Roman" w:hAnsi="Times New Roman"/>
          <w:sz w:val="24"/>
        </w:rPr>
        <w:t>Table</w:t>
      </w:r>
      <w:proofErr w:type="spellEnd"/>
      <w:proofErr w:type="gramEnd"/>
      <w:r w:rsidR="00153CC2" w:rsidRPr="004038DC">
        <w:rPr>
          <w:rFonts w:ascii="Times New Roman" w:hAnsi="Times New Roman"/>
          <w:sz w:val="24"/>
        </w:rPr>
        <w:t xml:space="preserve"> 3. </w:t>
      </w:r>
      <w:proofErr w:type="gramStart"/>
      <w:r w:rsidR="00153CC2" w:rsidRPr="004038DC">
        <w:rPr>
          <w:rFonts w:ascii="Times New Roman" w:hAnsi="Times New Roman"/>
          <w:sz w:val="24"/>
        </w:rPr>
        <w:t>Mutually adjusted for air pollution exposure before pregnancy and during pregnancy at age 2.5 years.</w:t>
      </w:r>
      <w:proofErr w:type="gramEnd"/>
    </w:p>
    <w:p w:rsidR="00153CC2" w:rsidRPr="004038DC" w:rsidRDefault="00153CC2" w:rsidP="00153CC2">
      <w:pPr>
        <w:jc w:val="left"/>
        <w:rPr>
          <w:rFonts w:ascii="Times New Roman" w:hAnsi="Times New Roman"/>
          <w:sz w:val="24"/>
        </w:rPr>
      </w:pPr>
    </w:p>
    <w:p w:rsidR="00153CC2" w:rsidRPr="004038DC" w:rsidRDefault="004038DC" w:rsidP="00153CC2">
      <w:pPr>
        <w:jc w:val="left"/>
        <w:rPr>
          <w:rFonts w:ascii="Times New Roman" w:eastAsia="ＭＳ Ｐゴシック" w:hAnsi="Times New Roman"/>
          <w:bCs/>
          <w:kern w:val="0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153CC2" w:rsidRPr="004038DC">
        <w:rPr>
          <w:rFonts w:ascii="Times New Roman" w:hAnsi="Times New Roman"/>
          <w:sz w:val="24"/>
        </w:rPr>
        <w:t>Table</w:t>
      </w:r>
      <w:proofErr w:type="spellEnd"/>
      <w:proofErr w:type="gramEnd"/>
      <w:r w:rsidR="00153CC2" w:rsidRPr="004038DC">
        <w:rPr>
          <w:rFonts w:ascii="Times New Roman" w:hAnsi="Times New Roman"/>
          <w:sz w:val="24"/>
        </w:rPr>
        <w:t xml:space="preserve"> 4. </w:t>
      </w:r>
      <w:proofErr w:type="gramStart"/>
      <w:r w:rsidR="00153CC2" w:rsidRPr="004038DC">
        <w:rPr>
          <w:rFonts w:ascii="Times New Roman" w:hAnsi="Times New Roman"/>
          <w:sz w:val="24"/>
        </w:rPr>
        <w:t>Mutually adjusted for air pollution exposure before pregnancy and during pregnancy at age 5.5 years.</w:t>
      </w:r>
      <w:proofErr w:type="gramEnd"/>
    </w:p>
    <w:p w:rsidR="00774C48" w:rsidRPr="004038DC" w:rsidRDefault="00774C48" w:rsidP="006D47BD">
      <w:pPr>
        <w:jc w:val="left"/>
        <w:rPr>
          <w:rFonts w:ascii="Times New Roman" w:hAnsi="Times New Roman"/>
          <w:sz w:val="24"/>
        </w:rPr>
      </w:pPr>
    </w:p>
    <w:p w:rsidR="00705940" w:rsidRPr="002413B6" w:rsidRDefault="004038DC" w:rsidP="006D47BD">
      <w:pPr>
        <w:jc w:val="lef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705940" w:rsidRPr="002413B6">
        <w:rPr>
          <w:rFonts w:ascii="Times New Roman" w:hAnsi="Times New Roman"/>
          <w:sz w:val="24"/>
        </w:rPr>
        <w:t>Table</w:t>
      </w:r>
      <w:proofErr w:type="spellEnd"/>
      <w:proofErr w:type="gramEnd"/>
      <w:r w:rsidR="00705940" w:rsidRPr="002413B6">
        <w:rPr>
          <w:rFonts w:ascii="Times New Roman" w:hAnsi="Times New Roman"/>
          <w:sz w:val="24"/>
        </w:rPr>
        <w:t xml:space="preserve"> 5. </w:t>
      </w:r>
      <w:proofErr w:type="gramStart"/>
      <w:r w:rsidR="00705940" w:rsidRPr="002413B6">
        <w:rPr>
          <w:rFonts w:ascii="Times New Roman" w:hAnsi="Times New Roman"/>
          <w:sz w:val="24"/>
        </w:rPr>
        <w:t>Selected adjusted ORs from simple logistic regression model analyses without or with standardized IPW.</w:t>
      </w:r>
      <w:proofErr w:type="gramEnd"/>
    </w:p>
    <w:p w:rsidR="00705940" w:rsidRPr="004038DC" w:rsidRDefault="00705940" w:rsidP="006D47BD">
      <w:pPr>
        <w:jc w:val="left"/>
        <w:rPr>
          <w:rFonts w:ascii="Times New Roman" w:hAnsi="Times New Roman"/>
          <w:sz w:val="24"/>
        </w:rPr>
      </w:pPr>
    </w:p>
    <w:p w:rsidR="00153CC2" w:rsidRPr="004038DC" w:rsidRDefault="004038DC" w:rsidP="00153CC2">
      <w:pPr>
        <w:jc w:val="lef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240ADA" w:rsidRPr="004038DC">
        <w:rPr>
          <w:rFonts w:ascii="Times New Roman" w:hAnsi="Times New Roman"/>
          <w:sz w:val="24"/>
        </w:rPr>
        <w:t>Figure</w:t>
      </w:r>
      <w:proofErr w:type="spellEnd"/>
      <w:proofErr w:type="gramEnd"/>
      <w:r w:rsidR="00240ADA" w:rsidRPr="004038DC">
        <w:rPr>
          <w:rFonts w:ascii="Times New Roman" w:hAnsi="Times New Roman"/>
          <w:sz w:val="24"/>
        </w:rPr>
        <w:t xml:space="preserve"> 1</w:t>
      </w:r>
      <w:r w:rsidR="0060366B" w:rsidRPr="004038DC">
        <w:rPr>
          <w:rFonts w:ascii="Times New Roman" w:hAnsi="Times New Roman"/>
          <w:sz w:val="24"/>
        </w:rPr>
        <w:t xml:space="preserve">. </w:t>
      </w:r>
      <w:r w:rsidR="00B470D0" w:rsidRPr="004038DC">
        <w:rPr>
          <w:rFonts w:ascii="Times New Roman" w:hAnsi="Times New Roman"/>
          <w:sz w:val="24"/>
        </w:rPr>
        <w:t>Air pollution concentrations in Japan</w:t>
      </w:r>
      <w:r w:rsidR="00E7613D" w:rsidRPr="004038DC">
        <w:rPr>
          <w:rFonts w:ascii="Times New Roman" w:hAnsi="Times New Roman"/>
          <w:sz w:val="24"/>
        </w:rPr>
        <w:t>,</w:t>
      </w:r>
      <w:r w:rsidR="00B470D0" w:rsidRPr="004038DC">
        <w:rPr>
          <w:rFonts w:ascii="Times New Roman" w:hAnsi="Times New Roman"/>
          <w:sz w:val="24"/>
        </w:rPr>
        <w:t xml:space="preserve"> by both municipalit</w:t>
      </w:r>
      <w:r w:rsidR="00E7613D" w:rsidRPr="004038DC">
        <w:rPr>
          <w:rFonts w:ascii="Times New Roman" w:hAnsi="Times New Roman"/>
          <w:sz w:val="24"/>
        </w:rPr>
        <w:t>y</w:t>
      </w:r>
      <w:r w:rsidR="00B470D0" w:rsidRPr="004038DC">
        <w:rPr>
          <w:rFonts w:ascii="Times New Roman" w:hAnsi="Times New Roman"/>
          <w:sz w:val="24"/>
        </w:rPr>
        <w:t xml:space="preserve"> and </w:t>
      </w:r>
      <w:r w:rsidR="0060366B" w:rsidRPr="004038DC">
        <w:rPr>
          <w:rFonts w:ascii="Times New Roman" w:hAnsi="Times New Roman"/>
          <w:sz w:val="24"/>
        </w:rPr>
        <w:t xml:space="preserve">number of </w:t>
      </w:r>
      <w:r w:rsidR="00B470D0" w:rsidRPr="004038DC">
        <w:rPr>
          <w:rFonts w:ascii="Times New Roman" w:hAnsi="Times New Roman"/>
          <w:sz w:val="24"/>
        </w:rPr>
        <w:t>exposure windows (April 2000 to December 2000 for newborns born in January 2001 and October 2000 to June 2001 for newborns born in July 2001): a) S</w:t>
      </w:r>
      <w:r w:rsidR="00153CC2" w:rsidRPr="004038DC">
        <w:rPr>
          <w:rFonts w:ascii="Times New Roman" w:hAnsi="Times New Roman"/>
          <w:sz w:val="24"/>
        </w:rPr>
        <w:t xml:space="preserve">uspended </w:t>
      </w:r>
      <w:r w:rsidR="00B470D0" w:rsidRPr="004038DC">
        <w:rPr>
          <w:rFonts w:ascii="Times New Roman" w:hAnsi="Times New Roman"/>
          <w:sz w:val="24"/>
        </w:rPr>
        <w:t>PM, b) NO</w:t>
      </w:r>
      <w:r w:rsidR="00B470D0" w:rsidRPr="004038DC">
        <w:rPr>
          <w:rFonts w:ascii="Times New Roman" w:hAnsi="Times New Roman"/>
          <w:sz w:val="24"/>
          <w:vertAlign w:val="subscript"/>
        </w:rPr>
        <w:t>2</w:t>
      </w:r>
      <w:r w:rsidR="00B470D0" w:rsidRPr="004038DC">
        <w:rPr>
          <w:rFonts w:ascii="Times New Roman" w:hAnsi="Times New Roman"/>
          <w:sz w:val="24"/>
        </w:rPr>
        <w:t xml:space="preserve">, </w:t>
      </w:r>
      <w:r w:rsidR="00BA4D59" w:rsidRPr="004038DC">
        <w:rPr>
          <w:rFonts w:ascii="Times New Roman" w:hAnsi="Times New Roman"/>
          <w:sz w:val="24"/>
        </w:rPr>
        <w:t xml:space="preserve">and </w:t>
      </w:r>
      <w:r w:rsidR="00B470D0" w:rsidRPr="004038DC">
        <w:rPr>
          <w:rFonts w:ascii="Times New Roman" w:hAnsi="Times New Roman"/>
          <w:sz w:val="24"/>
        </w:rPr>
        <w:t>c) SO</w:t>
      </w:r>
      <w:r w:rsidR="00B470D0" w:rsidRPr="004038DC">
        <w:rPr>
          <w:rFonts w:ascii="Times New Roman" w:hAnsi="Times New Roman"/>
          <w:sz w:val="24"/>
          <w:vertAlign w:val="subscript"/>
        </w:rPr>
        <w:t>2</w:t>
      </w:r>
      <w:r w:rsidR="00B470D0" w:rsidRPr="004038DC">
        <w:rPr>
          <w:rFonts w:ascii="Times New Roman" w:hAnsi="Times New Roman"/>
          <w:sz w:val="24"/>
        </w:rPr>
        <w:t>. NO</w:t>
      </w:r>
      <w:r w:rsidR="00B470D0" w:rsidRPr="004038DC">
        <w:rPr>
          <w:rFonts w:ascii="Times New Roman" w:hAnsi="Times New Roman"/>
          <w:sz w:val="24"/>
          <w:vertAlign w:val="subscript"/>
        </w:rPr>
        <w:t>2</w:t>
      </w:r>
      <w:r w:rsidR="00E7613D" w:rsidRPr="004038DC">
        <w:rPr>
          <w:rFonts w:ascii="Times New Roman" w:hAnsi="Times New Roman"/>
          <w:sz w:val="24"/>
        </w:rPr>
        <w:t>:</w:t>
      </w:r>
      <w:r w:rsidR="00B470D0" w:rsidRPr="004038DC">
        <w:rPr>
          <w:rFonts w:ascii="Times New Roman" w:hAnsi="Times New Roman"/>
          <w:sz w:val="24"/>
        </w:rPr>
        <w:t xml:space="preserve"> nitrogen dioxide</w:t>
      </w:r>
      <w:r w:rsidR="00153CC2" w:rsidRPr="004038DC">
        <w:rPr>
          <w:rFonts w:ascii="Times New Roman" w:hAnsi="Times New Roman"/>
          <w:sz w:val="24"/>
        </w:rPr>
        <w:t xml:space="preserve">; PM: particulate matter </w:t>
      </w:r>
    </w:p>
    <w:p w:rsidR="00B470D0" w:rsidRPr="004038DC" w:rsidRDefault="00B470D0" w:rsidP="00735162">
      <w:pPr>
        <w:jc w:val="left"/>
        <w:rPr>
          <w:rFonts w:ascii="Times New Roman" w:hAnsi="Times New Roman"/>
          <w:sz w:val="24"/>
        </w:rPr>
      </w:pPr>
      <w:r w:rsidRPr="004038DC">
        <w:rPr>
          <w:rFonts w:ascii="Times New Roman" w:hAnsi="Times New Roman"/>
          <w:sz w:val="24"/>
        </w:rPr>
        <w:t>; SO</w:t>
      </w:r>
      <w:r w:rsidRPr="004038DC">
        <w:rPr>
          <w:rFonts w:ascii="Times New Roman" w:hAnsi="Times New Roman"/>
          <w:sz w:val="24"/>
          <w:vertAlign w:val="subscript"/>
        </w:rPr>
        <w:t>2</w:t>
      </w:r>
      <w:r w:rsidR="00E7613D" w:rsidRPr="004038DC">
        <w:rPr>
          <w:rFonts w:ascii="Times New Roman" w:hAnsi="Times New Roman"/>
          <w:sz w:val="24"/>
        </w:rPr>
        <w:t>:</w:t>
      </w:r>
      <w:r w:rsidRPr="004038DC">
        <w:rPr>
          <w:rFonts w:ascii="Times New Roman" w:hAnsi="Times New Roman"/>
          <w:sz w:val="24"/>
        </w:rPr>
        <w:t xml:space="preserve"> sulfur dioxide </w:t>
      </w:r>
    </w:p>
    <w:p w:rsidR="00140FCB" w:rsidRPr="004038DC" w:rsidRDefault="00140FCB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690383" w:rsidRPr="004038DC" w:rsidRDefault="00690383"/>
    <w:p w:rsidR="00BA4D59" w:rsidRPr="004038DC" w:rsidRDefault="00BA4D59">
      <w:pPr>
        <w:rPr>
          <w:rFonts w:ascii="Times New Roman" w:hAnsi="Times New Roman"/>
          <w:b/>
          <w:sz w:val="24"/>
        </w:rPr>
      </w:pPr>
    </w:p>
    <w:p w:rsidR="00774C48" w:rsidRPr="004038DC" w:rsidRDefault="00774C48">
      <w:pPr>
        <w:rPr>
          <w:rFonts w:ascii="Times New Roman" w:hAnsi="Times New Roman"/>
          <w:b/>
          <w:sz w:val="24"/>
        </w:rPr>
        <w:sectPr w:rsidR="00774C48" w:rsidRPr="004038DC" w:rsidSect="006D47BD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14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489"/>
        <w:gridCol w:w="204"/>
        <w:gridCol w:w="2206"/>
        <w:gridCol w:w="204"/>
        <w:gridCol w:w="2195"/>
        <w:gridCol w:w="204"/>
        <w:gridCol w:w="2195"/>
        <w:gridCol w:w="204"/>
        <w:gridCol w:w="2195"/>
      </w:tblGrid>
      <w:tr w:rsidR="004038DC" w:rsidRPr="004038DC" w:rsidTr="00153CC2">
        <w:trPr>
          <w:trHeight w:val="330"/>
        </w:trPr>
        <w:tc>
          <w:tcPr>
            <w:tcW w:w="143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CC2" w:rsidRPr="004038DC" w:rsidRDefault="004038DC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spellStart"/>
            <w:proofErr w:type="gramStart"/>
            <w:r>
              <w:rPr>
                <w:rFonts w:ascii="Times New Roman" w:eastAsia="ＭＳ Ｐゴシック" w:hAnsi="Times New Roman" w:hint="eastAsia"/>
                <w:kern w:val="0"/>
                <w:sz w:val="24"/>
              </w:rPr>
              <w:lastRenderedPageBreak/>
              <w:t>e</w:t>
            </w:r>
            <w:r w:rsidR="00153CC2" w:rsidRPr="004038DC">
              <w:rPr>
                <w:rFonts w:ascii="Times New Roman" w:eastAsia="ＭＳ Ｐゴシック" w:hAnsi="Times New Roman"/>
                <w:kern w:val="0"/>
                <w:sz w:val="24"/>
              </w:rPr>
              <w:t>Table</w:t>
            </w:r>
            <w:proofErr w:type="spellEnd"/>
            <w:proofErr w:type="gramEnd"/>
            <w:r w:rsidR="00153CC2"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1. Restriction to areas less than 400 km</w:t>
            </w:r>
            <w:r w:rsidR="00153CC2"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2</w:t>
            </w:r>
            <w:r w:rsidR="00153CC2" w:rsidRPr="004038DC">
              <w:rPr>
                <w:rFonts w:ascii="Times New Roman" w:eastAsia="ＭＳ Ｐゴシック" w:hAnsi="Times New Roman"/>
                <w:kern w:val="0"/>
                <w:sz w:val="24"/>
              </w:rPr>
              <w:t>.</w:t>
            </w:r>
          </w:p>
        </w:tc>
      </w:tr>
      <w:tr w:rsidR="004038DC" w:rsidRPr="004038DC" w:rsidTr="00153CC2">
        <w:trPr>
          <w:trHeight w:val="7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CC2" w:rsidRPr="004038DC" w:rsidRDefault="00153CC2" w:rsidP="00D47579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Cases with behavioral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4"/>
              </w:rPr>
              <w:t>delays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6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Adjusted ORs (95%CIs) per an interquartile range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increase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b</w:t>
            </w:r>
            <w:proofErr w:type="spellEnd"/>
          </w:p>
        </w:tc>
      </w:tr>
      <w:tr w:rsidR="004038DC" w:rsidRPr="004038DC" w:rsidTr="00153CC2">
        <w:trPr>
          <w:trHeight w:val="39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n</w:t>
            </w:r>
            <w:r w:rsidRPr="004038DC">
              <w:rPr>
                <w:rFonts w:ascii="Times New Roman" w:eastAsia="ＭＳ Ｐゴシック" w:hAnsi="Times New Roman"/>
                <w:i/>
                <w:iCs/>
                <w:kern w:val="0"/>
                <w:sz w:val="24"/>
              </w:rPr>
              <w:t>case</w:t>
            </w:r>
            <w:proofErr w:type="spellEnd"/>
            <w:r w:rsidRPr="004038DC">
              <w:rPr>
                <w:rFonts w:ascii="Times New Roman" w:eastAsia="ＭＳ Ｐゴシック" w:hAnsi="Times New Roman"/>
                <w:i/>
                <w:iCs/>
                <w:kern w:val="0"/>
                <w:sz w:val="24"/>
              </w:rPr>
              <w:t xml:space="preserve"> 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/ Total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n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Suspended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PM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NO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SO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</w:p>
        </w:tc>
      </w:tr>
      <w:tr w:rsidR="004038DC" w:rsidRPr="004038DC" w:rsidTr="00153CC2">
        <w:trPr>
          <w:trHeight w:val="390"/>
        </w:trPr>
        <w:tc>
          <w:tcPr>
            <w:tcW w:w="4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Behavioral development at age 2.5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walk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84 / 28930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0.99 (0.68, 1.44)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1.40 (0.81, 2.39)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1.05 (0.79, 1.40)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run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163 / 28927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1.04 (0.79, 1.37)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1.49 (1.00, 2.24)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1.15 (0.93, 1.42)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Unable to climb stairs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550 / 28906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1.03 (0.89, 1.20)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1.09 (0.87, 1.36)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1.07 (0.95, 1.20)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say meaningful words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188 / 28921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1.06 (0.82, 1.38)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1.32 (0.91, 1.91)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1.17 (0.96, 1.43)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compose a two-phrase sentence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1185 / 28907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1.08 (0.98, 1.20)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1.24 (1.07, 1.44)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1.07 (0.98, 1.16)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say his or her own name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3372 / 28869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1.06 (0.99, 1.13)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1.14 (1.03, 1.25)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1.06 (1.01, 1.11)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use a spoon to eat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569 / 28914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0.94 (0.81, 1.09)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1.23 (0.99, 1.53)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1.05 (0.93, 1.18)</w:t>
            </w:r>
          </w:p>
        </w:tc>
      </w:tr>
      <w:tr w:rsidR="004038DC" w:rsidRPr="004038DC" w:rsidTr="00153CC2">
        <w:trPr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Behavioral development at age 5.5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listen without fidgeting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4513 / 25841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1.10 (1.03, 1.16)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1.07 (0.98, 1.18)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1.06 (1.01, 1.12)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focus on one task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3334 / 25875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1.05 (0.98, 1.12)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1.09 (0.99, 1.20)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1.01 (0.96, 1.06)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remain patient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6284 / 25754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1.03 (0.98, 1.08)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0.95 (0.88, 1.02)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1.01 (0.97, 1.06)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express emotions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5998 / 25727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1.10 (1.04, 1.15)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1.17 (1.08, 1.26)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1.07 (1.03, 1.12)</w:t>
            </w:r>
          </w:p>
        </w:tc>
      </w:tr>
      <w:tr w:rsidR="004038DC" w:rsidRPr="004038DC" w:rsidTr="00153CC2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act in group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1610 / 25855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1.10 (1.00, 1.20)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1.15 (1.01, 1.32)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1.05 (0.98, 1.14)</w:t>
            </w:r>
          </w:p>
        </w:tc>
      </w:tr>
      <w:tr w:rsidR="004038DC" w:rsidRPr="004038DC" w:rsidTr="00153CC2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Unable to keep promises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4917 / 25627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1.07 (1.01, 1.13)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1.00 (0.93, 1.09)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1.01 (0.96, 1.05)</w:t>
            </w:r>
          </w:p>
        </w:tc>
      </w:tr>
      <w:tr w:rsidR="004038DC" w:rsidRPr="004038DC" w:rsidTr="00153CC2">
        <w:trPr>
          <w:trHeight w:val="360"/>
        </w:trPr>
        <w:tc>
          <w:tcPr>
            <w:tcW w:w="14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CI: confidence interval; NO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: nitrogen dioxide; OR: odds ratio; PM: particulate matter; SO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: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sulphur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dioxide</w:t>
            </w:r>
          </w:p>
        </w:tc>
      </w:tr>
      <w:tr w:rsidR="004038DC" w:rsidRPr="004038DC" w:rsidTr="00153CC2">
        <w:trPr>
          <w:trHeight w:val="354"/>
        </w:trPr>
        <w:tc>
          <w:tcPr>
            <w:tcW w:w="143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CC2" w:rsidRPr="004038DC" w:rsidRDefault="00153CC2" w:rsidP="00D47579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spellStart"/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a</w:t>
            </w:r>
            <w:proofErr w:type="spellEnd"/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Among 31,896 children to whom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4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uspended PM exposure could be assigned. Total n represents total number of children whose developments were answered by questionnaire at age 2.5 and 5.5 years.</w:t>
            </w:r>
          </w:p>
        </w:tc>
      </w:tr>
      <w:tr w:rsidR="004038DC" w:rsidRPr="004038DC" w:rsidTr="00153CC2">
        <w:trPr>
          <w:trHeight w:val="354"/>
        </w:trPr>
        <w:tc>
          <w:tcPr>
            <w:tcW w:w="143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153CC2">
        <w:trPr>
          <w:trHeight w:val="354"/>
        </w:trPr>
        <w:tc>
          <w:tcPr>
            <w:tcW w:w="143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CC2" w:rsidRPr="004038DC" w:rsidRDefault="00153CC2" w:rsidP="00D47579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b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Adjusted for individual characteristics (sex, birth month, maternal age at delivery, parity, maternal smoking status, maternal educational attainment, and paternal income) and municipality-level variables (residential area, per capita tax income, and density). Interquartile ranges are 11.0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μg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/m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3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for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4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uspended PM, 10.9 ppb for </w:t>
            </w: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NO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,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and 2.3 ppb for SO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.</w:t>
            </w:r>
          </w:p>
        </w:tc>
      </w:tr>
      <w:tr w:rsidR="004038DC" w:rsidRPr="004038DC" w:rsidTr="00153CC2">
        <w:trPr>
          <w:trHeight w:val="390"/>
        </w:trPr>
        <w:tc>
          <w:tcPr>
            <w:tcW w:w="143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153CC2">
        <w:trPr>
          <w:trHeight w:val="390"/>
        </w:trPr>
        <w:tc>
          <w:tcPr>
            <w:tcW w:w="143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153CC2" w:rsidRPr="004038DC" w:rsidTr="00153CC2">
        <w:trPr>
          <w:trHeight w:val="375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c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Suspended PM accounts for PM with aerodynamic diameter less than 7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μm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 xml:space="preserve"> (PM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7</w:t>
            </w:r>
            <w:r w:rsidRPr="004038DC">
              <w:rPr>
                <w:rFonts w:ascii="Times New Roman" w:eastAsia="ＭＳ Ｐゴシック" w:hAnsi="Times New Roman"/>
                <w:kern w:val="0"/>
                <w:sz w:val="24"/>
              </w:rPr>
              <w:t>).</w:t>
            </w:r>
          </w:p>
          <w:p w:rsidR="0071237A" w:rsidRPr="004038DC" w:rsidRDefault="0071237A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tbl>
            <w:tblPr>
              <w:tblW w:w="1360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4390"/>
              <w:gridCol w:w="204"/>
              <w:gridCol w:w="2206"/>
              <w:gridCol w:w="204"/>
              <w:gridCol w:w="1996"/>
              <w:gridCol w:w="204"/>
              <w:gridCol w:w="1996"/>
              <w:gridCol w:w="204"/>
              <w:gridCol w:w="1996"/>
            </w:tblGrid>
            <w:tr w:rsidR="004038DC" w:rsidRPr="004038DC" w:rsidTr="0096579C">
              <w:trPr>
                <w:trHeight w:val="330"/>
              </w:trPr>
              <w:tc>
                <w:tcPr>
                  <w:tcW w:w="13604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579C" w:rsidRPr="004038DC" w:rsidRDefault="004038D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lastRenderedPageBreak/>
                    <w:t>e</w:t>
                  </w:r>
                  <w:r w:rsidR="0096579C"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Table</w:t>
                  </w:r>
                  <w:proofErr w:type="spellEnd"/>
                  <w:proofErr w:type="gramEnd"/>
                  <w:r w:rsidR="0096579C"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2. Restriction to mothers who did not move or build a home extension</w:t>
                  </w:r>
                </w:p>
              </w:tc>
            </w:tr>
            <w:tr w:rsidR="004038DC" w:rsidRPr="004038DC" w:rsidTr="0096579C">
              <w:trPr>
                <w:trHeight w:val="76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579C" w:rsidRPr="004038DC" w:rsidRDefault="0096579C" w:rsidP="00D47579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Cases with behavioral </w:t>
                  </w:r>
                  <w:r w:rsidR="00D47579"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delays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396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Adjusted ORs per an interquartile range increase (95%CIs)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perscript"/>
                    </w:rPr>
                    <w:t>b</w:t>
                  </w:r>
                </w:p>
              </w:tc>
            </w:tr>
            <w:tr w:rsidR="004038DC" w:rsidRPr="004038DC" w:rsidTr="0096579C">
              <w:trPr>
                <w:trHeight w:val="390"/>
              </w:trPr>
              <w:tc>
                <w:tcPr>
                  <w:tcW w:w="2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proofErr w:type="spell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n</w:t>
                  </w:r>
                  <w:r w:rsidRPr="004038DC"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  <w:t>case</w:t>
                  </w:r>
                  <w:proofErr w:type="spellEnd"/>
                  <w:r w:rsidRPr="004038DC"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  <w:t xml:space="preserve"> 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/ Total </w:t>
                  </w:r>
                  <w:proofErr w:type="spell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n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Suspended </w:t>
                  </w:r>
                  <w:proofErr w:type="spell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PM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NO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SO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bscript"/>
                    </w:rPr>
                    <w:t>2</w:t>
                  </w:r>
                </w:p>
              </w:tc>
            </w:tr>
            <w:tr w:rsidR="004038DC" w:rsidRPr="004038DC" w:rsidTr="0096579C">
              <w:trPr>
                <w:trHeight w:val="390"/>
              </w:trPr>
              <w:tc>
                <w:tcPr>
                  <w:tcW w:w="459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Behavioral development at age 2.5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walk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70 / 21585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0.91 (0.61, 1.37)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1.03 (0.56, 1.89)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0.99 (0.72, 1.38)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run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128 / 21583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0.96 (0.71, 1.31)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1.26 (0.79, 2.00)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1.12 (0.88, 1.44)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Unable to climb stairs 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408 / 21569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1.02 (0.86, 1.21)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0.99 (0.77, 1.28)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1.04 (0.91, 1.20)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say meaningful words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139 / 21577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0.96 (0.71, 1.31)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1.10 (0.69, 1.75)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1.22 (0.95, 1.57)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compose a two-phrase sentence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911 / 21568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1.07 (0.95, 1.20)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1.16 (0.98, 1.39)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1.05 (0.96, 1.16)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say his or her own name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2515 / 21543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1.05 (0.98, 1.13)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1.09 (0.98, 1.22)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1.05 (0.99, 1.12)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use a spoon to eat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419 / 21575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0.97 (0.81, 1.15)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1.26 (0.98, 1.64)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1.08 (0.94, 1.24)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Behavioral development at age 5.5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listen without fidgeting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3258 / 19403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1.09 (1.01, 1.17)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1.07 (0.96, 1.20)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1.06 (1.00, 1.13)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focus on one task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2464 / 19433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1.02 (0.95, 1.10)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1.11 (0.99, 1.24)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0.99 (0.93, 1.05)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remain patient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4782 / 19332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1.01 (0.95, 1.07)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0.90 (0.83, 0.99)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0.98 (0.93, 1.03)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express emotions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4373 / 19329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1.12 (1.06, 1.19)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1.18 (1.08, 1.29)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1.06 (1.01, 1.11)</w:t>
                  </w:r>
                </w:p>
              </w:tc>
            </w:tr>
            <w:tr w:rsidR="004038DC" w:rsidRPr="004038DC" w:rsidTr="0096579C">
              <w:trPr>
                <w:trHeight w:val="31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act in group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1190 / 19420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1.06 (0.96, 1.18)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1.14 (0.98, 1.33)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1.08 (0.99, 1.17)</w:t>
                  </w:r>
                </w:p>
              </w:tc>
            </w:tr>
            <w:tr w:rsidR="004038DC" w:rsidRPr="004038DC" w:rsidTr="0096579C">
              <w:trPr>
                <w:trHeight w:val="330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Unable to keep promises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3626 / 19252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1.06 (1.00, 1.13)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0.98 (0.89, 1.08)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center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0.99 (0.94, 1.04)</w:t>
                  </w:r>
                </w:p>
              </w:tc>
            </w:tr>
            <w:tr w:rsidR="004038DC" w:rsidRPr="004038DC" w:rsidTr="0096579C">
              <w:trPr>
                <w:trHeight w:val="360"/>
              </w:trPr>
              <w:tc>
                <w:tcPr>
                  <w:tcW w:w="13604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CI: confidence interval; NO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bscript"/>
                    </w:rPr>
                    <w:t>2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: nitrogen dioxide; OR: odds ratio; PM: particulate matter; SO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bscript"/>
                    </w:rPr>
                    <w:t>2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: </w:t>
                  </w:r>
                  <w:proofErr w:type="spell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sulphur</w:t>
                  </w:r>
                  <w:proofErr w:type="spellEnd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dioxide</w:t>
                  </w:r>
                </w:p>
              </w:tc>
            </w:tr>
            <w:tr w:rsidR="004038DC" w:rsidRPr="004038DC" w:rsidTr="0096579C">
              <w:trPr>
                <w:trHeight w:val="354"/>
              </w:trPr>
              <w:tc>
                <w:tcPr>
                  <w:tcW w:w="13604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proofErr w:type="gram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perscript"/>
                    </w:rPr>
                    <w:t>b</w:t>
                  </w:r>
                  <w:proofErr w:type="gramEnd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Among 23,596 children to whom suspended PM exposure could be assigned. Total n represents total number of children whose developments were answered by questionnaire at age 2.5 and 5.5 years.</w:t>
                  </w:r>
                </w:p>
              </w:tc>
            </w:tr>
            <w:tr w:rsidR="004038DC" w:rsidRPr="004038DC" w:rsidTr="0096579C">
              <w:trPr>
                <w:trHeight w:val="354"/>
              </w:trPr>
              <w:tc>
                <w:tcPr>
                  <w:tcW w:w="1360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</w:tr>
            <w:tr w:rsidR="004038DC" w:rsidRPr="004038DC" w:rsidTr="0096579C">
              <w:trPr>
                <w:trHeight w:val="354"/>
              </w:trPr>
              <w:tc>
                <w:tcPr>
                  <w:tcW w:w="13604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579C" w:rsidRPr="004038DC" w:rsidRDefault="0096579C" w:rsidP="00D47579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proofErr w:type="spellStart"/>
                  <w:proofErr w:type="gram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perscript"/>
                    </w:rPr>
                    <w:t>a</w:t>
                  </w:r>
                  <w:proofErr w:type="spellEnd"/>
                  <w:proofErr w:type="gramEnd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Adjusted for individual characteristics (sex, birth month, maternal age at delivery, parity, maternal smoking status, maternal educational attainment, and paternal income) and municipality-level variables (residential area, per capita tax income, and density). Interquartile ranges are 11.0 </w:t>
                  </w:r>
                  <w:proofErr w:type="spell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μg</w:t>
                  </w:r>
                  <w:proofErr w:type="spellEnd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/m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perscript"/>
                    </w:rPr>
                    <w:t>3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for </w:t>
                  </w:r>
                  <w:r w:rsidR="00D47579"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s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uspended PM, 10.9 ppb for </w:t>
                  </w:r>
                  <w:proofErr w:type="gram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NO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bscript"/>
                    </w:rPr>
                    <w:t>2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,</w:t>
                  </w:r>
                  <w:proofErr w:type="gramEnd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and 2.3 ppb for SO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bscript"/>
                    </w:rPr>
                    <w:t>2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.</w:t>
                  </w:r>
                </w:p>
              </w:tc>
            </w:tr>
            <w:tr w:rsidR="004038DC" w:rsidRPr="004038DC" w:rsidTr="0096579C">
              <w:trPr>
                <w:trHeight w:val="390"/>
              </w:trPr>
              <w:tc>
                <w:tcPr>
                  <w:tcW w:w="1360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</w:tr>
            <w:tr w:rsidR="004038DC" w:rsidRPr="004038DC" w:rsidTr="0096579C">
              <w:trPr>
                <w:trHeight w:val="390"/>
              </w:trPr>
              <w:tc>
                <w:tcPr>
                  <w:tcW w:w="1360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</w:p>
              </w:tc>
            </w:tr>
            <w:tr w:rsidR="004038DC" w:rsidRPr="004038DC" w:rsidTr="0096579C">
              <w:trPr>
                <w:trHeight w:val="375"/>
              </w:trPr>
              <w:tc>
                <w:tcPr>
                  <w:tcW w:w="136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79C" w:rsidRPr="004038DC" w:rsidRDefault="0096579C" w:rsidP="0096579C">
                  <w:pPr>
                    <w:widowControl/>
                    <w:jc w:val="left"/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</w:pPr>
                  <w:proofErr w:type="gram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perscript"/>
                    </w:rPr>
                    <w:t>c</w:t>
                  </w:r>
                  <w:proofErr w:type="gramEnd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Suspended PM accounts for PM with aerodynamic diameter less than 7 </w:t>
                  </w:r>
                  <w:proofErr w:type="spellStart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μm</w:t>
                  </w:r>
                  <w:proofErr w:type="spellEnd"/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 xml:space="preserve"> (PM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  <w:vertAlign w:val="subscript"/>
                    </w:rPr>
                    <w:t>7</w:t>
                  </w:r>
                  <w:r w:rsidRPr="004038DC">
                    <w:rPr>
                      <w:rFonts w:ascii="Times New Roman" w:eastAsia="ＭＳ Ｐゴシック" w:hAnsi="Times New Roman"/>
                      <w:kern w:val="0"/>
                      <w:sz w:val="24"/>
                    </w:rPr>
                    <w:t>).</w:t>
                  </w:r>
                </w:p>
              </w:tc>
            </w:tr>
          </w:tbl>
          <w:p w:rsidR="00153CC2" w:rsidRPr="004038DC" w:rsidRDefault="00153CC2" w:rsidP="00153CC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</w:tbl>
    <w:p w:rsidR="00774C48" w:rsidRPr="004038DC" w:rsidRDefault="00774C48" w:rsidP="00774C48"/>
    <w:p w:rsidR="0071237A" w:rsidRPr="004038DC" w:rsidRDefault="0071237A" w:rsidP="00774C48"/>
    <w:tbl>
      <w:tblPr>
        <w:tblW w:w="1532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7"/>
        <w:gridCol w:w="218"/>
        <w:gridCol w:w="1620"/>
        <w:gridCol w:w="218"/>
        <w:gridCol w:w="1775"/>
        <w:gridCol w:w="1696"/>
        <w:gridCol w:w="218"/>
        <w:gridCol w:w="1776"/>
        <w:gridCol w:w="1696"/>
        <w:gridCol w:w="218"/>
        <w:gridCol w:w="1775"/>
        <w:gridCol w:w="1697"/>
      </w:tblGrid>
      <w:tr w:rsidR="004038DC" w:rsidRPr="004038DC" w:rsidTr="0071237A">
        <w:trPr>
          <w:trHeight w:val="330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71237A" w:rsidRPr="004038DC" w:rsidRDefault="004038DC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>e</w:t>
            </w:r>
            <w:r w:rsidR="0071237A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Table</w:t>
            </w:r>
            <w:proofErr w:type="spellEnd"/>
            <w:proofErr w:type="gramEnd"/>
            <w:r w:rsidR="0071237A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3. Mutually adjusted for air pollution exposure before pregnancy and during pregnancy at age 2.5 years. </w:t>
            </w:r>
          </w:p>
        </w:tc>
      </w:tr>
      <w:tr w:rsidR="004038DC" w:rsidRPr="004038DC" w:rsidTr="0071237A">
        <w:trPr>
          <w:trHeight w:val="37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Cases with behavioral problem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5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Adjusted ORs per an interquartile range increase (95%CIs)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b</w:t>
            </w:r>
          </w:p>
        </w:tc>
      </w:tr>
      <w:tr w:rsidR="004038DC" w:rsidRPr="004038DC" w:rsidTr="0071237A">
        <w:trPr>
          <w:trHeight w:val="39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Suspended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PM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</w:p>
        </w:tc>
      </w:tr>
      <w:tr w:rsidR="004038DC" w:rsidRPr="004038DC" w:rsidTr="0071237A">
        <w:trPr>
          <w:trHeight w:val="390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n</w:t>
            </w:r>
            <w:r w:rsidRPr="004038DC">
              <w:rPr>
                <w:rFonts w:ascii="Times New Roman" w:eastAsia="ＭＳ Ｐゴシック" w:hAnsi="Times New Roman"/>
                <w:i/>
                <w:iCs/>
                <w:kern w:val="0"/>
                <w:sz w:val="22"/>
                <w:szCs w:val="22"/>
              </w:rPr>
              <w:t>case</w:t>
            </w:r>
            <w:proofErr w:type="spellEnd"/>
            <w:r w:rsidRPr="004038DC">
              <w:rPr>
                <w:rFonts w:ascii="Times New Roman" w:eastAsia="ＭＳ Ｐゴシック" w:hAnsi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/ Total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n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Before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pregnancy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During pregnancy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Before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pregnancy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During pregnancy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Before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pregnancy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During pregnancy</w:t>
            </w:r>
          </w:p>
        </w:tc>
      </w:tr>
      <w:tr w:rsidR="004038DC" w:rsidRPr="004038DC" w:rsidTr="0071237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walk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90 / 30588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0.89 (0.44, 1.82)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1.13 (0.58, 2.23)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1.14 (0.30, 4.36)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1.19 (0.31, 4.54)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0.90 (0.51, 1.58)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1.16 (0.66, 2.03)</w:t>
            </w:r>
          </w:p>
        </w:tc>
      </w:tr>
      <w:tr w:rsidR="004038DC" w:rsidRPr="004038DC" w:rsidTr="0071237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run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172 / 30585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1.07 (0.64, 1.78)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1.03 (0.63, 1.67)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1.17 (0.43, 3.22)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1.28 (0.47, 3.51)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0.98 (0.64, 1.48)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1.19 (0.78, 1.80)</w:t>
            </w:r>
          </w:p>
        </w:tc>
      </w:tr>
      <w:tr w:rsidR="004038DC" w:rsidRPr="004038DC" w:rsidTr="0071237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Unable to climb stairs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583 / 30564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1.18 (0.89, 1.57)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0.93 (0.71, 1.22)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1.26 (0.71, 2.24)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0.89 (0.50, 1.58)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1.04 (0.82, 1.31)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1.05 (0.83, 1.33)</w:t>
            </w:r>
          </w:p>
        </w:tc>
      </w:tr>
      <w:tr w:rsidR="004038DC" w:rsidRPr="004038DC" w:rsidTr="0071237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say meaningful words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197 / 30579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1.23 (0.79, 1.92)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0.94 (0.61, 1.46)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0.86 (0.33, 2.24)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1.50 (0.58, 3.87)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1.04 (0.70, 1.53)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1.15 (0.78, 1.69)</w:t>
            </w:r>
          </w:p>
        </w:tc>
      </w:tr>
      <w:tr w:rsidR="004038DC" w:rsidRPr="004038DC" w:rsidTr="0071237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compose a two-phrase sentence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1260 / 30564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1.01 (0.83, 1.22)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1.08 (0.90, 1.29)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1.18 (0.80, 1.73)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1.08 (0.73, 1.58)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0.86 (0.73, 1.02)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1.23 (1.04, 1.44)</w:t>
            </w:r>
          </w:p>
        </w:tc>
      </w:tr>
      <w:tr w:rsidR="004038DC" w:rsidRPr="004038DC" w:rsidTr="0071237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say his or her own name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3552 / 30526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0.98 (0.87, 1.10)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1.08 (0.96, 1.21)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1.38 (1.08, 1.77)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0.84 (0.66, 1.07)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0.92 (0.83, 1.02)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1.13 (1.02, 1.26)</w:t>
            </w:r>
          </w:p>
        </w:tc>
      </w:tr>
      <w:tr w:rsidR="004038DC" w:rsidRPr="004038DC" w:rsidTr="0071237A">
        <w:trPr>
          <w:trHeight w:val="33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use a spoon to eat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598 / 30571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1.06 (0.81, 1.39)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0.93 (0.71, 1.20)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1.37 (0.78, 2.40)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0.92 (0.53, 1.62)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1.02 (0.81, 1.29)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1.05 (0.83, 1.32)</w:t>
            </w:r>
          </w:p>
        </w:tc>
      </w:tr>
      <w:tr w:rsidR="004038DC" w:rsidRPr="004038DC" w:rsidTr="0071237A">
        <w:trPr>
          <w:trHeight w:val="360"/>
        </w:trPr>
        <w:tc>
          <w:tcPr>
            <w:tcW w:w="1532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CI: confidence interval; 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: nitrogen dioxide; OR: odds ratio; PM: particulate matter; 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: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sulphur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dioxide</w:t>
            </w:r>
          </w:p>
        </w:tc>
      </w:tr>
      <w:tr w:rsidR="004038DC" w:rsidRPr="004038DC" w:rsidTr="0071237A">
        <w:trPr>
          <w:trHeight w:val="354"/>
        </w:trPr>
        <w:tc>
          <w:tcPr>
            <w:tcW w:w="153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7A" w:rsidRPr="004038DC" w:rsidRDefault="0071237A" w:rsidP="00D47579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Among 33,730 children to whom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uspended PM exposure could be assigned. Total n represents total number of children whose developments were answered by questionnaire at age 2.5 years.</w:t>
            </w:r>
          </w:p>
        </w:tc>
      </w:tr>
      <w:tr w:rsidR="004038DC" w:rsidRPr="004038DC" w:rsidTr="0071237A">
        <w:trPr>
          <w:trHeight w:val="354"/>
        </w:trPr>
        <w:tc>
          <w:tcPr>
            <w:tcW w:w="153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4038DC" w:rsidRPr="004038DC" w:rsidTr="0071237A">
        <w:trPr>
          <w:trHeight w:val="354"/>
        </w:trPr>
        <w:tc>
          <w:tcPr>
            <w:tcW w:w="153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7A" w:rsidRPr="004038DC" w:rsidRDefault="0071237A" w:rsidP="00D47579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b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Adjusted</w:t>
            </w:r>
            <w:proofErr w:type="spellEnd"/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for individual characteristics (sex, birth month, maternal age at delivery, parity, maternal smoking status, maternal educational attainment, and paternal income) and municipality-level variables (residential area, per capita tax income, and density). Interquartile ranges are 10.7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μg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/m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3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for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uspended PM before pregnancy, 10.2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μg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/m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3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for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uspended PM during pregnancy, 10.9 ppb for 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before pregnancy</w:t>
            </w: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,10.9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ppb for 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during pregnancy, 2.0 ppb for 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before pregnancy, and 2.3 ppb for 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during pregnancy.</w:t>
            </w:r>
          </w:p>
        </w:tc>
      </w:tr>
      <w:tr w:rsidR="004038DC" w:rsidRPr="004038DC" w:rsidTr="0071237A">
        <w:trPr>
          <w:trHeight w:val="480"/>
        </w:trPr>
        <w:tc>
          <w:tcPr>
            <w:tcW w:w="153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4038DC" w:rsidRPr="004038DC" w:rsidTr="0071237A">
        <w:trPr>
          <w:trHeight w:val="354"/>
        </w:trPr>
        <w:tc>
          <w:tcPr>
            <w:tcW w:w="153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71237A" w:rsidRPr="004038DC" w:rsidTr="0071237A">
        <w:trPr>
          <w:trHeight w:val="3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37A" w:rsidRPr="004038DC" w:rsidRDefault="0071237A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c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Suspended PM accounts for PM with aerodynamic diameter less than 7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μm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(PM</w:t>
            </w:r>
            <w:r w:rsidRPr="002413B6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7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).</w:t>
            </w:r>
          </w:p>
          <w:p w:rsidR="00D47579" w:rsidRPr="004038DC" w:rsidRDefault="00D47579" w:rsidP="0071237A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As air pollution exposure before pregnancy, we used air pollution between July 1999 and Marc</w:t>
            </w:r>
            <w:r w:rsidR="00B0239D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h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2000 for participants born in January 2001 and between January 2000 and September 2000 for participants born in July 2001.</w:t>
            </w:r>
          </w:p>
        </w:tc>
      </w:tr>
    </w:tbl>
    <w:p w:rsidR="0071237A" w:rsidRPr="004038DC" w:rsidRDefault="0071237A" w:rsidP="00774C48"/>
    <w:tbl>
      <w:tblPr>
        <w:tblW w:w="156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204"/>
        <w:gridCol w:w="1781"/>
        <w:gridCol w:w="204"/>
        <w:gridCol w:w="1737"/>
        <w:gridCol w:w="1764"/>
        <w:gridCol w:w="204"/>
        <w:gridCol w:w="1737"/>
        <w:gridCol w:w="1764"/>
        <w:gridCol w:w="204"/>
        <w:gridCol w:w="1737"/>
        <w:gridCol w:w="1764"/>
      </w:tblGrid>
      <w:tr w:rsidR="004038DC" w:rsidRPr="004038DC" w:rsidTr="00A15A9F">
        <w:trPr>
          <w:trHeight w:val="330"/>
        </w:trPr>
        <w:tc>
          <w:tcPr>
            <w:tcW w:w="15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9F" w:rsidRPr="004038DC" w:rsidRDefault="004038DC" w:rsidP="00A15A9F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2413B6">
              <w:rPr>
                <w:rFonts w:ascii="Times New Roman" w:eastAsia="ＭＳ Ｐゴシック" w:hAnsi="Times New Roman"/>
                <w:bCs/>
                <w:kern w:val="0"/>
                <w:sz w:val="22"/>
                <w:szCs w:val="22"/>
              </w:rPr>
              <w:t>e</w:t>
            </w:r>
            <w:r w:rsidR="00A15A9F" w:rsidRPr="002413B6">
              <w:rPr>
                <w:rFonts w:ascii="Times New Roman" w:eastAsia="ＭＳ Ｐゴシック" w:hAnsi="Times New Roman"/>
                <w:bCs/>
                <w:kern w:val="0"/>
                <w:sz w:val="22"/>
                <w:szCs w:val="22"/>
              </w:rPr>
              <w:t>Table</w:t>
            </w:r>
            <w:proofErr w:type="spellEnd"/>
            <w:proofErr w:type="gramEnd"/>
            <w:r w:rsidR="00A15A9F" w:rsidRPr="002413B6">
              <w:rPr>
                <w:rFonts w:ascii="Times New Roman" w:eastAsia="ＭＳ Ｐゴシック" w:hAnsi="Times New Roman"/>
                <w:bCs/>
                <w:kern w:val="0"/>
                <w:sz w:val="22"/>
                <w:szCs w:val="22"/>
              </w:rPr>
              <w:t xml:space="preserve"> 4. </w:t>
            </w:r>
            <w:r w:rsidR="00A15A9F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Mutually adjusted for air pollution exposure before pregnancy and during pregnancy at age 5.5 years.</w:t>
            </w:r>
          </w:p>
        </w:tc>
      </w:tr>
      <w:tr w:rsidR="004038DC" w:rsidRPr="004038DC" w:rsidTr="00A15A9F">
        <w:trPr>
          <w:trHeight w:val="360"/>
        </w:trPr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Cases with behavioral problem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Adjusted ORs per an interquartile range increase (95%CIs)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b</w:t>
            </w:r>
          </w:p>
        </w:tc>
      </w:tr>
      <w:tr w:rsidR="004038DC" w:rsidRPr="004038DC" w:rsidTr="00A15A9F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Suspended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PM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</w:p>
        </w:tc>
      </w:tr>
      <w:tr w:rsidR="004038DC" w:rsidRPr="004038DC" w:rsidTr="00A15A9F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n</w:t>
            </w:r>
            <w:r w:rsidRPr="004038DC">
              <w:rPr>
                <w:rFonts w:ascii="Times New Roman" w:eastAsia="ＭＳ Ｐゴシック" w:hAnsi="Times New Roman"/>
                <w:i/>
                <w:iCs/>
                <w:kern w:val="0"/>
                <w:sz w:val="22"/>
                <w:szCs w:val="22"/>
              </w:rPr>
              <w:t>case</w:t>
            </w:r>
            <w:proofErr w:type="spellEnd"/>
            <w:r w:rsidRPr="004038DC">
              <w:rPr>
                <w:rFonts w:ascii="Times New Roman" w:eastAsia="ＭＳ Ｐゴシック" w:hAnsi="Times New Roman"/>
                <w:i/>
                <w:iCs/>
                <w:kern w:val="0"/>
                <w:sz w:val="22"/>
                <w:szCs w:val="22"/>
              </w:rPr>
              <w:t xml:space="preserve"> 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/ Total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n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Before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pregnancy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During pregnancy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Before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pregnancy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During pregnancy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Before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pregnancy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During pregnancy</w:t>
            </w:r>
          </w:p>
        </w:tc>
      </w:tr>
      <w:tr w:rsidR="004038DC" w:rsidRPr="004038DC" w:rsidTr="00A15A9F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listen without fidgeting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4745 / 27343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1.00 (0.89, 1.12)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1.11 (0.99, 1.23)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1.00 (0.80, 1.26)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1.08 (0.86, 1.35)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1.07 (0.97, 1.17)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1.01 (0.92, 1.11)</w:t>
            </w:r>
          </w:p>
        </w:tc>
      </w:tr>
      <w:tr w:rsidR="004038DC" w:rsidRPr="004038DC" w:rsidTr="00A15A9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focus on one task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3506 / 27383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0.94 (0.84, 1.06)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1.12 (1.00, 1.25)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0.86 (0.67, 1.09)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1.28 (1.01, 1.63)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0.99 (0.89, 1.09)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1.03 (0.93, 1.13)</w:t>
            </w:r>
          </w:p>
        </w:tc>
      </w:tr>
      <w:tr w:rsidR="004038DC" w:rsidRPr="004038DC" w:rsidTr="00A15A9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remain patient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6646 / 27254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0.99 (0.90, 1.09)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1.06 (0.97, 1.16)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0.91 (0.75, 1.10)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1.05 (0.87, 1.27)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1.01 (0.93, 1.09)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1.01 (0.93, 1.09)</w:t>
            </w:r>
          </w:p>
        </w:tc>
      </w:tr>
      <w:tr w:rsidR="004038DC" w:rsidRPr="004038DC" w:rsidTr="00A15A9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express emotions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6291 / 27226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0.94 (0.86, 1.04)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1.16 (1.06, 1.27)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0.89 (0.74, 1.08)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1.31 (1.08, 1.59)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0.96 (0.89, 1.04)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1.11 (1.02, 1.20)</w:t>
            </w:r>
          </w:p>
        </w:tc>
      </w:tr>
      <w:tr w:rsidR="004038DC" w:rsidRPr="004038DC" w:rsidTr="00A15A9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act in group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1714 / 27356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0.95 (0.81, 1.12)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1.12 (0.96, 1.31)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1.03 (0.73, 1.45)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1.11 (0.79, 1.56)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0.94 (0.81, 1.09)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1.11 (0.96, 1.28)</w:t>
            </w:r>
          </w:p>
        </w:tc>
      </w:tr>
      <w:tr w:rsidR="004038DC" w:rsidRPr="004038DC" w:rsidTr="00A15A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Unable to keep promises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5191 / 27119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1.10 (0.99, 1.22)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1.01 (0.92, 1.11)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1.17 (0.95, 1.44)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0.89 (0.72, 1.09)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1.01 (0.93, 1.10)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1.00 (0.92, 1.10)</w:t>
            </w:r>
          </w:p>
        </w:tc>
      </w:tr>
      <w:tr w:rsidR="004038DC" w:rsidRPr="004038DC" w:rsidTr="00A15A9F">
        <w:trPr>
          <w:trHeight w:val="360"/>
        </w:trPr>
        <w:tc>
          <w:tcPr>
            <w:tcW w:w="15667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CI: confidence interval; 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: nitrogen dioxide; OR: odds ratio; PM: particulate matter; 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: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sulphur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dioxide</w:t>
            </w:r>
          </w:p>
        </w:tc>
      </w:tr>
      <w:tr w:rsidR="004038DC" w:rsidRPr="004038DC" w:rsidTr="00A15A9F">
        <w:trPr>
          <w:trHeight w:val="354"/>
        </w:trPr>
        <w:tc>
          <w:tcPr>
            <w:tcW w:w="156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9F" w:rsidRPr="004038DC" w:rsidRDefault="00A15A9F" w:rsidP="00D47579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Among 33,730 children to whom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uspended PM exposure could be assigned. Total n represents total number of children whose developments were answered by questionnaire at age 5.5 years.</w:t>
            </w:r>
          </w:p>
        </w:tc>
      </w:tr>
      <w:tr w:rsidR="004038DC" w:rsidRPr="004038DC" w:rsidTr="00A15A9F">
        <w:trPr>
          <w:trHeight w:val="354"/>
        </w:trPr>
        <w:tc>
          <w:tcPr>
            <w:tcW w:w="156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4038DC" w:rsidRPr="004038DC" w:rsidTr="00A15A9F">
        <w:trPr>
          <w:trHeight w:val="354"/>
        </w:trPr>
        <w:tc>
          <w:tcPr>
            <w:tcW w:w="156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9F" w:rsidRPr="004038DC" w:rsidRDefault="00A15A9F" w:rsidP="00D47579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b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Adjusted for individual characteristics (sex, birth month, maternal age at delivery, parity, maternal smoking status, maternal educational attainment, and paternal income) and municipality-level variables (residential area, per capita tax income, and density). Interquartile ranges are 10.7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μg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/m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3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for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uspended PM before pregnancy, 10.2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μg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/m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3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for </w:t>
            </w:r>
            <w:r w:rsidR="00D47579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s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uspended PM during pregnancy, 10.9 ppb for 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before pregnancy</w:t>
            </w: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,10.9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ppb for NO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during pregnancy, 2.0 ppb for 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before pregnancy, and 2.3 ppb for SO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2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during pregnancy.</w:t>
            </w:r>
          </w:p>
        </w:tc>
      </w:tr>
      <w:tr w:rsidR="004038DC" w:rsidRPr="004038DC" w:rsidTr="00A15A9F">
        <w:trPr>
          <w:trHeight w:val="390"/>
        </w:trPr>
        <w:tc>
          <w:tcPr>
            <w:tcW w:w="156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4038DC" w:rsidRPr="004038DC" w:rsidTr="00A15A9F">
        <w:trPr>
          <w:trHeight w:val="354"/>
        </w:trPr>
        <w:tc>
          <w:tcPr>
            <w:tcW w:w="156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510BCA" w:rsidRPr="004038DC" w:rsidTr="00A15A9F">
        <w:trPr>
          <w:trHeight w:val="360"/>
        </w:trPr>
        <w:tc>
          <w:tcPr>
            <w:tcW w:w="15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9F" w:rsidRPr="004038DC" w:rsidRDefault="00A15A9F" w:rsidP="00A15A9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gram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c</w:t>
            </w:r>
            <w:proofErr w:type="gram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Suspended PM accounts for PM with aerodynamic diameter less than 7 </w:t>
            </w:r>
            <w:proofErr w:type="spellStart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μm</w:t>
            </w:r>
            <w:proofErr w:type="spellEnd"/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(PM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bscript"/>
              </w:rPr>
              <w:t>7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).</w:t>
            </w:r>
          </w:p>
          <w:p w:rsidR="00D47579" w:rsidRPr="004038DC" w:rsidRDefault="00D47579" w:rsidP="00B0239D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  <w:vertAlign w:val="superscript"/>
              </w:rPr>
              <w:t>d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As air pollution exposure before pregnancy, we used air pollution between July 1999 and Marc</w:t>
            </w:r>
            <w:r w:rsidR="00B0239D"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h</w:t>
            </w:r>
            <w:r w:rsidRPr="004038DC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2000 for participants born in January 2001 and between January 2000 and September 2000 for participants born in July 2001.</w:t>
            </w:r>
          </w:p>
        </w:tc>
      </w:tr>
    </w:tbl>
    <w:p w:rsidR="00A15A9F" w:rsidRPr="002413B6" w:rsidRDefault="00A15A9F" w:rsidP="00774C48"/>
    <w:p w:rsidR="00705940" w:rsidRPr="002413B6" w:rsidRDefault="00705940" w:rsidP="00774C48"/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"/>
        <w:gridCol w:w="5383"/>
        <w:gridCol w:w="244"/>
        <w:gridCol w:w="1990"/>
        <w:gridCol w:w="1979"/>
      </w:tblGrid>
      <w:tr w:rsidR="004038DC" w:rsidRPr="004038DC" w:rsidTr="00705940">
        <w:trPr>
          <w:trHeight w:val="354"/>
        </w:trPr>
        <w:tc>
          <w:tcPr>
            <w:tcW w:w="984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:rsidR="00705940" w:rsidRPr="002413B6" w:rsidRDefault="004038DC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spellStart"/>
            <w:proofErr w:type="gramStart"/>
            <w:r>
              <w:rPr>
                <w:rFonts w:ascii="Times New Roman" w:eastAsia="ＭＳ Ｐゴシック" w:hAnsi="Times New Roman" w:hint="eastAsia"/>
                <w:kern w:val="0"/>
                <w:sz w:val="24"/>
              </w:rPr>
              <w:t>e</w:t>
            </w:r>
            <w:r w:rsidR="00705940" w:rsidRPr="002413B6">
              <w:rPr>
                <w:rFonts w:ascii="Times New Roman" w:eastAsia="ＭＳ Ｐゴシック" w:hAnsi="Times New Roman"/>
                <w:kern w:val="0"/>
                <w:sz w:val="24"/>
              </w:rPr>
              <w:t>Table</w:t>
            </w:r>
            <w:proofErr w:type="spellEnd"/>
            <w:proofErr w:type="gramEnd"/>
            <w:r w:rsidR="00705940"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 5. Selected adjusted ORs from simple logistic regression model analyses without or with standardized </w:t>
            </w:r>
            <w:proofErr w:type="spellStart"/>
            <w:r w:rsidR="00705940" w:rsidRPr="002413B6">
              <w:rPr>
                <w:rFonts w:ascii="Times New Roman" w:eastAsia="ＭＳ Ｐゴシック" w:hAnsi="Times New Roman"/>
                <w:kern w:val="0"/>
                <w:sz w:val="24"/>
              </w:rPr>
              <w:t>IPW</w:t>
            </w:r>
            <w:r w:rsidR="00705940"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a</w:t>
            </w:r>
            <w:proofErr w:type="spellEnd"/>
            <w:r w:rsidR="00705940" w:rsidRPr="002413B6">
              <w:rPr>
                <w:rFonts w:ascii="Times New Roman" w:eastAsia="ＭＳ Ｐゴシック" w:hAnsi="Times New Roman"/>
                <w:kern w:val="0"/>
                <w:sz w:val="24"/>
              </w:rPr>
              <w:t>.</w:t>
            </w:r>
          </w:p>
        </w:tc>
      </w:tr>
      <w:tr w:rsidR="004038DC" w:rsidRPr="004038DC" w:rsidTr="00705940">
        <w:trPr>
          <w:trHeight w:val="354"/>
        </w:trPr>
        <w:tc>
          <w:tcPr>
            <w:tcW w:w="984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70594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Adjusted ORs per an interquartile range increase (95%CIs)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c</w:t>
            </w:r>
          </w:p>
        </w:tc>
      </w:tr>
      <w:tr w:rsidR="004038DC" w:rsidRPr="004038DC" w:rsidTr="00705940">
        <w:trPr>
          <w:trHeight w:val="3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705940">
        <w:trPr>
          <w:trHeight w:val="390"/>
        </w:trPr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Without IPW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With IPW</w:t>
            </w:r>
          </w:p>
        </w:tc>
      </w:tr>
      <w:tr w:rsidR="004038DC" w:rsidRPr="004038DC" w:rsidTr="00705940">
        <w:trPr>
          <w:trHeight w:val="390"/>
        </w:trPr>
        <w:tc>
          <w:tcPr>
            <w:tcW w:w="56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At age 2.5 for NO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4038DC" w:rsidRPr="004038DC" w:rsidTr="0070594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Unable to compose a two-phrase sentence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1.24 (1.07, 1.43)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1.24 (1.07, 1.43)</w:t>
            </w:r>
          </w:p>
        </w:tc>
      </w:tr>
      <w:tr w:rsidR="004038DC" w:rsidRPr="004038DC" w:rsidTr="0070594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Unable to say his or her own name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1.14 (1.04, 1.25)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1.14 (1.04, 1.25)</w:t>
            </w:r>
          </w:p>
        </w:tc>
      </w:tr>
      <w:tr w:rsidR="004038DC" w:rsidRPr="004038DC" w:rsidTr="0070594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Unable to use a spoon to eat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1.24 (1.00, 1.53)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1.24 (1.00, 1.54)</w:t>
            </w:r>
          </w:p>
        </w:tc>
      </w:tr>
      <w:tr w:rsidR="004038DC" w:rsidRPr="004038DC" w:rsidTr="00705940">
        <w:trPr>
          <w:trHeight w:val="375"/>
        </w:trPr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At age 5.5 for Suspended </w:t>
            </w:r>
            <w:proofErr w:type="spellStart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PM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70594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Unable to listen without fidgeting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1.10 (1.04, 1.16)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1.10 (1.04, 1.16)</w:t>
            </w:r>
          </w:p>
        </w:tc>
      </w:tr>
      <w:tr w:rsidR="004038DC" w:rsidRPr="004038DC" w:rsidTr="0070594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Unable to focus on one task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1.06 (1.00, 1.13)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1.07 (1.01, 1.14)</w:t>
            </w:r>
          </w:p>
        </w:tc>
      </w:tr>
      <w:tr w:rsidR="004038DC" w:rsidRPr="004038DC" w:rsidTr="0070594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Unable to express emotions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1.10 (1.05, 1.16)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1.11 (1.05, 1.16)</w:t>
            </w:r>
          </w:p>
        </w:tc>
      </w:tr>
      <w:tr w:rsidR="004038DC" w:rsidRPr="004038DC" w:rsidTr="00705940">
        <w:trPr>
          <w:trHeight w:val="330"/>
        </w:trPr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Unable to keep promises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1.08 (1.02, 1.14)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1.08 (1.03, 1.14)</w:t>
            </w:r>
          </w:p>
        </w:tc>
      </w:tr>
      <w:tr w:rsidR="004038DC" w:rsidRPr="004038DC" w:rsidTr="00705940">
        <w:trPr>
          <w:trHeight w:val="360"/>
        </w:trPr>
        <w:tc>
          <w:tcPr>
            <w:tcW w:w="984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CI: confidence interval; IPW: inverse probability weight; NO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: nitrogen dioxide; OR: odds ratio; PM: particulate matter</w:t>
            </w:r>
          </w:p>
        </w:tc>
      </w:tr>
      <w:tr w:rsidR="004038DC" w:rsidRPr="004038DC" w:rsidTr="00705940">
        <w:trPr>
          <w:trHeight w:val="360"/>
        </w:trPr>
        <w:tc>
          <w:tcPr>
            <w:tcW w:w="9840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705940">
        <w:trPr>
          <w:trHeight w:val="354"/>
        </w:trPr>
        <w:tc>
          <w:tcPr>
            <w:tcW w:w="9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spellStart"/>
            <w:proofErr w:type="gramStart"/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a</w:t>
            </w:r>
            <w:proofErr w:type="spellEnd"/>
            <w:proofErr w:type="gramEnd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 We could not use IPW in our multilevel logistic regression model due to the characteristic of the software program. We thus provide results from simple logistic regression model analyses. </w:t>
            </w:r>
          </w:p>
        </w:tc>
      </w:tr>
      <w:tr w:rsidR="004038DC" w:rsidRPr="004038DC" w:rsidTr="00705940">
        <w:trPr>
          <w:trHeight w:val="420"/>
        </w:trPr>
        <w:tc>
          <w:tcPr>
            <w:tcW w:w="9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705940">
        <w:trPr>
          <w:trHeight w:val="37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gramStart"/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b</w:t>
            </w:r>
            <w:proofErr w:type="gramEnd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 Suspended PM accounts for PM with aerodynamic diameter less than 7 </w:t>
            </w:r>
            <w:proofErr w:type="spellStart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μm</w:t>
            </w:r>
            <w:proofErr w:type="spellEnd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 (PM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7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).</w:t>
            </w:r>
          </w:p>
        </w:tc>
      </w:tr>
      <w:tr w:rsidR="004038DC" w:rsidRPr="004038DC" w:rsidTr="00705940">
        <w:trPr>
          <w:trHeight w:val="354"/>
        </w:trPr>
        <w:tc>
          <w:tcPr>
            <w:tcW w:w="9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  <w:proofErr w:type="gramStart"/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c</w:t>
            </w:r>
            <w:proofErr w:type="gramEnd"/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 xml:space="preserve"> 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Adjusted for individual characteristics (sex, birth month, maternal age at delivery, parity, maternal smoking status, maternal educational attainment, and paternal income) and municipality-level variables (residential area, per capita tax income, and density). Interquartile ranges are </w:t>
            </w:r>
            <w:proofErr w:type="gramStart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10.7 </w:t>
            </w:r>
            <w:proofErr w:type="spellStart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μg</w:t>
            </w:r>
            <w:proofErr w:type="spellEnd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/m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perscript"/>
              </w:rPr>
              <w:t>3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 for suspended PM</w:t>
            </w:r>
            <w:proofErr w:type="gramEnd"/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 xml:space="preserve"> and 10.9 ppb for NO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  <w:vertAlign w:val="subscript"/>
              </w:rPr>
              <w:t>2</w:t>
            </w:r>
            <w:r w:rsidRPr="002413B6">
              <w:rPr>
                <w:rFonts w:ascii="Times New Roman" w:eastAsia="ＭＳ Ｐゴシック" w:hAnsi="Times New Roman"/>
                <w:kern w:val="0"/>
                <w:sz w:val="24"/>
              </w:rPr>
              <w:t>.</w:t>
            </w:r>
          </w:p>
        </w:tc>
      </w:tr>
      <w:tr w:rsidR="004038DC" w:rsidRPr="004038DC" w:rsidTr="00705940">
        <w:trPr>
          <w:trHeight w:val="480"/>
        </w:trPr>
        <w:tc>
          <w:tcPr>
            <w:tcW w:w="9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4038DC" w:rsidRPr="004038DC" w:rsidTr="00705940">
        <w:trPr>
          <w:trHeight w:val="354"/>
        </w:trPr>
        <w:tc>
          <w:tcPr>
            <w:tcW w:w="9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  <w:tr w:rsidR="00705940" w:rsidRPr="004038DC" w:rsidTr="00705940">
        <w:trPr>
          <w:trHeight w:val="354"/>
        </w:trPr>
        <w:tc>
          <w:tcPr>
            <w:tcW w:w="9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940" w:rsidRPr="002413B6" w:rsidRDefault="00705940" w:rsidP="00705940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</w:tc>
      </w:tr>
    </w:tbl>
    <w:p w:rsidR="00705940" w:rsidRPr="002413B6" w:rsidRDefault="00705940" w:rsidP="00774C48"/>
    <w:p w:rsidR="0071237A" w:rsidRPr="004038DC" w:rsidRDefault="0071237A" w:rsidP="00774C48">
      <w:pPr>
        <w:sectPr w:rsidR="0071237A" w:rsidRPr="004038DC" w:rsidSect="0071237A">
          <w:pgSz w:w="16838" w:h="11906" w:orient="landscape" w:code="9"/>
          <w:pgMar w:top="851" w:right="567" w:bottom="851" w:left="851" w:header="851" w:footer="992" w:gutter="0"/>
          <w:cols w:space="425"/>
          <w:docGrid w:type="linesAndChars" w:linePitch="354"/>
        </w:sectPr>
      </w:pPr>
    </w:p>
    <w:p w:rsidR="006D47BD" w:rsidRPr="004038DC" w:rsidRDefault="005508BD">
      <w:pPr>
        <w:rPr>
          <w:rFonts w:ascii="Times New Roman" w:hAnsi="Times New Roman"/>
          <w:sz w:val="24"/>
        </w:rPr>
      </w:pPr>
      <w:r w:rsidRPr="002413B6">
        <w:rPr>
          <w:rFonts w:ascii="Times New Roman" w:hAnsi="Times New Roman"/>
          <w:noProof/>
          <w:sz w:val="24"/>
        </w:rPr>
        <w:drawing>
          <wp:inline distT="0" distB="0" distL="0" distR="0" wp14:anchorId="12615A59" wp14:editId="3BD3B3CB">
            <wp:extent cx="5269656" cy="3729162"/>
            <wp:effectExtent l="19050" t="19050" r="26670" b="241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_SPM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793" cy="3731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4B20" w:rsidRPr="004038DC" w:rsidRDefault="004038DC" w:rsidP="00714B20">
      <w:pPr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714B20" w:rsidRPr="004038DC">
        <w:rPr>
          <w:rFonts w:ascii="Times New Roman" w:hAnsi="Times New Roman"/>
          <w:sz w:val="24"/>
        </w:rPr>
        <w:t>Figure</w:t>
      </w:r>
      <w:proofErr w:type="spellEnd"/>
      <w:proofErr w:type="gramEnd"/>
      <w:r w:rsidR="00714B20" w:rsidRPr="004038DC">
        <w:rPr>
          <w:rFonts w:ascii="Times New Roman" w:hAnsi="Times New Roman"/>
          <w:sz w:val="24"/>
        </w:rPr>
        <w:t xml:space="preserve"> 1a. S</w:t>
      </w:r>
      <w:r w:rsidR="00A15A9F" w:rsidRPr="004038DC">
        <w:rPr>
          <w:rFonts w:ascii="Times New Roman" w:hAnsi="Times New Roman"/>
          <w:sz w:val="24"/>
        </w:rPr>
        <w:t xml:space="preserve">uspended </w:t>
      </w:r>
      <w:r w:rsidR="00714B20" w:rsidRPr="004038DC">
        <w:rPr>
          <w:rFonts w:ascii="Times New Roman" w:hAnsi="Times New Roman"/>
          <w:sz w:val="24"/>
        </w:rPr>
        <w:t>PM</w:t>
      </w:r>
    </w:p>
    <w:p w:rsidR="00714B20" w:rsidRPr="004038DC" w:rsidRDefault="00714B20" w:rsidP="00714B20">
      <w:pPr>
        <w:rPr>
          <w:rFonts w:ascii="Times New Roman" w:hAnsi="Times New Roman"/>
          <w:sz w:val="24"/>
        </w:rPr>
      </w:pPr>
      <w:r w:rsidRPr="002413B6">
        <w:rPr>
          <w:noProof/>
        </w:rPr>
        <w:drawing>
          <wp:inline distT="0" distB="0" distL="0" distR="0" wp14:anchorId="2CE6E736" wp14:editId="3140E0A7">
            <wp:extent cx="5239910" cy="3708114"/>
            <wp:effectExtent l="19050" t="19050" r="18415" b="260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_N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350" cy="3709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038D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4038DC">
        <w:rPr>
          <w:rFonts w:ascii="Times New Roman" w:hAnsi="Times New Roman" w:hint="eastAsia"/>
          <w:sz w:val="24"/>
        </w:rPr>
        <w:t>e</w:t>
      </w:r>
      <w:r w:rsidRPr="004038DC">
        <w:rPr>
          <w:rFonts w:ascii="Times New Roman" w:hAnsi="Times New Roman"/>
          <w:sz w:val="24"/>
        </w:rPr>
        <w:t>Figure</w:t>
      </w:r>
      <w:proofErr w:type="spellEnd"/>
      <w:proofErr w:type="gramEnd"/>
      <w:r w:rsidRPr="004038DC">
        <w:rPr>
          <w:rFonts w:ascii="Times New Roman" w:hAnsi="Times New Roman"/>
          <w:sz w:val="24"/>
        </w:rPr>
        <w:t xml:space="preserve"> 1b. NO</w:t>
      </w:r>
      <w:r w:rsidRPr="004038DC">
        <w:rPr>
          <w:rFonts w:ascii="Times New Roman" w:hAnsi="Times New Roman"/>
          <w:sz w:val="24"/>
          <w:vertAlign w:val="subscript"/>
        </w:rPr>
        <w:t>2</w:t>
      </w:r>
    </w:p>
    <w:p w:rsidR="006D47BD" w:rsidRPr="004038DC" w:rsidRDefault="00714B20">
      <w:r w:rsidRPr="002413B6">
        <w:rPr>
          <w:noProof/>
        </w:rPr>
        <w:drawing>
          <wp:inline distT="0" distB="0" distL="0" distR="0" wp14:anchorId="7B329C14" wp14:editId="5F9AA852">
            <wp:extent cx="5311472" cy="3758754"/>
            <wp:effectExtent l="19050" t="19050" r="22860" b="133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_S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58" cy="37595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4B20" w:rsidRPr="004038DC" w:rsidRDefault="004038DC" w:rsidP="00714B20">
      <w:pPr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e</w:t>
      </w:r>
      <w:r w:rsidR="00714B20" w:rsidRPr="004038DC">
        <w:rPr>
          <w:rFonts w:ascii="Times New Roman" w:hAnsi="Times New Roman"/>
          <w:sz w:val="24"/>
        </w:rPr>
        <w:t>Figure</w:t>
      </w:r>
      <w:proofErr w:type="spellEnd"/>
      <w:proofErr w:type="gramEnd"/>
      <w:r w:rsidR="00714B20" w:rsidRPr="004038DC">
        <w:rPr>
          <w:rFonts w:ascii="Times New Roman" w:hAnsi="Times New Roman"/>
          <w:sz w:val="24"/>
        </w:rPr>
        <w:t xml:space="preserve"> 1c. SO</w:t>
      </w:r>
      <w:r w:rsidR="00714B20" w:rsidRPr="004038DC">
        <w:rPr>
          <w:rFonts w:ascii="Times New Roman" w:hAnsi="Times New Roman"/>
          <w:sz w:val="24"/>
          <w:vertAlign w:val="subscript"/>
        </w:rPr>
        <w:t>2</w:t>
      </w:r>
    </w:p>
    <w:p w:rsidR="006D47BD" w:rsidRPr="004038DC" w:rsidRDefault="006D47BD"/>
    <w:sectPr w:rsidR="006D47BD" w:rsidRPr="004038DC" w:rsidSect="00774C4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5E" w:rsidRDefault="00101F5E" w:rsidP="00B470D0">
      <w:r>
        <w:separator/>
      </w:r>
    </w:p>
  </w:endnote>
  <w:endnote w:type="continuationSeparator" w:id="0">
    <w:p w:rsidR="00101F5E" w:rsidRDefault="00101F5E" w:rsidP="00B4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5E" w:rsidRDefault="00101F5E" w:rsidP="00B470D0">
      <w:r>
        <w:separator/>
      </w:r>
    </w:p>
  </w:footnote>
  <w:footnote w:type="continuationSeparator" w:id="0">
    <w:p w:rsidR="00101F5E" w:rsidRDefault="00101F5E" w:rsidP="00B4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3"/>
    <w:rsid w:val="0002032A"/>
    <w:rsid w:val="000F551A"/>
    <w:rsid w:val="00101F5E"/>
    <w:rsid w:val="00140FCB"/>
    <w:rsid w:val="00153CC2"/>
    <w:rsid w:val="00240ADA"/>
    <w:rsid w:val="002413B6"/>
    <w:rsid w:val="002D2A1A"/>
    <w:rsid w:val="00394341"/>
    <w:rsid w:val="004038DC"/>
    <w:rsid w:val="00430A6A"/>
    <w:rsid w:val="004762A9"/>
    <w:rsid w:val="004A773C"/>
    <w:rsid w:val="00510BCA"/>
    <w:rsid w:val="005508BD"/>
    <w:rsid w:val="0060366B"/>
    <w:rsid w:val="00670CA3"/>
    <w:rsid w:val="00690383"/>
    <w:rsid w:val="006C460D"/>
    <w:rsid w:val="006D47BD"/>
    <w:rsid w:val="006E1E15"/>
    <w:rsid w:val="00705940"/>
    <w:rsid w:val="0071237A"/>
    <w:rsid w:val="00714B20"/>
    <w:rsid w:val="00735162"/>
    <w:rsid w:val="00774C48"/>
    <w:rsid w:val="00785B98"/>
    <w:rsid w:val="007C0FF3"/>
    <w:rsid w:val="00864E54"/>
    <w:rsid w:val="00877746"/>
    <w:rsid w:val="0096579C"/>
    <w:rsid w:val="00A15A9F"/>
    <w:rsid w:val="00A7453A"/>
    <w:rsid w:val="00A82F6D"/>
    <w:rsid w:val="00B0239D"/>
    <w:rsid w:val="00B02D71"/>
    <w:rsid w:val="00B10E55"/>
    <w:rsid w:val="00B470D0"/>
    <w:rsid w:val="00BA4D59"/>
    <w:rsid w:val="00C31823"/>
    <w:rsid w:val="00C638CA"/>
    <w:rsid w:val="00D47579"/>
    <w:rsid w:val="00D81E0F"/>
    <w:rsid w:val="00E3031D"/>
    <w:rsid w:val="00E7613D"/>
    <w:rsid w:val="00E90A6F"/>
    <w:rsid w:val="00E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D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7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D0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E303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031D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E3031D"/>
    <w:rPr>
      <w:rFonts w:ascii="Century" w:eastAsia="ＭＳ 明朝" w:hAnsi="Century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03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031D"/>
    <w:rPr>
      <w:rFonts w:ascii="Century" w:eastAsia="ＭＳ 明朝" w:hAnsi="Century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D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7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D0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E303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031D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E3031D"/>
    <w:rPr>
      <w:rFonts w:ascii="Century" w:eastAsia="ＭＳ 明朝" w:hAnsi="Century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03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031D"/>
    <w:rPr>
      <w:rFonts w:ascii="Century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C8E07D7-C985-4CC1-853A-D73114E1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Yorifuji</dc:creator>
  <cp:lastModifiedBy>Yorifuji</cp:lastModifiedBy>
  <cp:revision>3</cp:revision>
  <cp:lastPrinted>2015-02-23T05:31:00Z</cp:lastPrinted>
  <dcterms:created xsi:type="dcterms:W3CDTF">2015-06-19T07:15:00Z</dcterms:created>
  <dcterms:modified xsi:type="dcterms:W3CDTF">2015-06-22T01:09:00Z</dcterms:modified>
</cp:coreProperties>
</file>