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AD1C" w14:textId="2DA70CB4" w:rsidR="00300CC5" w:rsidRPr="00674C7B" w:rsidRDefault="00300CC5" w:rsidP="00300CC5">
      <w:pPr>
        <w:rPr>
          <w:rFonts w:asciiTheme="majorHAnsi" w:hAnsiTheme="majorHAnsi" w:cstheme="majorHAnsi"/>
          <w:sz w:val="28"/>
          <w:szCs w:val="28"/>
        </w:rPr>
      </w:pPr>
      <w:r w:rsidRPr="00674C7B">
        <w:rPr>
          <w:rFonts w:asciiTheme="majorHAnsi" w:hAnsiTheme="majorHAnsi" w:cstheme="majorHAnsi"/>
          <w:sz w:val="28"/>
          <w:szCs w:val="28"/>
        </w:rPr>
        <w:t>Supplemental Material</w:t>
      </w:r>
    </w:p>
    <w:p w14:paraId="33FFD8B9" w14:textId="77777777" w:rsidR="00300CC5" w:rsidRPr="002314A0" w:rsidRDefault="00300CC5" w:rsidP="00300CC5">
      <w:pPr>
        <w:rPr>
          <w:rFonts w:asciiTheme="majorHAnsi" w:hAnsiTheme="majorHAnsi" w:cstheme="majorHAnsi"/>
          <w:sz w:val="20"/>
          <w:szCs w:val="20"/>
        </w:rPr>
      </w:pPr>
    </w:p>
    <w:p w14:paraId="792A0AF8" w14:textId="77777777" w:rsidR="00300CC5" w:rsidRPr="002314A0" w:rsidRDefault="00300CC5" w:rsidP="00300CC5">
      <w:pPr>
        <w:rPr>
          <w:rFonts w:asciiTheme="majorHAnsi" w:hAnsiTheme="majorHAnsi" w:cstheme="majorHAnsi"/>
          <w:sz w:val="20"/>
          <w:szCs w:val="20"/>
        </w:rPr>
      </w:pPr>
    </w:p>
    <w:p w14:paraId="5CF3BD29" w14:textId="77777777" w:rsidR="00300CC5" w:rsidRPr="002314A0" w:rsidRDefault="00300CC5" w:rsidP="00300CC5">
      <w:pPr>
        <w:rPr>
          <w:rFonts w:asciiTheme="majorHAnsi" w:hAnsiTheme="majorHAnsi" w:cstheme="majorHAnsi"/>
          <w:sz w:val="20"/>
          <w:szCs w:val="20"/>
        </w:rPr>
      </w:pPr>
    </w:p>
    <w:p w14:paraId="0DACAB7C" w14:textId="77777777" w:rsidR="00300CC5" w:rsidRPr="002314A0" w:rsidRDefault="00300CC5" w:rsidP="00300CC5">
      <w:pPr>
        <w:rPr>
          <w:rFonts w:asciiTheme="majorHAnsi" w:hAnsiTheme="majorHAnsi" w:cstheme="majorHAnsi"/>
          <w:sz w:val="20"/>
          <w:szCs w:val="20"/>
        </w:rPr>
      </w:pPr>
    </w:p>
    <w:p w14:paraId="343B6281" w14:textId="77777777" w:rsidR="00300CC5" w:rsidRPr="002314A0" w:rsidRDefault="00300CC5" w:rsidP="00300CC5">
      <w:pPr>
        <w:rPr>
          <w:rFonts w:asciiTheme="majorHAnsi" w:hAnsiTheme="majorHAnsi" w:cstheme="majorHAnsi"/>
          <w:sz w:val="20"/>
          <w:szCs w:val="20"/>
        </w:rPr>
      </w:pPr>
    </w:p>
    <w:p w14:paraId="653EBA04" w14:textId="77777777" w:rsidR="00300CC5" w:rsidRPr="002314A0" w:rsidRDefault="00300CC5" w:rsidP="00300CC5">
      <w:pPr>
        <w:rPr>
          <w:rFonts w:asciiTheme="majorHAnsi" w:hAnsiTheme="majorHAnsi" w:cstheme="majorHAnsi"/>
          <w:sz w:val="20"/>
          <w:szCs w:val="20"/>
        </w:rPr>
      </w:pPr>
    </w:p>
    <w:p w14:paraId="32730C69" w14:textId="77777777" w:rsidR="00300CC5" w:rsidRPr="005F137D" w:rsidRDefault="00300CC5" w:rsidP="00300CC5">
      <w:pPr>
        <w:rPr>
          <w:rFonts w:asciiTheme="majorHAnsi" w:hAnsiTheme="majorHAnsi" w:cstheme="majorHAnsi"/>
          <w:sz w:val="21"/>
          <w:szCs w:val="20"/>
        </w:rPr>
      </w:pPr>
    </w:p>
    <w:p w14:paraId="02AFF3A3" w14:textId="77777777" w:rsidR="00300CC5" w:rsidRPr="005F137D" w:rsidRDefault="00300CC5" w:rsidP="00300CC5">
      <w:pPr>
        <w:rPr>
          <w:rFonts w:asciiTheme="majorHAnsi" w:hAnsiTheme="majorHAnsi" w:cstheme="majorHAnsi"/>
          <w:sz w:val="28"/>
        </w:rPr>
      </w:pPr>
      <w:r w:rsidRPr="005F137D">
        <w:rPr>
          <w:rFonts w:asciiTheme="majorHAnsi" w:hAnsiTheme="majorHAnsi" w:cstheme="majorHAnsi"/>
          <w:sz w:val="28"/>
        </w:rPr>
        <w:t>Within-City Spatial Variations in Ambient Ultrafine Particle Concentrations and Incident Brain Tumours in Adults</w:t>
      </w:r>
    </w:p>
    <w:p w14:paraId="33225F60" w14:textId="77777777" w:rsidR="00300CC5" w:rsidRPr="00674C7B" w:rsidRDefault="00300CC5" w:rsidP="00300CC5">
      <w:pPr>
        <w:rPr>
          <w:rFonts w:asciiTheme="majorHAnsi" w:hAnsiTheme="majorHAnsi" w:cstheme="majorHAnsi"/>
        </w:rPr>
      </w:pPr>
    </w:p>
    <w:p w14:paraId="48B1B154" w14:textId="77777777" w:rsidR="00300CC5" w:rsidRPr="00674C7B" w:rsidRDefault="00300CC5" w:rsidP="00300CC5">
      <w:pPr>
        <w:rPr>
          <w:rFonts w:asciiTheme="majorHAnsi" w:hAnsiTheme="majorHAnsi" w:cstheme="majorHAnsi"/>
        </w:rPr>
      </w:pPr>
    </w:p>
    <w:p w14:paraId="63ECD0FC" w14:textId="3632994C" w:rsidR="00300CC5" w:rsidRPr="00674C7B" w:rsidRDefault="00300CC5" w:rsidP="00300CC5">
      <w:pPr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</w:rPr>
        <w:t>Scott Weichenthal,*</w:t>
      </w:r>
      <w:r w:rsidRPr="00674C7B">
        <w:rPr>
          <w:rFonts w:asciiTheme="majorHAnsi" w:hAnsiTheme="majorHAnsi" w:cstheme="majorHAnsi"/>
          <w:vertAlign w:val="superscript"/>
        </w:rPr>
        <w:t xml:space="preserve">1,2 </w:t>
      </w:r>
      <w:r w:rsidRPr="00674C7B">
        <w:rPr>
          <w:rFonts w:asciiTheme="majorHAnsi" w:hAnsiTheme="majorHAnsi" w:cstheme="majorHAnsi"/>
        </w:rPr>
        <w:t>Toyib Olaniyan,</w:t>
      </w:r>
      <w:r w:rsidRPr="00674C7B">
        <w:rPr>
          <w:rFonts w:asciiTheme="majorHAnsi" w:hAnsiTheme="majorHAnsi" w:cstheme="majorHAnsi"/>
          <w:vertAlign w:val="superscript"/>
        </w:rPr>
        <w:t>3</w:t>
      </w:r>
      <w:r w:rsidRPr="00674C7B">
        <w:rPr>
          <w:rFonts w:asciiTheme="majorHAnsi" w:hAnsiTheme="majorHAnsi" w:cstheme="majorHAnsi"/>
        </w:rPr>
        <w:t xml:space="preserve"> Tanya Christidis,</w:t>
      </w:r>
      <w:r w:rsidRPr="00674C7B">
        <w:rPr>
          <w:rFonts w:asciiTheme="majorHAnsi" w:hAnsiTheme="majorHAnsi" w:cstheme="majorHAnsi"/>
          <w:vertAlign w:val="superscript"/>
        </w:rPr>
        <w:t>3</w:t>
      </w:r>
      <w:r w:rsidRPr="00674C7B">
        <w:rPr>
          <w:rFonts w:asciiTheme="majorHAnsi" w:hAnsiTheme="majorHAnsi" w:cstheme="majorHAnsi"/>
        </w:rPr>
        <w:t xml:space="preserve"> Eric Lavigne,</w:t>
      </w:r>
      <w:r w:rsidRPr="00674C7B">
        <w:rPr>
          <w:rFonts w:asciiTheme="majorHAnsi" w:hAnsiTheme="majorHAnsi" w:cstheme="majorHAnsi"/>
          <w:vertAlign w:val="superscript"/>
        </w:rPr>
        <w:t>2</w:t>
      </w:r>
      <w:r w:rsidRPr="00674C7B">
        <w:rPr>
          <w:rFonts w:asciiTheme="majorHAnsi" w:hAnsiTheme="majorHAnsi" w:cstheme="majorHAnsi"/>
        </w:rPr>
        <w:t xml:space="preserve"> Marianne Hatzopoulou,</w:t>
      </w:r>
      <w:r w:rsidRPr="00674C7B">
        <w:rPr>
          <w:rFonts w:asciiTheme="majorHAnsi" w:hAnsiTheme="majorHAnsi" w:cstheme="majorHAnsi"/>
          <w:vertAlign w:val="superscript"/>
        </w:rPr>
        <w:t>4</w:t>
      </w:r>
      <w:r w:rsidRPr="00674C7B">
        <w:rPr>
          <w:rFonts w:asciiTheme="majorHAnsi" w:hAnsiTheme="majorHAnsi" w:cstheme="majorHAnsi"/>
        </w:rPr>
        <w:t xml:space="preserve"> Keith Van Ryswyk,</w:t>
      </w:r>
      <w:r w:rsidRPr="00674C7B">
        <w:rPr>
          <w:rFonts w:asciiTheme="majorHAnsi" w:hAnsiTheme="majorHAnsi" w:cstheme="majorHAnsi"/>
          <w:vertAlign w:val="superscript"/>
        </w:rPr>
        <w:t>2</w:t>
      </w:r>
      <w:r w:rsidRPr="00674C7B">
        <w:rPr>
          <w:rFonts w:asciiTheme="majorHAnsi" w:hAnsiTheme="majorHAnsi" w:cstheme="majorHAnsi"/>
        </w:rPr>
        <w:t xml:space="preserve"> Michael Tjepkema,</w:t>
      </w:r>
      <w:r w:rsidRPr="00674C7B">
        <w:rPr>
          <w:rFonts w:asciiTheme="majorHAnsi" w:hAnsiTheme="majorHAnsi" w:cstheme="majorHAnsi"/>
          <w:vertAlign w:val="superscript"/>
        </w:rPr>
        <w:t>3</w:t>
      </w:r>
      <w:r w:rsidRPr="00674C7B">
        <w:rPr>
          <w:rFonts w:asciiTheme="majorHAnsi" w:hAnsiTheme="majorHAnsi" w:cstheme="majorHAnsi"/>
        </w:rPr>
        <w:t xml:space="preserve"> Rick Burnett</w:t>
      </w:r>
      <w:r w:rsidRPr="00674C7B">
        <w:rPr>
          <w:rFonts w:asciiTheme="majorHAnsi" w:hAnsiTheme="majorHAnsi" w:cstheme="majorHAnsi"/>
          <w:vertAlign w:val="superscript"/>
        </w:rPr>
        <w:t>6</w:t>
      </w:r>
    </w:p>
    <w:p w14:paraId="0F1A3BDA" w14:textId="77777777" w:rsidR="00300CC5" w:rsidRPr="00674C7B" w:rsidRDefault="00300CC5" w:rsidP="00300CC5">
      <w:pPr>
        <w:rPr>
          <w:rFonts w:asciiTheme="majorHAnsi" w:hAnsiTheme="majorHAnsi" w:cstheme="majorHAnsi"/>
        </w:rPr>
      </w:pPr>
    </w:p>
    <w:p w14:paraId="7C76C7AC" w14:textId="77777777" w:rsidR="00300CC5" w:rsidRPr="00674C7B" w:rsidRDefault="00300CC5" w:rsidP="00300CC5">
      <w:pPr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  <w:vertAlign w:val="superscript"/>
        </w:rPr>
        <w:t xml:space="preserve">1 </w:t>
      </w:r>
      <w:r w:rsidRPr="00674C7B">
        <w:rPr>
          <w:rFonts w:asciiTheme="majorHAnsi" w:hAnsiTheme="majorHAnsi" w:cstheme="majorHAnsi"/>
        </w:rPr>
        <w:t>Department of Epidemiology, Biostatistics, and Occupational Health, McGill University, Montreal, Canada</w:t>
      </w:r>
    </w:p>
    <w:p w14:paraId="73D71B80" w14:textId="77777777" w:rsidR="00300CC5" w:rsidRPr="00674C7B" w:rsidRDefault="00300CC5" w:rsidP="00300CC5">
      <w:pPr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  <w:vertAlign w:val="superscript"/>
        </w:rPr>
        <w:t xml:space="preserve">2 </w:t>
      </w:r>
      <w:r w:rsidRPr="00674C7B">
        <w:rPr>
          <w:rFonts w:asciiTheme="majorHAnsi" w:hAnsiTheme="majorHAnsi" w:cstheme="majorHAnsi"/>
        </w:rPr>
        <w:t>Air Health Science Division, Health Canada, Ottawa, Canada</w:t>
      </w:r>
    </w:p>
    <w:p w14:paraId="1E46EDD2" w14:textId="77777777" w:rsidR="00300CC5" w:rsidRPr="00674C7B" w:rsidRDefault="00300CC5" w:rsidP="00300CC5">
      <w:pPr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  <w:vertAlign w:val="superscript"/>
        </w:rPr>
        <w:t xml:space="preserve">3 </w:t>
      </w:r>
      <w:r w:rsidRPr="00674C7B">
        <w:rPr>
          <w:rFonts w:asciiTheme="majorHAnsi" w:hAnsiTheme="majorHAnsi" w:cstheme="majorHAnsi"/>
        </w:rPr>
        <w:t>Statistics Canada, Ottawa, Canada</w:t>
      </w:r>
    </w:p>
    <w:p w14:paraId="221E4F8E" w14:textId="77777777" w:rsidR="00300CC5" w:rsidRPr="00674C7B" w:rsidRDefault="00300CC5" w:rsidP="00300CC5">
      <w:pPr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  <w:vertAlign w:val="superscript"/>
        </w:rPr>
        <w:t>4</w:t>
      </w:r>
      <w:r w:rsidRPr="00674C7B">
        <w:rPr>
          <w:rFonts w:asciiTheme="majorHAnsi" w:hAnsiTheme="majorHAnsi" w:cstheme="majorHAnsi"/>
        </w:rPr>
        <w:t xml:space="preserve"> </w:t>
      </w:r>
      <w:r w:rsidRPr="00674C7B">
        <w:rPr>
          <w:rFonts w:asciiTheme="majorHAnsi" w:hAnsiTheme="majorHAnsi" w:cstheme="majorHAnsi"/>
          <w:lang w:eastAsia="en-CA"/>
        </w:rPr>
        <w:t xml:space="preserve">University of Toronto, Department of Civil Engineering, Toronto, Ontario, </w:t>
      </w:r>
      <w:r w:rsidRPr="00674C7B">
        <w:rPr>
          <w:rFonts w:asciiTheme="majorHAnsi" w:hAnsiTheme="majorHAnsi" w:cstheme="majorHAnsi"/>
        </w:rPr>
        <w:t>Canada</w:t>
      </w:r>
    </w:p>
    <w:p w14:paraId="2234CF06" w14:textId="1C8C6D3C" w:rsidR="00300CC5" w:rsidRPr="00674C7B" w:rsidRDefault="009A68CE" w:rsidP="00300CC5">
      <w:pPr>
        <w:spacing w:after="12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vertAlign w:val="superscript"/>
        </w:rPr>
        <w:t>5</w:t>
      </w:r>
      <w:r w:rsidR="00300CC5" w:rsidRPr="00674C7B">
        <w:rPr>
          <w:rFonts w:asciiTheme="majorHAnsi" w:hAnsiTheme="majorHAnsi" w:cstheme="majorHAnsi"/>
          <w:vertAlign w:val="superscript"/>
        </w:rPr>
        <w:t xml:space="preserve"> </w:t>
      </w:r>
      <w:r w:rsidR="00300CC5" w:rsidRPr="00674C7B">
        <w:rPr>
          <w:rFonts w:asciiTheme="majorHAnsi" w:hAnsiTheme="majorHAnsi" w:cstheme="majorHAnsi"/>
        </w:rPr>
        <w:t>Population Studies Division, Health Canada, Ottawa, Canada</w:t>
      </w:r>
    </w:p>
    <w:p w14:paraId="5EF6D0B3" w14:textId="77777777" w:rsidR="00300CC5" w:rsidRPr="00674C7B" w:rsidRDefault="00300CC5" w:rsidP="00300CC5">
      <w:pPr>
        <w:spacing w:after="120"/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</w:rPr>
        <w:t>*Corresponding Author</w:t>
      </w:r>
    </w:p>
    <w:p w14:paraId="3DB153B8" w14:textId="77777777" w:rsidR="00300CC5" w:rsidRPr="00674C7B" w:rsidRDefault="00300CC5" w:rsidP="00300CC5">
      <w:pPr>
        <w:spacing w:after="120"/>
        <w:rPr>
          <w:rFonts w:asciiTheme="majorHAnsi" w:hAnsiTheme="majorHAnsi" w:cstheme="majorHAnsi"/>
        </w:rPr>
      </w:pPr>
      <w:r w:rsidRPr="00674C7B">
        <w:rPr>
          <w:rFonts w:asciiTheme="majorHAnsi" w:hAnsiTheme="majorHAnsi" w:cstheme="majorHAnsi"/>
        </w:rPr>
        <w:t xml:space="preserve">Dr. Scott Weichenthal </w:t>
      </w:r>
      <w:r w:rsidRPr="00674C7B">
        <w:rPr>
          <w:rFonts w:asciiTheme="majorHAnsi" w:hAnsiTheme="majorHAnsi" w:cstheme="majorHAnsi"/>
        </w:rPr>
        <w:br/>
        <w:t xml:space="preserve">Department of Epidemiology, Biostatistics, and Occupational Health </w:t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  <w:t xml:space="preserve">   McGill University</w:t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  <w:t xml:space="preserve">        1020 avenue des Pins Ouest, Montreal, QC, Canada, H3A 1A2 Email: </w:t>
      </w:r>
      <w:hyperlink r:id="rId6" w:history="1">
        <w:r w:rsidRPr="00674C7B">
          <w:rPr>
            <w:rFonts w:asciiTheme="majorHAnsi" w:hAnsiTheme="majorHAnsi" w:cstheme="majorHAnsi"/>
            <w:color w:val="386EFF"/>
            <w:u w:val="single" w:color="386EFF"/>
          </w:rPr>
          <w:t>scott.weichenthal@mcgill.ca</w:t>
        </w:r>
      </w:hyperlink>
      <w:r w:rsidRPr="00674C7B">
        <w:rPr>
          <w:rFonts w:asciiTheme="majorHAnsi" w:hAnsiTheme="majorHAnsi" w:cstheme="majorHAnsi"/>
        </w:rPr>
        <w:t xml:space="preserve"> </w:t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</w:r>
      <w:r w:rsidRPr="00674C7B">
        <w:rPr>
          <w:rFonts w:asciiTheme="majorHAnsi" w:hAnsiTheme="majorHAnsi" w:cstheme="majorHAnsi"/>
        </w:rPr>
        <w:tab/>
        <w:t xml:space="preserve">       Tel: (514) 398-1584</w:t>
      </w:r>
    </w:p>
    <w:p w14:paraId="2786D9E1" w14:textId="7B614C80" w:rsidR="00300CC5" w:rsidRPr="00674C7B" w:rsidRDefault="00300CC5" w:rsidP="00300CC5">
      <w:pPr>
        <w:outlineLvl w:val="0"/>
        <w:rPr>
          <w:rFonts w:asciiTheme="majorHAnsi" w:hAnsiTheme="majorHAnsi" w:cstheme="majorHAnsi"/>
        </w:rPr>
      </w:pPr>
    </w:p>
    <w:p w14:paraId="5EC0BA71" w14:textId="22BD6947" w:rsidR="00300CC5" w:rsidRPr="00674C7B" w:rsidRDefault="00300CC5" w:rsidP="00300CC5">
      <w:pPr>
        <w:outlineLvl w:val="0"/>
        <w:rPr>
          <w:rFonts w:asciiTheme="majorHAnsi" w:hAnsiTheme="majorHAnsi" w:cstheme="majorHAnsi"/>
        </w:rPr>
      </w:pPr>
    </w:p>
    <w:p w14:paraId="577C95AB" w14:textId="6186A8E5" w:rsidR="00300CC5" w:rsidRPr="00674C7B" w:rsidRDefault="00300CC5" w:rsidP="00300CC5">
      <w:pPr>
        <w:outlineLvl w:val="0"/>
        <w:rPr>
          <w:rFonts w:asciiTheme="majorHAnsi" w:hAnsiTheme="majorHAnsi" w:cstheme="majorHAnsi"/>
        </w:rPr>
      </w:pPr>
    </w:p>
    <w:p w14:paraId="060A48FD" w14:textId="539EC5AF" w:rsidR="00300CC5" w:rsidRPr="002314A0" w:rsidRDefault="00300CC5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0D12B81F" w14:textId="222E462B" w:rsidR="00300CC5" w:rsidRPr="002314A0" w:rsidRDefault="00300CC5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6446AF58" w14:textId="06C1A700" w:rsidR="00300CC5" w:rsidRPr="002314A0" w:rsidRDefault="00300CC5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67C7AFFD" w14:textId="72B77D69" w:rsidR="00300CC5" w:rsidRPr="002314A0" w:rsidRDefault="00300CC5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5A289D7E" w14:textId="77777777" w:rsidR="00674C7B" w:rsidRDefault="00674C7B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15EE790D" w14:textId="77777777" w:rsidR="00674C7B" w:rsidRDefault="00674C7B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2E68597D" w14:textId="77777777" w:rsidR="00674C7B" w:rsidRDefault="00674C7B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6C37377D" w14:textId="77777777" w:rsidR="0019792F" w:rsidRDefault="0019792F" w:rsidP="00300CC5">
      <w:pPr>
        <w:outlineLvl w:val="0"/>
        <w:rPr>
          <w:rFonts w:asciiTheme="majorHAnsi" w:hAnsiTheme="majorHAnsi" w:cstheme="majorHAnsi"/>
        </w:rPr>
      </w:pPr>
    </w:p>
    <w:p w14:paraId="1D5896B2" w14:textId="77777777" w:rsidR="0019792F" w:rsidRDefault="0019792F" w:rsidP="00300CC5">
      <w:pPr>
        <w:outlineLvl w:val="0"/>
        <w:rPr>
          <w:rFonts w:asciiTheme="majorHAnsi" w:hAnsiTheme="majorHAnsi" w:cstheme="majorHAnsi"/>
        </w:rPr>
      </w:pPr>
    </w:p>
    <w:p w14:paraId="6A99EDDF" w14:textId="77777777" w:rsidR="0019792F" w:rsidRDefault="0019792F" w:rsidP="00300CC5">
      <w:pPr>
        <w:outlineLvl w:val="0"/>
        <w:rPr>
          <w:rFonts w:asciiTheme="majorHAnsi" w:hAnsiTheme="majorHAnsi" w:cstheme="majorHAnsi"/>
        </w:rPr>
      </w:pPr>
    </w:p>
    <w:p w14:paraId="2E478198" w14:textId="77777777" w:rsidR="0019792F" w:rsidRDefault="0019792F" w:rsidP="00300CC5">
      <w:pPr>
        <w:outlineLvl w:val="0"/>
        <w:rPr>
          <w:rFonts w:asciiTheme="majorHAnsi" w:hAnsiTheme="majorHAnsi" w:cstheme="majorHAnsi"/>
        </w:rPr>
      </w:pPr>
    </w:p>
    <w:p w14:paraId="045312B2" w14:textId="640F5E59" w:rsidR="00300CC5" w:rsidRPr="00674C7B" w:rsidRDefault="005266E3" w:rsidP="00300CC5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e</w:t>
      </w:r>
      <w:r w:rsidR="00300CC5" w:rsidRPr="00896268">
        <w:rPr>
          <w:rFonts w:asciiTheme="majorHAnsi" w:hAnsiTheme="majorHAnsi" w:cstheme="majorHAnsi"/>
          <w:b/>
        </w:rPr>
        <w:t>Figure 1.</w:t>
      </w:r>
      <w:r w:rsidR="00300CC5" w:rsidRPr="00674C7B">
        <w:rPr>
          <w:rFonts w:asciiTheme="majorHAnsi" w:hAnsiTheme="majorHAnsi" w:cstheme="majorHAnsi"/>
        </w:rPr>
        <w:t xml:space="preserve"> </w:t>
      </w:r>
      <w:r w:rsidR="00DC7499" w:rsidRPr="00674C7B">
        <w:rPr>
          <w:rFonts w:asciiTheme="majorHAnsi" w:hAnsiTheme="majorHAnsi" w:cstheme="majorHAnsi"/>
        </w:rPr>
        <w:t>Conceptual d</w:t>
      </w:r>
      <w:r w:rsidR="00300CC5" w:rsidRPr="00674C7B">
        <w:rPr>
          <w:rFonts w:asciiTheme="majorHAnsi" w:hAnsiTheme="majorHAnsi" w:cstheme="majorHAnsi"/>
        </w:rPr>
        <w:t xml:space="preserve">irected </w:t>
      </w:r>
      <w:r w:rsidR="00DC7499" w:rsidRPr="00674C7B">
        <w:rPr>
          <w:rFonts w:asciiTheme="majorHAnsi" w:hAnsiTheme="majorHAnsi" w:cstheme="majorHAnsi"/>
        </w:rPr>
        <w:t>a</w:t>
      </w:r>
      <w:r w:rsidR="00300CC5" w:rsidRPr="00674C7B">
        <w:rPr>
          <w:rFonts w:asciiTheme="majorHAnsi" w:hAnsiTheme="majorHAnsi" w:cstheme="majorHAnsi"/>
        </w:rPr>
        <w:t xml:space="preserve">cyclical </w:t>
      </w:r>
      <w:r w:rsidR="00DC7499" w:rsidRPr="00674C7B">
        <w:rPr>
          <w:rFonts w:asciiTheme="majorHAnsi" w:hAnsiTheme="majorHAnsi" w:cstheme="majorHAnsi"/>
        </w:rPr>
        <w:t>g</w:t>
      </w:r>
      <w:r w:rsidR="00300CC5" w:rsidRPr="00674C7B">
        <w:rPr>
          <w:rFonts w:asciiTheme="majorHAnsi" w:hAnsiTheme="majorHAnsi" w:cstheme="majorHAnsi"/>
        </w:rPr>
        <w:t xml:space="preserve">raph (DAG) for </w:t>
      </w:r>
      <w:r w:rsidR="00DC7499" w:rsidRPr="00674C7B">
        <w:rPr>
          <w:rFonts w:asciiTheme="majorHAnsi" w:hAnsiTheme="majorHAnsi" w:cstheme="majorHAnsi"/>
        </w:rPr>
        <w:t>o</w:t>
      </w:r>
      <w:r w:rsidR="00300CC5" w:rsidRPr="00674C7B">
        <w:rPr>
          <w:rFonts w:asciiTheme="majorHAnsi" w:hAnsiTheme="majorHAnsi" w:cstheme="majorHAnsi"/>
        </w:rPr>
        <w:t>utdoor UFP</w:t>
      </w:r>
      <w:r w:rsidR="00EC3C63" w:rsidRPr="00674C7B">
        <w:rPr>
          <w:rFonts w:asciiTheme="majorHAnsi" w:hAnsiTheme="majorHAnsi" w:cstheme="majorHAnsi"/>
        </w:rPr>
        <w:t xml:space="preserve"> concentrations</w:t>
      </w:r>
      <w:r w:rsidR="00300CC5" w:rsidRPr="00674C7B">
        <w:rPr>
          <w:rFonts w:asciiTheme="majorHAnsi" w:hAnsiTheme="majorHAnsi" w:cstheme="majorHAnsi"/>
        </w:rPr>
        <w:t xml:space="preserve"> and </w:t>
      </w:r>
      <w:r w:rsidR="00DC7499" w:rsidRPr="00674C7B">
        <w:rPr>
          <w:rFonts w:asciiTheme="majorHAnsi" w:hAnsiTheme="majorHAnsi" w:cstheme="majorHAnsi"/>
        </w:rPr>
        <w:t>b</w:t>
      </w:r>
      <w:r w:rsidR="00300CC5" w:rsidRPr="00674C7B">
        <w:rPr>
          <w:rFonts w:asciiTheme="majorHAnsi" w:hAnsiTheme="majorHAnsi" w:cstheme="majorHAnsi"/>
        </w:rPr>
        <w:t xml:space="preserve">rain </w:t>
      </w:r>
      <w:r w:rsidR="00DC7499" w:rsidRPr="00674C7B">
        <w:rPr>
          <w:rFonts w:asciiTheme="majorHAnsi" w:hAnsiTheme="majorHAnsi" w:cstheme="majorHAnsi"/>
        </w:rPr>
        <w:t>t</w:t>
      </w:r>
      <w:r w:rsidR="00300CC5" w:rsidRPr="00674C7B">
        <w:rPr>
          <w:rFonts w:asciiTheme="majorHAnsi" w:hAnsiTheme="majorHAnsi" w:cstheme="majorHAnsi"/>
        </w:rPr>
        <w:t>umour</w:t>
      </w:r>
      <w:r w:rsidR="00DC7499" w:rsidRPr="00674C7B">
        <w:rPr>
          <w:rFonts w:asciiTheme="majorHAnsi" w:hAnsiTheme="majorHAnsi" w:cstheme="majorHAnsi"/>
        </w:rPr>
        <w:t xml:space="preserve"> incidence</w:t>
      </w:r>
      <w:r w:rsidR="00300CC5" w:rsidRPr="00674C7B">
        <w:rPr>
          <w:rFonts w:asciiTheme="majorHAnsi" w:hAnsiTheme="majorHAnsi" w:cstheme="majorHAnsi"/>
        </w:rPr>
        <w:t xml:space="preserve">. </w:t>
      </w:r>
      <w:r w:rsidR="004F5EC7" w:rsidRPr="00674C7B">
        <w:rPr>
          <w:rFonts w:asciiTheme="majorHAnsi" w:hAnsiTheme="majorHAnsi" w:cstheme="majorHAnsi"/>
        </w:rPr>
        <w:t xml:space="preserve">Parameters in grey are unmeasured variables, parameters in red are potential confounding factors, and parameters in blue were included as strata variables in the Cox models. </w:t>
      </w:r>
    </w:p>
    <w:p w14:paraId="49A127F5" w14:textId="77777777" w:rsidR="00300CC5" w:rsidRPr="002314A0" w:rsidRDefault="00300CC5" w:rsidP="00300CC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0EB96B02" w14:textId="14545DE0" w:rsidR="002314A0" w:rsidRPr="002314A0" w:rsidRDefault="008F586A">
      <w:pPr>
        <w:rPr>
          <w:rFonts w:asciiTheme="majorHAnsi" w:hAnsiTheme="majorHAnsi" w:cstheme="majorHAnsi"/>
          <w:sz w:val="20"/>
          <w:szCs w:val="20"/>
        </w:rPr>
      </w:pPr>
      <w:r w:rsidRPr="002314A0">
        <w:rPr>
          <w:rFonts w:asciiTheme="majorHAnsi" w:hAnsiTheme="majorHAnsi" w:cstheme="majorHAnsi"/>
          <w:noProof/>
          <w:sz w:val="20"/>
          <w:szCs w:val="20"/>
          <w:lang w:val="en-US"/>
        </w:rPr>
        <w:drawing>
          <wp:inline distT="0" distB="0" distL="0" distR="0" wp14:anchorId="396E6616" wp14:editId="2500490D">
            <wp:extent cx="6096291" cy="5064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gitty-model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" r="2551" b="15547"/>
                    <a:stretch/>
                  </pic:blipFill>
                  <pic:spPr bwMode="auto">
                    <a:xfrm>
                      <a:off x="0" y="0"/>
                      <a:ext cx="6100630" cy="506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221B6" w14:textId="7DF3F398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12D4FC11" w14:textId="0FD6D6BF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3FF90433" w14:textId="4F22F5D0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0B3D0BE0" w14:textId="3FFD45A6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7265D0C3" w14:textId="4706B26A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66F763CC" w14:textId="3BBC7A67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3B46CEDF" w14:textId="77777777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28C011D0" w14:textId="6B782E94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7C9FD1AF" w14:textId="1A3C1266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0D9A9538" w14:textId="7E5B47BA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0EDBA83A" w14:textId="1BD18413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4FC49FEC" w14:textId="45380477" w:rsidR="002314A0" w:rsidRPr="002314A0" w:rsidRDefault="002314A0">
      <w:pPr>
        <w:rPr>
          <w:rFonts w:asciiTheme="majorHAnsi" w:hAnsiTheme="majorHAnsi" w:cstheme="majorHAnsi"/>
          <w:sz w:val="20"/>
          <w:szCs w:val="20"/>
        </w:rPr>
      </w:pPr>
    </w:p>
    <w:p w14:paraId="5A605EC6" w14:textId="77777777" w:rsidR="002314A0" w:rsidRPr="002314A0" w:rsidRDefault="002314A0">
      <w:pPr>
        <w:rPr>
          <w:rFonts w:asciiTheme="majorHAnsi" w:hAnsiTheme="majorHAnsi" w:cstheme="majorHAnsi"/>
          <w:sz w:val="20"/>
          <w:szCs w:val="20"/>
        </w:rPr>
        <w:sectPr w:rsidR="002314A0" w:rsidRPr="002314A0" w:rsidSect="006D5094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58D203" w14:textId="63051272" w:rsidR="000117AB" w:rsidRPr="000117AB" w:rsidRDefault="005266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</w:t>
      </w:r>
      <w:r w:rsidR="002314A0" w:rsidRPr="000117AB">
        <w:rPr>
          <w:rFonts w:asciiTheme="majorHAnsi" w:hAnsiTheme="majorHAnsi" w:cstheme="majorHAnsi"/>
        </w:rPr>
        <w:t>Table 1. UFP exposures (particles/cm</w:t>
      </w:r>
      <w:r w:rsidR="002314A0" w:rsidRPr="000117AB">
        <w:rPr>
          <w:rFonts w:asciiTheme="majorHAnsi" w:hAnsiTheme="majorHAnsi" w:cstheme="majorHAnsi"/>
          <w:vertAlign w:val="superscript"/>
        </w:rPr>
        <w:t>3</w:t>
      </w:r>
      <w:r w:rsidR="002314A0" w:rsidRPr="000117AB">
        <w:rPr>
          <w:rFonts w:asciiTheme="majorHAnsi" w:hAnsiTheme="majorHAnsi" w:cstheme="majorHAnsi"/>
        </w:rPr>
        <w:t>) for the CCHS and CanCHEC cohorts</w:t>
      </w:r>
      <w:r w:rsidR="000117AB" w:rsidRPr="000117AB">
        <w:rPr>
          <w:rFonts w:asciiTheme="majorHAnsi" w:hAnsiTheme="majorHAnsi" w:cstheme="majorHAnsi"/>
        </w:rPr>
        <w:t xml:space="preserve"> at time of entry</w:t>
      </w:r>
    </w:p>
    <w:tbl>
      <w:tblPr>
        <w:tblW w:w="9346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993"/>
        <w:gridCol w:w="850"/>
        <w:gridCol w:w="709"/>
        <w:gridCol w:w="709"/>
        <w:gridCol w:w="850"/>
        <w:gridCol w:w="732"/>
        <w:gridCol w:w="1678"/>
      </w:tblGrid>
      <w:tr w:rsidR="000117AB" w:rsidRPr="002314A0" w14:paraId="4D3C055F" w14:textId="77777777" w:rsidTr="000117AB">
        <w:trPr>
          <w:trHeight w:val="300"/>
        </w:trPr>
        <w:tc>
          <w:tcPr>
            <w:tcW w:w="2825" w:type="dxa"/>
            <w:vMerge w:val="restart"/>
            <w:shd w:val="clear" w:color="auto" w:fill="auto"/>
            <w:noWrap/>
            <w:vAlign w:val="bottom"/>
          </w:tcPr>
          <w:p w14:paraId="36493834" w14:textId="77777777" w:rsidR="000117AB" w:rsidRPr="002314A0" w:rsidRDefault="000117AB" w:rsidP="000117A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Covariates</w:t>
            </w:r>
          </w:p>
          <w:p w14:paraId="09A29F46" w14:textId="31FDE0C9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62C8D2D" w14:textId="4299E4DF" w:rsidR="000117AB" w:rsidRPr="002314A0" w:rsidRDefault="000117AB" w:rsidP="000117A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CanCHEC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92977DE" w14:textId="04B4FA26" w:rsidR="000117AB" w:rsidRPr="002314A0" w:rsidRDefault="000117AB" w:rsidP="000117A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CCHS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bottom"/>
          </w:tcPr>
          <w:p w14:paraId="22F3CE13" w14:textId="7E35775B" w:rsidR="000117AB" w:rsidRDefault="000117AB" w:rsidP="000117A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Median Difference</w:t>
            </w:r>
          </w:p>
          <w:p w14:paraId="31204F0E" w14:textId="77777777" w:rsidR="000117AB" w:rsidRPr="002314A0" w:rsidRDefault="000117AB" w:rsidP="000117A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(CanCHEC-CCHS)</w:t>
            </w:r>
          </w:p>
          <w:p w14:paraId="76E86A1E" w14:textId="3F85A4A7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0117AB" w:rsidRPr="002314A0" w14:paraId="097318F3" w14:textId="77777777" w:rsidTr="000117AB">
        <w:trPr>
          <w:trHeight w:val="300"/>
        </w:trPr>
        <w:tc>
          <w:tcPr>
            <w:tcW w:w="2825" w:type="dxa"/>
            <w:vMerge/>
            <w:shd w:val="clear" w:color="auto" w:fill="auto"/>
            <w:noWrap/>
            <w:vAlign w:val="bottom"/>
            <w:hideMark/>
          </w:tcPr>
          <w:p w14:paraId="0C5DEC4F" w14:textId="01B92190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8B26" w14:textId="77777777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n</w:t>
            </w:r>
          </w:p>
          <w:p w14:paraId="0A3F4C19" w14:textId="39E82A1D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13CE" w14:textId="53CE609C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UFP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A5E35" w14:textId="77777777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n</w:t>
            </w:r>
          </w:p>
          <w:p w14:paraId="5C9F8C91" w14:textId="558CDCB6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827F" w14:textId="45EE9481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UFP </w:t>
            </w:r>
          </w:p>
        </w:tc>
        <w:tc>
          <w:tcPr>
            <w:tcW w:w="1678" w:type="dxa"/>
            <w:vMerge/>
            <w:shd w:val="clear" w:color="auto" w:fill="auto"/>
            <w:noWrap/>
            <w:vAlign w:val="bottom"/>
            <w:hideMark/>
          </w:tcPr>
          <w:p w14:paraId="61D37E95" w14:textId="6A393E84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0117AB" w:rsidRPr="002314A0" w14:paraId="28B20CE8" w14:textId="77777777" w:rsidTr="000117AB">
        <w:trPr>
          <w:trHeight w:val="320"/>
        </w:trPr>
        <w:tc>
          <w:tcPr>
            <w:tcW w:w="282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C798" w14:textId="2BC3D0E1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5D73B" w14:textId="40DCC16F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B112" w14:textId="77777777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FA0B" w14:textId="77777777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7785" w14:textId="158E6BCD" w:rsidR="000117AB" w:rsidRPr="002314A0" w:rsidRDefault="000117AB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2F5D" w14:textId="77777777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7DAF9" w14:textId="77777777" w:rsidR="000117AB" w:rsidRPr="002314A0" w:rsidRDefault="000117AB" w:rsidP="002314A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678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A645" w14:textId="350D1FEF" w:rsidR="000117AB" w:rsidRPr="002314A0" w:rsidRDefault="000117AB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0DAD6DB4" w14:textId="77777777" w:rsidTr="000117AB">
        <w:trPr>
          <w:trHeight w:val="300"/>
        </w:trPr>
        <w:tc>
          <w:tcPr>
            <w:tcW w:w="282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A5F879" w14:textId="77777777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3A0BC7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1938100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E2B89F" w14:textId="79B697F6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D171BE" w14:textId="242EF6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8030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0578E4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FB87D5" w14:textId="54E6A05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3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9701C0" w14:textId="4AAD2E0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8266</w:t>
            </w:r>
          </w:p>
        </w:tc>
        <w:tc>
          <w:tcPr>
            <w:tcW w:w="167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FE22B9" w14:textId="0D1FE81C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-201</w:t>
            </w:r>
          </w:p>
        </w:tc>
      </w:tr>
      <w:tr w:rsidR="000117AB" w:rsidRPr="002314A0" w14:paraId="7912E958" w14:textId="77777777" w:rsidTr="000117AB">
        <w:trPr>
          <w:trHeight w:val="300"/>
        </w:trPr>
        <w:tc>
          <w:tcPr>
            <w:tcW w:w="28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565860" w14:textId="77777777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93E60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AF178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E6787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68534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0E998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E2D8F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2EB17" w14:textId="1A0F7E19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671144BC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58ED6E4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D6E7D5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1017300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88ABA5" w14:textId="598D477C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DCDE7" w14:textId="67CFA66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10582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D5053" w14:textId="675C243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37F62FC" w14:textId="5A3A16DC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561805E4" w14:textId="151EA0BF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-202</w:t>
            </w:r>
          </w:p>
        </w:tc>
      </w:tr>
      <w:tr w:rsidR="000117AB" w:rsidRPr="002314A0" w14:paraId="34307B43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86BFC2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7738AF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920900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C68F28" w14:textId="1BFC4E7E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6EB57E" w14:textId="7468059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572F3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879564" w14:textId="0A151F3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37AF140" w14:textId="769705AC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8235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091E793" w14:textId="72113101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-228</w:t>
            </w:r>
          </w:p>
        </w:tc>
      </w:tr>
      <w:tr w:rsidR="000117AB" w:rsidRPr="002314A0" w14:paraId="07C68542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F596B3" w14:textId="7E7D1AB8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Age group (years)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A3374D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8D82DB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E1C508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08399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D54732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5190EFF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841EC5A" w14:textId="5F654871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155D5EF4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5F2E454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25 to 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2E62ED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225300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95F3F7" w14:textId="395C079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BD2AB6" w14:textId="175C72F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C7C1B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D1F88B" w14:textId="316BA7E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038B314" w14:textId="280ACE5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8071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381C72C" w14:textId="3AA14B96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-639</w:t>
            </w:r>
          </w:p>
        </w:tc>
      </w:tr>
      <w:tr w:rsidR="000117AB" w:rsidRPr="002314A0" w14:paraId="7BB7AA73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A106339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30 to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BB5E78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492900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23F67D" w14:textId="1A9B570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3EB87" w14:textId="0F3BDF3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5F9D3E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02F75" w14:textId="10D75F3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BC996D5" w14:textId="7CA26EA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9615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E9430E7" w14:textId="62D59793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-269</w:t>
            </w:r>
          </w:p>
        </w:tc>
      </w:tr>
      <w:tr w:rsidR="000117AB" w:rsidRPr="002314A0" w14:paraId="3D0CE6B6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0130087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40 to 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08138A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433800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E2361A" w14:textId="5466DCCB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425A4A" w14:textId="7B02F78B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8E905D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452490" w14:textId="6DE1F74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4988DEB" w14:textId="0EC34D2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7787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2C86E59" w14:textId="49239E5B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-111</w:t>
            </w:r>
          </w:p>
        </w:tc>
      </w:tr>
      <w:tr w:rsidR="000117AB" w:rsidRPr="002314A0" w14:paraId="147B8580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2FB9F45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50 to 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19FB05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BFF0AB" w14:textId="09314080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0A1B8" w14:textId="68F96B8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8E244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D1D0C" w14:textId="4B393CE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770471B" w14:textId="20E7D476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7786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75EF048" w14:textId="6446168C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-114</w:t>
            </w:r>
          </w:p>
        </w:tc>
      </w:tr>
      <w:tr w:rsidR="000117AB" w:rsidRPr="002314A0" w14:paraId="7621D4B9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BD440F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60 to 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E8D502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40743B" w14:textId="41841F6E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B7F8B7" w14:textId="7CA6FC9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CD52EE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F3551E" w14:textId="67A54AF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31545E0" w14:textId="053641D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7134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3C4C524" w14:textId="3DD747C3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-50</w:t>
            </w:r>
          </w:p>
        </w:tc>
      </w:tr>
      <w:tr w:rsidR="000117AB" w:rsidRPr="002314A0" w14:paraId="60BC5C70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AEAAA75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70 to 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99F7AF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BFE2B9" w14:textId="04B689E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698723" w14:textId="1536211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71F879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55FA9F" w14:textId="7CA52C66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77C763B" w14:textId="1577C8E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8641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6F9C035" w14:textId="2E910D09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265</w:t>
            </w:r>
          </w:p>
        </w:tc>
      </w:tr>
      <w:tr w:rsidR="000117AB" w:rsidRPr="002314A0" w14:paraId="7DBCF39A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332621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80 to 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A99FB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01EB6D" w14:textId="69D4BBE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1AC1C" w14:textId="1AA6C90E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47D38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E4BF62" w14:textId="6CC27F9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A8EFE1F" w14:textId="281771CE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B2D11A8" w14:textId="02E0348A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408</w:t>
            </w:r>
          </w:p>
        </w:tc>
      </w:tr>
      <w:tr w:rsidR="000117AB" w:rsidRPr="002314A0" w14:paraId="486E00DB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DA456B" w14:textId="35C6C39B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Visible minority status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A5F80E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2A1749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CC426F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1D59FD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122B8E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B1DCEF6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1C2ED11" w14:textId="4B98FC34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3DAB3537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23A46E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White or Aboriginal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67E5C1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1449000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E5F622" w14:textId="21388E9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2021BC" w14:textId="04E2E676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B09A7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6E3C23" w14:textId="737F112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F05D6D7" w14:textId="061FE6F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8172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9592D23" w14:textId="3CC3B2BF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-322</w:t>
            </w:r>
          </w:p>
        </w:tc>
      </w:tr>
      <w:tr w:rsidR="000117AB" w:rsidRPr="002314A0" w14:paraId="726A03C3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C256508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Visible minority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A1CCE1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489100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3DC002" w14:textId="11C3074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BF8B3" w14:textId="28B0DCA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0BB0D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94BB44" w14:textId="215275D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8E0D580" w14:textId="677E9D1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8555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4B7E1A7" w14:textId="54660071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</w:t>
            </w:r>
          </w:p>
        </w:tc>
      </w:tr>
      <w:tr w:rsidR="000117AB" w:rsidRPr="002314A0" w14:paraId="3378BBA9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81F4F97" w14:textId="77777777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Immigrant status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3D4886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13E90A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FEC7E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058AB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D6691E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78B8B4E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9DE0CFE" w14:textId="471038F9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4CC4C2CA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9C41424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Non-immigrant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458970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1073100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657CB" w14:textId="01FA1EA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2D2DF" w14:textId="4A4C5B1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70A3D5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49EEA8" w14:textId="4563D0E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555796D" w14:textId="4E3E3470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27D7AA0" w14:textId="7E902400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</w:p>
        </w:tc>
      </w:tr>
      <w:tr w:rsidR="000117AB" w:rsidRPr="002314A0" w14:paraId="36F3A596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3719421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immigrant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4C85A4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865100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F9B47" w14:textId="7375F468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4BD33" w14:textId="38422E5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B0F2B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C19C98" w14:textId="2E1A636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8A140FF" w14:textId="4A7DE6E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8538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9E6043F" w14:textId="4F227125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-491</w:t>
            </w:r>
          </w:p>
        </w:tc>
      </w:tr>
      <w:tr w:rsidR="000117AB" w:rsidRPr="002314A0" w14:paraId="1F8490FF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C2433CC" w14:textId="77777777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E3FDD0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8CF332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AAECF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F13FE7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2D2868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073ED0F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CEA1D1D" w14:textId="54667961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6DCC3E2F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BB504B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0415EE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388500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A0647" w14:textId="0F2E258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FC22F" w14:textId="559213F0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7621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A97098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516A29" w14:textId="5EAD015E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D6272F2" w14:textId="35479A8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9776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9C6F9F7" w14:textId="62A912C5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</w:tr>
      <w:tr w:rsidR="000117AB" w:rsidRPr="002314A0" w14:paraId="0E9427AB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F7A76FA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Common-law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332FDC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BFD8FF" w14:textId="7862A49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F492D1" w14:textId="7EC9A41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B13025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0DB92" w14:textId="07E45C1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14471F7" w14:textId="24B0501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7B5E541" w14:textId="79CE1C01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-372</w:t>
            </w:r>
          </w:p>
        </w:tc>
      </w:tr>
      <w:tr w:rsidR="000117AB" w:rsidRPr="002314A0" w14:paraId="1A5B2F02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4C28E2E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D56A5B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1071900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5DF143" w14:textId="7B518BB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D66C3" w14:textId="2806C6C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5C355B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77E144" w14:textId="410C173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C09B543" w14:textId="06D57EA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8476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D1747D6" w14:textId="0BA3B488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-208</w:t>
            </w:r>
          </w:p>
        </w:tc>
      </w:tr>
      <w:tr w:rsidR="000117AB" w:rsidRPr="002314A0" w14:paraId="3790F912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72714F7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5C1085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57700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F2BD18" w14:textId="026B1C7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D2872" w14:textId="128CBF8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157874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BAC837" w14:textId="587FFCA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F9FCA28" w14:textId="24D2B3E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B6146B0" w14:textId="4B456C33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-959</w:t>
            </w:r>
          </w:p>
        </w:tc>
      </w:tr>
      <w:tr w:rsidR="000117AB" w:rsidRPr="002314A0" w14:paraId="12B823B1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FAFEF05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Divorced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717799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128100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05E7D2" w14:textId="6230DC3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9B48D1" w14:textId="623C0D0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45587D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606FE1" w14:textId="6578707B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DB0D49E" w14:textId="5CE4DD20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4B2974E" w14:textId="0CAAED05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-361</w:t>
            </w:r>
          </w:p>
        </w:tc>
      </w:tr>
      <w:tr w:rsidR="000117AB" w:rsidRPr="002314A0" w14:paraId="5A92EEB1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D3E0921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F109F0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6F296" w14:textId="077D575F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53962" w14:textId="148D549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575D17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9AF1D5" w14:textId="3305180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73C2DE0" w14:textId="5DEE65A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7349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1F2AA45B" w14:textId="052A7925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194</w:t>
            </w:r>
          </w:p>
        </w:tc>
      </w:tr>
      <w:tr w:rsidR="000117AB" w:rsidRPr="002314A0" w14:paraId="535BC28D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1DBE87F" w14:textId="77777777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Educational attainment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733510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C79A5A" w14:textId="07D8E454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94C22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A7B4E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09600F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8B7220C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4F3A21E" w14:textId="7A4B5EAB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6CD09D96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243901D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Not completed high school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FC69CB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491300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398F9" w14:textId="6E8D87C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C03530" w14:textId="2C13E4B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55D23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2D45D" w14:textId="16B1834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CE9ED05" w14:textId="0DCE547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7844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02A84AF" w14:textId="52DCEA34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275</w:t>
            </w:r>
          </w:p>
        </w:tc>
      </w:tr>
      <w:tr w:rsidR="000117AB" w:rsidRPr="002314A0" w14:paraId="2BB7A26E" w14:textId="77777777" w:rsidTr="000117AB">
        <w:trPr>
          <w:trHeight w:val="500"/>
        </w:trPr>
        <w:tc>
          <w:tcPr>
            <w:tcW w:w="2825" w:type="dxa"/>
            <w:shd w:val="clear" w:color="auto" w:fill="auto"/>
            <w:vAlign w:val="bottom"/>
            <w:hideMark/>
          </w:tcPr>
          <w:p w14:paraId="1A3A7250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High school with/without       trades certificate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40336A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146DE" w14:textId="469E432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0898EC" w14:textId="6F702EA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F93B1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1ADBD" w14:textId="25DFD31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5E30D98" w14:textId="4B9CC438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9428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C9A2D00" w14:textId="6FF745CD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-799</w:t>
            </w:r>
          </w:p>
        </w:tc>
      </w:tr>
      <w:tr w:rsidR="000117AB" w:rsidRPr="002314A0" w14:paraId="3FA4FC72" w14:textId="77777777" w:rsidTr="000117AB">
        <w:trPr>
          <w:trHeight w:val="330"/>
        </w:trPr>
        <w:tc>
          <w:tcPr>
            <w:tcW w:w="2825" w:type="dxa"/>
            <w:shd w:val="clear" w:color="auto" w:fill="auto"/>
            <w:vAlign w:val="bottom"/>
            <w:hideMark/>
          </w:tcPr>
          <w:p w14:paraId="3EDF149A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Post-secondary non-university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262C18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764785" w14:textId="4082AD4C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29900" w14:textId="5DFC690B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46D1D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6AE2C0" w14:textId="106C4D58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189CB45" w14:textId="2EDDF65B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8436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1CAAC368" w14:textId="2A92374A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-1042</w:t>
            </w:r>
          </w:p>
        </w:tc>
      </w:tr>
      <w:tr w:rsidR="000117AB" w:rsidRPr="002314A0" w14:paraId="63FB64C1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77569A5" w14:textId="77777777" w:rsidR="00C70996" w:rsidRPr="002314A0" w:rsidRDefault="00C70996" w:rsidP="002314A0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University degree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2BCAE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ED1B9B" w14:textId="703F01B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48CC38" w14:textId="7040A4DA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F620D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F1612B" w14:textId="0BEFFA9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3297D4B" w14:textId="25A5716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7804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E7067B1" w14:textId="5F1A1B78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-281</w:t>
            </w:r>
          </w:p>
        </w:tc>
      </w:tr>
      <w:tr w:rsidR="000117AB" w:rsidRPr="002314A0" w14:paraId="3A5F23AE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E55238B" w14:textId="77777777" w:rsidR="00C70996" w:rsidRPr="002314A0" w:rsidRDefault="00C70996" w:rsidP="002314A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Income adequacy quintile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4166C2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100375" w14:textId="4BFC5C35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617753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B5A22" w14:textId="77777777" w:rsidR="00C70996" w:rsidRPr="002314A0" w:rsidRDefault="00C70996" w:rsidP="002314A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2D9FEB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D5CE4D8" w14:textId="77777777" w:rsidR="00C70996" w:rsidRPr="002314A0" w:rsidRDefault="00C70996" w:rsidP="002314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B771DAA" w14:textId="387BBD8F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17AB" w:rsidRPr="002314A0" w14:paraId="775C608E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EE89EA7" w14:textId="77777777" w:rsidR="00C70996" w:rsidRPr="002314A0" w:rsidRDefault="00C70996" w:rsidP="002314A0">
            <w:pPr>
              <w:ind w:firstLineChars="100" w:firstLine="20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1st quintile - lowest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1B61B4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437100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802C1A" w14:textId="3C30CF46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28C913" w14:textId="44D0EA12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69966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279A12" w14:textId="7FE8401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F4E9157" w14:textId="57D7334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8197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DCFBECB" w14:textId="310BE0C9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-387</w:t>
            </w:r>
          </w:p>
        </w:tc>
      </w:tr>
      <w:tr w:rsidR="000117AB" w:rsidRPr="002314A0" w14:paraId="30F90613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DF11A01" w14:textId="77777777" w:rsidR="00C70996" w:rsidRPr="002314A0" w:rsidRDefault="00C70996" w:rsidP="002314A0">
            <w:pPr>
              <w:ind w:firstLineChars="100" w:firstLine="20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2nd quintile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7F59EE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A9B077" w14:textId="378C808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39720" w14:textId="1B31F7D9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2994EC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2E398" w14:textId="58AD0010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E223176" w14:textId="0D86621C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8476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60EA0A2" w14:textId="44726D50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</w:t>
            </w:r>
          </w:p>
        </w:tc>
      </w:tr>
      <w:tr w:rsidR="000117AB" w:rsidRPr="002314A0" w14:paraId="7116595A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C6AC491" w14:textId="77777777" w:rsidR="00C70996" w:rsidRPr="002314A0" w:rsidRDefault="00C70996" w:rsidP="002314A0">
            <w:pPr>
              <w:ind w:firstLineChars="100" w:firstLine="20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3rd quintile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03DB53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01C12A" w14:textId="242B9B8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5C4311" w14:textId="2F8EA24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5E913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4B4829" w14:textId="1A3404E8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D1C0098" w14:textId="1A9D680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8439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43845F0" w14:textId="589E1F6D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-209</w:t>
            </w:r>
          </w:p>
        </w:tc>
      </w:tr>
      <w:tr w:rsidR="000117AB" w:rsidRPr="002314A0" w14:paraId="3137A0CC" w14:textId="77777777" w:rsidTr="000117AB">
        <w:trPr>
          <w:trHeight w:val="30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16ECFE1" w14:textId="77777777" w:rsidR="00C70996" w:rsidRPr="002314A0" w:rsidRDefault="00C70996" w:rsidP="002314A0">
            <w:pPr>
              <w:ind w:firstLineChars="100" w:firstLine="20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4th quintile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2999B9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FAFD6A" w14:textId="37FB4844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89B1E" w14:textId="6E295A11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3BAB1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DE0E9D" w14:textId="3BFAA90C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4E36FAF" w14:textId="3B3BFF43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17F7A84" w14:textId="45152A7F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-785</w:t>
            </w:r>
          </w:p>
        </w:tc>
      </w:tr>
      <w:tr w:rsidR="000117AB" w:rsidRPr="002314A0" w14:paraId="178E1537" w14:textId="77777777" w:rsidTr="000117AB">
        <w:trPr>
          <w:trHeight w:val="32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E207150" w14:textId="77777777" w:rsidR="00C70996" w:rsidRPr="002314A0" w:rsidRDefault="00C70996" w:rsidP="002314A0">
            <w:pPr>
              <w:ind w:firstLineChars="100" w:firstLine="20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5th quintile - highest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A7D8EC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39C993" w14:textId="3E101C9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6DF59" w14:textId="054DB39D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33618" w14:textId="77777777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9F0B9D" w14:textId="0B259610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01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68D5829" w14:textId="5876BAF5" w:rsidR="00C70996" w:rsidRPr="002314A0" w:rsidRDefault="00C70996" w:rsidP="002314A0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BC2D617" w14:textId="428F4B7C" w:rsidR="00C70996" w:rsidRPr="002314A0" w:rsidRDefault="00C70996" w:rsidP="000117A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4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277</w:t>
            </w:r>
          </w:p>
        </w:tc>
      </w:tr>
    </w:tbl>
    <w:p w14:paraId="19D33506" w14:textId="778B7920" w:rsidR="002314A0" w:rsidRDefault="000117A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Numbers are rounded to the nearest 100 for confidentiality</w:t>
      </w:r>
    </w:p>
    <w:p w14:paraId="60CAD6E1" w14:textId="53D7ABB6" w:rsidR="008B440D" w:rsidRPr="008B440D" w:rsidRDefault="005266E3" w:rsidP="008B440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lastRenderedPageBreak/>
        <w:t>e</w:t>
      </w:r>
      <w:r w:rsidR="008B440D" w:rsidRPr="008B440D">
        <w:rPr>
          <w:rFonts w:asciiTheme="majorHAnsi" w:hAnsiTheme="majorHAnsi" w:cstheme="majorHAnsi"/>
          <w:b/>
          <w:color w:val="000000" w:themeColor="text1"/>
        </w:rPr>
        <w:t xml:space="preserve">Table 2. </w:t>
      </w:r>
      <w:r w:rsidR="008B440D" w:rsidRPr="008B440D">
        <w:rPr>
          <w:rFonts w:asciiTheme="majorHAnsi" w:hAnsiTheme="majorHAnsi" w:cstheme="majorHAnsi"/>
          <w:color w:val="000000" w:themeColor="text1"/>
        </w:rPr>
        <w:t>Descriptive statistics for brain tumor</w:t>
      </w:r>
      <w:r w:rsidR="008B440D">
        <w:rPr>
          <w:rFonts w:asciiTheme="majorHAnsi" w:hAnsiTheme="majorHAnsi" w:cstheme="majorHAnsi"/>
          <w:color w:val="000000" w:themeColor="text1"/>
        </w:rPr>
        <w:t xml:space="preserve"> </w:t>
      </w:r>
      <w:r w:rsidR="008B440D" w:rsidRPr="008B440D">
        <w:rPr>
          <w:rFonts w:asciiTheme="majorHAnsi" w:hAnsiTheme="majorHAnsi" w:cstheme="majorHAnsi"/>
          <w:color w:val="000000" w:themeColor="text1"/>
        </w:rPr>
        <w:t xml:space="preserve">cases </w:t>
      </w:r>
      <w:r w:rsidR="008B440D" w:rsidRPr="008B440D">
        <w:rPr>
          <w:rFonts w:asciiTheme="majorHAnsi" w:hAnsiTheme="majorHAnsi" w:cstheme="majorHAnsi"/>
          <w:color w:val="000000" w:themeColor="text1"/>
          <w:lang w:val="fr-FR"/>
        </w:rPr>
        <w:t xml:space="preserve">(ICD-10-codes: C71.0 – C71.9) </w:t>
      </w:r>
      <w:r w:rsidR="008B440D" w:rsidRPr="008B440D">
        <w:rPr>
          <w:rFonts w:asciiTheme="majorHAnsi" w:hAnsiTheme="majorHAnsi" w:cstheme="majorHAnsi"/>
          <w:color w:val="000000" w:themeColor="text1"/>
        </w:rPr>
        <w:t>in</w:t>
      </w:r>
      <w:r w:rsidR="008B440D">
        <w:rPr>
          <w:rFonts w:asciiTheme="majorHAnsi" w:hAnsiTheme="majorHAnsi" w:cstheme="majorHAnsi"/>
          <w:color w:val="000000" w:themeColor="text1"/>
        </w:rPr>
        <w:t xml:space="preserve"> Montreal and Toronto, Canada (2001-2016)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8B440D" w:rsidRPr="008B440D" w14:paraId="786E15CC" w14:textId="77777777" w:rsidTr="00B1116E">
        <w:trPr>
          <w:trHeight w:val="34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F0C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Covariates</w:t>
            </w:r>
          </w:p>
          <w:p w14:paraId="528AFC1F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B08" w14:textId="021009D1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Brain tumor</w:t>
            </w:r>
            <w:r w:rsidR="00CF1E5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Cases</w:t>
            </w: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  <w:p w14:paraId="4F3D2981" w14:textId="2259E3D8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 (%)</w:t>
            </w:r>
          </w:p>
        </w:tc>
      </w:tr>
      <w:tr w:rsidR="008B440D" w:rsidRPr="008B440D" w14:paraId="3972C389" w14:textId="77777777" w:rsidTr="00B1116E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472E71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CD7E4A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1400 (100)</w:t>
            </w:r>
          </w:p>
        </w:tc>
      </w:tr>
      <w:tr w:rsidR="008B440D" w:rsidRPr="008B440D" w14:paraId="6B2CBBAB" w14:textId="77777777" w:rsidTr="00B1116E">
        <w:trPr>
          <w:trHeight w:val="300"/>
        </w:trPr>
        <w:tc>
          <w:tcPr>
            <w:tcW w:w="52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432EB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2142C" w14:textId="24901225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5CB6ECD7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E287E3E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27FD262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600 (42.9)</w:t>
            </w:r>
          </w:p>
        </w:tc>
      </w:tr>
      <w:tr w:rsidR="008B440D" w:rsidRPr="008B440D" w14:paraId="6B20D98B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0A8DBE1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083689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800 (57.1)</w:t>
            </w:r>
          </w:p>
        </w:tc>
      </w:tr>
      <w:tr w:rsidR="008B440D" w:rsidRPr="008B440D" w14:paraId="27AEB263" w14:textId="77777777" w:rsidTr="00B1116E">
        <w:trPr>
          <w:trHeight w:val="34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646970A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Age at enrollment (years)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D1D4A0D" w14:textId="4614DA4D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5DDB1EC1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3FE3563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25 to 29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A53045B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 (3.6)</w:t>
            </w:r>
          </w:p>
        </w:tc>
      </w:tr>
      <w:tr w:rsidR="008B440D" w:rsidRPr="008B440D" w14:paraId="5DEFC613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A37AA28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30 to 39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487846C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(14.3)</w:t>
            </w:r>
          </w:p>
        </w:tc>
      </w:tr>
      <w:tr w:rsidR="008B440D" w:rsidRPr="008B440D" w14:paraId="2F6F1024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28EB280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40 to 49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762AC0B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(21.4)</w:t>
            </w:r>
          </w:p>
        </w:tc>
      </w:tr>
      <w:tr w:rsidR="008B440D" w:rsidRPr="008B440D" w14:paraId="0F423DBC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2CB0F5E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50 to 59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3195E44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(21.4)</w:t>
            </w:r>
          </w:p>
        </w:tc>
      </w:tr>
      <w:tr w:rsidR="008B440D" w:rsidRPr="008B440D" w14:paraId="236CEA14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B46FF67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60 to 69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DC115C4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(21.4)</w:t>
            </w:r>
          </w:p>
        </w:tc>
      </w:tr>
      <w:tr w:rsidR="008B440D" w:rsidRPr="008B440D" w14:paraId="7CC88B18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45CCE12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70 to 79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75A42FC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(14.3)</w:t>
            </w:r>
          </w:p>
        </w:tc>
      </w:tr>
      <w:tr w:rsidR="008B440D" w:rsidRPr="008B440D" w14:paraId="4A18E705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48D17D9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80 to 89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3D8AAB0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 (3.6)</w:t>
            </w:r>
          </w:p>
        </w:tc>
      </w:tr>
      <w:tr w:rsidR="008B440D" w:rsidRPr="008B440D" w14:paraId="14CFD653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86396CA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Visible Minority Status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F9C9368" w14:textId="2907930B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69C463E4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45DE3F4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White or Aboriginal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FECB27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1200 (85.7)</w:t>
            </w:r>
          </w:p>
        </w:tc>
      </w:tr>
      <w:tr w:rsidR="008B440D" w:rsidRPr="008B440D" w14:paraId="5AC82D27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E392208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Visible minority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0DB5E94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(14.3)</w:t>
            </w:r>
          </w:p>
        </w:tc>
      </w:tr>
      <w:tr w:rsidR="008B440D" w:rsidRPr="008B440D" w14:paraId="46AE5669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C7925C2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Immigrant status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EAA4F3A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0177EB76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935DB07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Non-immigrant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2207011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800 (57.1)</w:t>
            </w:r>
          </w:p>
        </w:tc>
      </w:tr>
      <w:tr w:rsidR="008B440D" w:rsidRPr="008B440D" w14:paraId="32B2E21F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090B294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immigrant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A1FD81E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600 (42.9)</w:t>
            </w:r>
          </w:p>
        </w:tc>
      </w:tr>
      <w:tr w:rsidR="008B440D" w:rsidRPr="008B440D" w14:paraId="59F51039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3999668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62BD0C7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4A486171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97C41CF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Single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EF579A5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(14.3)</w:t>
            </w:r>
          </w:p>
        </w:tc>
      </w:tr>
      <w:tr w:rsidR="008B440D" w:rsidRPr="008B440D" w14:paraId="4DCBAD0E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CF1639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Common-law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4947150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 (7.1)</w:t>
            </w:r>
          </w:p>
        </w:tc>
      </w:tr>
      <w:tr w:rsidR="008B440D" w:rsidRPr="008B440D" w14:paraId="6264D2AF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9BAC542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Married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D2E4048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900 (64.3)</w:t>
            </w:r>
          </w:p>
        </w:tc>
      </w:tr>
      <w:tr w:rsidR="008B440D" w:rsidRPr="008B440D" w14:paraId="799588BD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0F37D2F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Separated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8164659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 (3.6)</w:t>
            </w:r>
          </w:p>
        </w:tc>
      </w:tr>
      <w:tr w:rsidR="008B440D" w:rsidRPr="008B440D" w14:paraId="58AE188B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8ABB4A4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Divorced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E3DECB0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 (7.1)</w:t>
            </w:r>
          </w:p>
        </w:tc>
      </w:tr>
      <w:tr w:rsidR="008B440D" w:rsidRPr="008B440D" w14:paraId="49334876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9F06909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Widowed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6FA3E43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 (7.1)</w:t>
            </w:r>
          </w:p>
        </w:tc>
      </w:tr>
      <w:tr w:rsidR="008B440D" w:rsidRPr="008B440D" w14:paraId="4EE74341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F6FB294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Educational attainment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B22BE32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0F8A013C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90BEC35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Not completed high school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9716DB0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400 (30.6)</w:t>
            </w:r>
          </w:p>
        </w:tc>
      </w:tr>
      <w:tr w:rsidR="008B440D" w:rsidRPr="008B440D" w14:paraId="49A77918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</w:tcPr>
          <w:p w14:paraId="3C5E1DDC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High school with/without trades certificate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1AC4A35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400 (30.6)</w:t>
            </w:r>
          </w:p>
        </w:tc>
      </w:tr>
      <w:tr w:rsidR="008B440D" w:rsidRPr="008B440D" w14:paraId="230768A6" w14:textId="77777777" w:rsidTr="00B1116E">
        <w:trPr>
          <w:trHeight w:val="330"/>
        </w:trPr>
        <w:tc>
          <w:tcPr>
            <w:tcW w:w="5245" w:type="dxa"/>
            <w:shd w:val="clear" w:color="auto" w:fill="auto"/>
            <w:vAlign w:val="bottom"/>
            <w:hideMark/>
          </w:tcPr>
          <w:p w14:paraId="38DD5D25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Post-secondary non-university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F4B339A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(13.8)</w:t>
            </w:r>
          </w:p>
        </w:tc>
      </w:tr>
      <w:tr w:rsidR="008B440D" w:rsidRPr="008B440D" w14:paraId="6FEFCAC0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E4669A4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University degree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E4FA168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  <w:tr w:rsidR="008B440D" w:rsidRPr="008B440D" w14:paraId="1F0E36CD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D421BE3" w14:textId="77777777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Occupational level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C34C249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69BBBCB2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F590680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55B46E7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 (7.1)</w:t>
            </w:r>
          </w:p>
        </w:tc>
      </w:tr>
      <w:tr w:rsidR="008B440D" w:rsidRPr="008B440D" w14:paraId="19E29947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242DC04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Professional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9FF801D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(14.3)</w:t>
            </w:r>
          </w:p>
        </w:tc>
      </w:tr>
      <w:tr w:rsidR="008B440D" w:rsidRPr="008B440D" w14:paraId="2738C38D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51EE9DF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Skilled, technical &amp; supervisory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DFEE8E1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 (14.3)</w:t>
            </w:r>
          </w:p>
        </w:tc>
      </w:tr>
      <w:tr w:rsidR="008B440D" w:rsidRPr="008B440D" w14:paraId="7F9CFFE0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7B2BA76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Semi-skilled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EA80A39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  <w:tr w:rsidR="008B440D" w:rsidRPr="008B440D" w14:paraId="513ABA29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511260B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Unskilled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DED3C9A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 (7.1)</w:t>
            </w:r>
          </w:p>
        </w:tc>
      </w:tr>
      <w:tr w:rsidR="008B440D" w:rsidRPr="008B440D" w14:paraId="6AA0758A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04850B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970E225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500 (35.7)</w:t>
            </w:r>
          </w:p>
        </w:tc>
      </w:tr>
      <w:tr w:rsidR="008B440D" w:rsidRPr="008B440D" w14:paraId="2FE4D2A9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21A45B7" w14:textId="77777777" w:rsid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1705B7BC" w14:textId="77777777" w:rsidR="00B1116E" w:rsidRDefault="00B1116E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6AC6DE9E" w14:textId="5784A6F4" w:rsidR="008B440D" w:rsidRPr="008B440D" w:rsidRDefault="008B440D" w:rsidP="008B440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lastRenderedPageBreak/>
              <w:t>Income adequacy quintile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A573DA5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B440D" w:rsidRPr="008B440D" w14:paraId="3504A6CA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8727090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1st quintile - lowest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95535FA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  <w:tr w:rsidR="008B440D" w:rsidRPr="008B440D" w14:paraId="0D6B7516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E7F6D9A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2nd quintile </w:t>
            </w:r>
          </w:p>
        </w:tc>
        <w:tc>
          <w:tcPr>
            <w:tcW w:w="3686" w:type="dxa"/>
            <w:shd w:val="clear" w:color="auto" w:fill="auto"/>
            <w:noWrap/>
          </w:tcPr>
          <w:p w14:paraId="499C54BB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  <w:tr w:rsidR="008B440D" w:rsidRPr="008B440D" w14:paraId="7D473D4E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E7776BA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3rd quintile</w:t>
            </w:r>
          </w:p>
        </w:tc>
        <w:tc>
          <w:tcPr>
            <w:tcW w:w="3686" w:type="dxa"/>
            <w:shd w:val="clear" w:color="auto" w:fill="auto"/>
            <w:noWrap/>
          </w:tcPr>
          <w:p w14:paraId="78129E13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  <w:tr w:rsidR="008B440D" w:rsidRPr="008B440D" w14:paraId="58415405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107C3A9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4th quintile</w:t>
            </w:r>
          </w:p>
        </w:tc>
        <w:tc>
          <w:tcPr>
            <w:tcW w:w="3686" w:type="dxa"/>
            <w:shd w:val="clear" w:color="auto" w:fill="auto"/>
            <w:noWrap/>
          </w:tcPr>
          <w:p w14:paraId="11E9FAA5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  <w:tr w:rsidR="008B440D" w:rsidRPr="008B440D" w14:paraId="5D2A3873" w14:textId="77777777" w:rsidTr="00B1116E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D4139FA" w14:textId="77777777" w:rsidR="008B440D" w:rsidRPr="008B440D" w:rsidRDefault="008B440D" w:rsidP="008B440D">
            <w:pPr>
              <w:ind w:firstLineChars="100" w:firstLine="20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5th quintile - highest</w:t>
            </w:r>
          </w:p>
        </w:tc>
        <w:tc>
          <w:tcPr>
            <w:tcW w:w="3686" w:type="dxa"/>
            <w:shd w:val="clear" w:color="auto" w:fill="auto"/>
            <w:noWrap/>
          </w:tcPr>
          <w:p w14:paraId="2A5A16D2" w14:textId="77777777" w:rsidR="008B440D" w:rsidRPr="008B440D" w:rsidRDefault="008B440D" w:rsidP="008B440D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B44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 (23.9)</w:t>
            </w:r>
          </w:p>
        </w:tc>
      </w:tr>
    </w:tbl>
    <w:p w14:paraId="07EA1E57" w14:textId="114668D9" w:rsidR="008B440D" w:rsidRPr="008B440D" w:rsidRDefault="008B440D" w:rsidP="008B440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B440D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a</w:t>
      </w:r>
      <w:r w:rsidRPr="008B440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Numbers were rounded to the nearest 100 for confidentiality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as required by Statistics Canada </w:t>
      </w:r>
      <w:r w:rsidRPr="008B440D">
        <w:rPr>
          <w:rFonts w:asciiTheme="majorHAnsi" w:hAnsiTheme="majorHAnsi" w:cstheme="majorHAnsi"/>
          <w:color w:val="000000" w:themeColor="text1"/>
          <w:sz w:val="20"/>
          <w:szCs w:val="20"/>
        </w:rPr>
        <w:t>and may not always add up to the total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(100%).</w:t>
      </w:r>
    </w:p>
    <w:p w14:paraId="6C8FB976" w14:textId="47AA7372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11BB174" w14:textId="4E73B590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48092A0E" w14:textId="229F45A3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533F3CEE" w14:textId="3C115193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F734971" w14:textId="04D57A7A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0CC848B4" w14:textId="7A99E592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D091D7A" w14:textId="61BCD2DF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23F2911A" w14:textId="2BB54EFD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65A410C1" w14:textId="6223BBF0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0FEDE1BF" w14:textId="33FA2405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E44A02C" w14:textId="49C16EFB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CCB7977" w14:textId="44FF7B62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82D3E70" w14:textId="1AC10E61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B5161D9" w14:textId="7C23AE06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FD82778" w14:textId="226F1A36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B4D4796" w14:textId="7EC00148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26FE256A" w14:textId="7EEE0987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0CF07ED3" w14:textId="013E2505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481EE56A" w14:textId="645400FA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05B66A97" w14:textId="4223C852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1C8C4BB" w14:textId="3E303D0F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5BA33D7E" w14:textId="207AEAD5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268FC1FA" w14:textId="74114A11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56535B7F" w14:textId="56E9F193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67E57775" w14:textId="6924A249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3D72C21B" w14:textId="768D5BC0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2805BBB4" w14:textId="7EFEB20B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0C013F0B" w14:textId="26DC43F7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6B2832B2" w14:textId="002DB9F3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5434650" w14:textId="30ED5D42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D1F67F3" w14:textId="58E386E1" w:rsidR="008B440D" w:rsidRDefault="008B440D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2BBA4905" w14:textId="77777777" w:rsidR="008B440D" w:rsidRDefault="008B440D" w:rsidP="00857053">
      <w:pPr>
        <w:rPr>
          <w:rFonts w:asciiTheme="majorHAnsi" w:hAnsiTheme="majorHAnsi" w:cstheme="majorHAnsi"/>
          <w:b/>
          <w:color w:val="0432FF"/>
        </w:rPr>
      </w:pPr>
    </w:p>
    <w:p w14:paraId="5E8A118A" w14:textId="77777777" w:rsidR="00B1116E" w:rsidRDefault="00B1116E" w:rsidP="00857053">
      <w:pPr>
        <w:rPr>
          <w:rFonts w:asciiTheme="majorHAnsi" w:hAnsiTheme="majorHAnsi" w:cstheme="majorHAnsi"/>
          <w:b/>
          <w:color w:val="0432FF"/>
        </w:rPr>
      </w:pPr>
    </w:p>
    <w:p w14:paraId="4BD0FE6D" w14:textId="77777777" w:rsidR="00B1116E" w:rsidRDefault="00B1116E" w:rsidP="00857053">
      <w:pPr>
        <w:rPr>
          <w:rFonts w:asciiTheme="majorHAnsi" w:hAnsiTheme="majorHAnsi" w:cstheme="majorHAnsi"/>
          <w:b/>
          <w:color w:val="0432FF"/>
        </w:rPr>
      </w:pPr>
    </w:p>
    <w:p w14:paraId="1E605A96" w14:textId="77777777" w:rsidR="00B1116E" w:rsidRDefault="00B1116E" w:rsidP="00857053">
      <w:pPr>
        <w:rPr>
          <w:rFonts w:asciiTheme="majorHAnsi" w:hAnsiTheme="majorHAnsi" w:cstheme="majorHAnsi"/>
          <w:b/>
          <w:color w:val="0432FF"/>
        </w:rPr>
      </w:pPr>
    </w:p>
    <w:p w14:paraId="53B9E801" w14:textId="77777777" w:rsidR="00B1116E" w:rsidRDefault="00B1116E" w:rsidP="00857053">
      <w:pPr>
        <w:rPr>
          <w:rFonts w:asciiTheme="majorHAnsi" w:hAnsiTheme="majorHAnsi" w:cstheme="majorHAnsi"/>
          <w:b/>
          <w:color w:val="0432FF"/>
        </w:rPr>
      </w:pPr>
    </w:p>
    <w:p w14:paraId="669BC295" w14:textId="1345E866" w:rsidR="00857053" w:rsidRPr="00B1116E" w:rsidRDefault="005266E3" w:rsidP="00857053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lastRenderedPageBreak/>
        <w:t>e</w:t>
      </w:r>
      <w:r w:rsidR="00857053" w:rsidRPr="00B1116E">
        <w:rPr>
          <w:rFonts w:asciiTheme="majorHAnsi" w:hAnsiTheme="majorHAnsi" w:cstheme="majorHAnsi"/>
          <w:b/>
          <w:color w:val="000000" w:themeColor="text1"/>
        </w:rPr>
        <w:t xml:space="preserve">Table </w:t>
      </w:r>
      <w:r w:rsidR="00B1116E" w:rsidRPr="00B1116E">
        <w:rPr>
          <w:rFonts w:asciiTheme="majorHAnsi" w:hAnsiTheme="majorHAnsi" w:cstheme="majorHAnsi"/>
          <w:b/>
          <w:color w:val="000000" w:themeColor="text1"/>
        </w:rPr>
        <w:t>3</w:t>
      </w:r>
      <w:r w:rsidR="00857053" w:rsidRPr="00B1116E">
        <w:rPr>
          <w:rFonts w:asciiTheme="majorHAnsi" w:hAnsiTheme="majorHAnsi" w:cstheme="majorHAnsi"/>
          <w:b/>
          <w:color w:val="000000" w:themeColor="text1"/>
        </w:rPr>
        <w:t xml:space="preserve">. </w:t>
      </w:r>
      <w:r w:rsidR="00857053" w:rsidRPr="00B1116E">
        <w:rPr>
          <w:rFonts w:asciiTheme="majorHAnsi" w:hAnsiTheme="majorHAnsi" w:cstheme="majorHAnsi"/>
          <w:color w:val="000000" w:themeColor="text1"/>
        </w:rPr>
        <w:t>Hazard ratios (95% confidence intervals) for PM</w:t>
      </w:r>
      <w:r w:rsidR="00857053" w:rsidRPr="00B1116E">
        <w:rPr>
          <w:rFonts w:asciiTheme="majorHAnsi" w:hAnsiTheme="majorHAnsi" w:cstheme="majorHAnsi"/>
          <w:color w:val="000000" w:themeColor="text1"/>
          <w:vertAlign w:val="subscript"/>
        </w:rPr>
        <w:t>2.5</w:t>
      </w:r>
      <w:r w:rsidR="00857053" w:rsidRPr="00B1116E">
        <w:rPr>
          <w:rFonts w:asciiTheme="majorHAnsi" w:hAnsiTheme="majorHAnsi" w:cstheme="majorHAnsi"/>
          <w:color w:val="000000" w:themeColor="text1"/>
        </w:rPr>
        <w:t xml:space="preserve"> concentrations (per 3 ug/m</w:t>
      </w:r>
      <w:r w:rsidR="00857053" w:rsidRPr="00B1116E">
        <w:rPr>
          <w:rFonts w:asciiTheme="majorHAnsi" w:hAnsiTheme="majorHAnsi" w:cstheme="majorHAnsi"/>
          <w:color w:val="000000" w:themeColor="text1"/>
          <w:vertAlign w:val="superscript"/>
        </w:rPr>
        <w:t>3</w:t>
      </w:r>
      <w:r w:rsidR="00857053" w:rsidRPr="00B1116E">
        <w:rPr>
          <w:rFonts w:asciiTheme="majorHAnsi" w:hAnsiTheme="majorHAnsi" w:cstheme="majorHAnsi"/>
          <w:color w:val="000000" w:themeColor="text1"/>
        </w:rPr>
        <w:t>) and incident brain tumours (n=1400) in Montreal and Toronto, Canada (2001-2016)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044563" w:rsidRPr="00B1116E" w14:paraId="28B3CDD3" w14:textId="77777777" w:rsidTr="008B440D">
        <w:trPr>
          <w:trHeight w:val="311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945440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Model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70EFFF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HR (95% CI)</w:t>
            </w:r>
          </w:p>
        </w:tc>
      </w:tr>
      <w:tr w:rsidR="00044563" w:rsidRPr="00B1116E" w14:paraId="27CF7263" w14:textId="77777777" w:rsidTr="008B440D">
        <w:trPr>
          <w:trHeight w:val="325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BD65F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Base Model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BAF43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0.772 (0.547, 1.092)</w:t>
            </w:r>
          </w:p>
        </w:tc>
      </w:tr>
      <w:tr w:rsidR="00044563" w:rsidRPr="00B1116E" w14:paraId="422C7286" w14:textId="77777777" w:rsidTr="008B440D">
        <w:trPr>
          <w:trHeight w:val="32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F9A9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Base Model + SES</w:t>
            </w: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  <w:vertAlign w:val="superscript"/>
              </w:rPr>
              <w:t>b</w:t>
            </w: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Variables (Individually)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D9CFE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</w:tr>
      <w:tr w:rsidR="00044563" w:rsidRPr="00B1116E" w14:paraId="71137A26" w14:textId="77777777" w:rsidTr="008B440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45A4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Visible Minority Status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66F95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0.754 (0.535, 1.063)</w:t>
            </w:r>
          </w:p>
        </w:tc>
      </w:tr>
      <w:tr w:rsidR="00044563" w:rsidRPr="00B1116E" w14:paraId="089ADDDE" w14:textId="77777777" w:rsidTr="008B440D">
        <w:trPr>
          <w:trHeight w:val="30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1E78A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Occupational Level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C439E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0.776 (0.549, 1.097)</w:t>
            </w:r>
          </w:p>
        </w:tc>
      </w:tr>
      <w:tr w:rsidR="00044563" w:rsidRPr="00B1116E" w14:paraId="769CA9C6" w14:textId="77777777" w:rsidTr="008B440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E3C7B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Education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30251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0.770 (0.544, 1089)</w:t>
            </w:r>
          </w:p>
        </w:tc>
      </w:tr>
      <w:tr w:rsidR="00044563" w:rsidRPr="00B1116E" w14:paraId="01D34B40" w14:textId="77777777" w:rsidTr="008B440D">
        <w:trPr>
          <w:trHeight w:val="30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A14A7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Marital Status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73119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0.790 (0.558. 1.118)</w:t>
            </w:r>
          </w:p>
        </w:tc>
      </w:tr>
      <w:tr w:rsidR="00044563" w:rsidRPr="00B1116E" w14:paraId="02532808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A8E73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Income Quintile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78E19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0.782 (0.553, 1.106)</w:t>
            </w:r>
          </w:p>
        </w:tc>
      </w:tr>
      <w:tr w:rsidR="00044563" w:rsidRPr="00B1116E" w14:paraId="6B8CCA8E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3714E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Base Model + Co-Pollutants (Individually)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E923C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</w:tr>
      <w:tr w:rsidR="00044563" w:rsidRPr="00B1116E" w14:paraId="25C33D13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A3B9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NO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A6AF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0.856 (0.573, 1.277)</w:t>
            </w:r>
          </w:p>
        </w:tc>
      </w:tr>
      <w:tr w:rsidR="00044563" w:rsidRPr="00B1116E" w14:paraId="39E30054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ACFE7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UFPs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AE22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0.718 (0.399, 1.290)</w:t>
            </w:r>
          </w:p>
        </w:tc>
      </w:tr>
      <w:tr w:rsidR="00044563" w:rsidRPr="00B1116E" w14:paraId="00CFA0B1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07646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Fully Adjusted Multi-Pollutant Models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63A84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</w:tr>
      <w:tr w:rsidR="00044563" w:rsidRPr="00B1116E" w14:paraId="09FF7E54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44566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71C25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0.769 (0.544, 1.086)</w:t>
            </w:r>
          </w:p>
        </w:tc>
      </w:tr>
      <w:tr w:rsidR="00044563" w:rsidRPr="00B1116E" w14:paraId="0D980EB6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E098D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NO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12012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0.803 (0.538, 1.199)</w:t>
            </w:r>
          </w:p>
        </w:tc>
      </w:tr>
      <w:tr w:rsidR="00044563" w:rsidRPr="00B1116E" w14:paraId="02B8D134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0A20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UFPs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63555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0.673 (0.374, 1.212)</w:t>
            </w:r>
          </w:p>
        </w:tc>
      </w:tr>
      <w:tr w:rsidR="00044563" w:rsidRPr="00B1116E" w14:paraId="1A0A078D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E6AC5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UFPs + NO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2C7DD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0.697 (0.388, 1.255)</w:t>
            </w:r>
          </w:p>
        </w:tc>
      </w:tr>
      <w:tr w:rsidR="00044563" w:rsidRPr="00B1116E" w14:paraId="2383D02B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05F22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UFPs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 xml:space="preserve"> </w:t>
            </w:r>
            <w:r w:rsidRPr="00B1116E">
              <w:rPr>
                <w:rFonts w:asciiTheme="majorHAnsi" w:hAnsiTheme="majorHAnsi" w:cstheme="majorHAnsi"/>
                <w:color w:val="000000" w:themeColor="text1"/>
              </w:rPr>
              <w:t>+ NO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 xml:space="preserve">2 </w:t>
            </w:r>
            <w:r w:rsidRPr="00B1116E">
              <w:rPr>
                <w:rFonts w:asciiTheme="majorHAnsi" w:hAnsiTheme="majorHAnsi" w:cstheme="majorHAnsi"/>
                <w:color w:val="000000" w:themeColor="text1"/>
              </w:rPr>
              <w:t>+ Indirect Adjustment for Smoking and BMI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E482E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0.734 (0.403, 1.338)</w:t>
            </w:r>
          </w:p>
        </w:tc>
      </w:tr>
    </w:tbl>
    <w:p w14:paraId="12D5BF89" w14:textId="77777777" w:rsidR="00044563" w:rsidRPr="00B1116E" w:rsidRDefault="00044563" w:rsidP="00044563">
      <w:pPr>
        <w:rPr>
          <w:color w:val="000000" w:themeColor="text1"/>
        </w:rPr>
      </w:pPr>
      <w:r w:rsidRPr="00B1116E">
        <w:rPr>
          <w:rFonts w:ascii="Calibri Light" w:hAnsi="Calibri Light"/>
          <w:color w:val="000000" w:themeColor="text1"/>
          <w:sz w:val="20"/>
          <w:szCs w:val="20"/>
          <w:vertAlign w:val="superscript"/>
        </w:rPr>
        <w:t>a</w:t>
      </w:r>
      <w:r w:rsidRPr="00B1116E">
        <w:rPr>
          <w:rStyle w:val="apple-converted-space"/>
          <w:rFonts w:ascii="Calibri Light" w:hAnsi="Calibri Light"/>
          <w:color w:val="000000" w:themeColor="text1"/>
          <w:sz w:val="20"/>
          <w:szCs w:val="20"/>
          <w:vertAlign w:val="superscript"/>
        </w:rPr>
        <w:t> </w:t>
      </w:r>
      <w:r w:rsidRPr="00B1116E">
        <w:rPr>
          <w:rFonts w:ascii="Calibri Light" w:hAnsi="Calibri Light"/>
          <w:color w:val="000000" w:themeColor="text1"/>
          <w:sz w:val="20"/>
          <w:szCs w:val="20"/>
        </w:rPr>
        <w:t xml:space="preserve">Base model is stratified by 5-year age groups, sex, census cycle (1991, 1996, 2001, 2006), and immigrant status.        </w:t>
      </w:r>
      <w:r w:rsidRPr="00B1116E">
        <w:rPr>
          <w:rFonts w:ascii="Calibri Light" w:hAnsi="Calibri Light"/>
          <w:color w:val="000000" w:themeColor="text1"/>
          <w:sz w:val="20"/>
          <w:szCs w:val="20"/>
          <w:vertAlign w:val="superscript"/>
        </w:rPr>
        <w:t xml:space="preserve">b </w:t>
      </w:r>
      <w:r w:rsidRPr="00B1116E">
        <w:rPr>
          <w:rFonts w:ascii="Calibri Light" w:hAnsi="Calibri Light"/>
          <w:color w:val="000000" w:themeColor="text1"/>
          <w:sz w:val="20"/>
          <w:szCs w:val="20"/>
        </w:rPr>
        <w:t>SES, socio-economic status variables (visible minority status, occupational level, education, marital status, and income quintile).</w:t>
      </w:r>
      <w:r w:rsidRPr="00B1116E">
        <w:rPr>
          <w:rStyle w:val="apple-converted-space"/>
          <w:rFonts w:ascii="Calibri Light" w:hAnsi="Calibri Light"/>
          <w:color w:val="000000" w:themeColor="text1"/>
          <w:sz w:val="20"/>
          <w:szCs w:val="20"/>
        </w:rPr>
        <w:t> </w:t>
      </w:r>
    </w:p>
    <w:p w14:paraId="481051DC" w14:textId="77777777" w:rsidR="00857053" w:rsidRPr="00B1116E" w:rsidRDefault="00857053" w:rsidP="00857053">
      <w:pPr>
        <w:rPr>
          <w:rFonts w:asciiTheme="majorHAnsi" w:hAnsiTheme="majorHAnsi"/>
          <w:color w:val="000000" w:themeColor="text1"/>
        </w:rPr>
      </w:pPr>
    </w:p>
    <w:p w14:paraId="5D72EB7B" w14:textId="77777777" w:rsidR="00857053" w:rsidRPr="00B1116E" w:rsidRDefault="00857053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CC0AC52" w14:textId="77777777" w:rsidR="00857053" w:rsidRPr="00B1116E" w:rsidRDefault="00857053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269F8914" w14:textId="77777777" w:rsidR="00857053" w:rsidRPr="00B1116E" w:rsidRDefault="00857053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515A7C16" w14:textId="77777777" w:rsidR="00857053" w:rsidRPr="00B1116E" w:rsidRDefault="00857053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17573E32" w14:textId="77777777" w:rsidR="00857053" w:rsidRPr="00B1116E" w:rsidRDefault="00857053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08F9D4B7" w14:textId="77777777" w:rsidR="00857053" w:rsidRPr="00B1116E" w:rsidRDefault="00857053" w:rsidP="00857053">
      <w:pPr>
        <w:rPr>
          <w:rFonts w:asciiTheme="majorHAnsi" w:hAnsiTheme="majorHAnsi" w:cstheme="majorHAnsi"/>
          <w:b/>
          <w:color w:val="000000" w:themeColor="text1"/>
        </w:rPr>
      </w:pPr>
    </w:p>
    <w:p w14:paraId="73622E12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188E4E38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265B808E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1F5F82A2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2E23396D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185EC365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067AC765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2F402F08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4C59085E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0EA2DC69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18EE6EF4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0E235312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7C369780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555F1205" w14:textId="77777777" w:rsidR="00857053" w:rsidRDefault="00857053" w:rsidP="00857053">
      <w:pPr>
        <w:rPr>
          <w:rFonts w:asciiTheme="majorHAnsi" w:hAnsiTheme="majorHAnsi" w:cstheme="majorHAnsi"/>
          <w:b/>
          <w:color w:val="0432FF"/>
        </w:rPr>
      </w:pPr>
    </w:p>
    <w:p w14:paraId="35212E81" w14:textId="72F89A67" w:rsidR="00857053" w:rsidRPr="00B1116E" w:rsidRDefault="005266E3" w:rsidP="00857053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lastRenderedPageBreak/>
        <w:t>e</w:t>
      </w:r>
      <w:r w:rsidR="00857053" w:rsidRPr="00B1116E">
        <w:rPr>
          <w:rFonts w:asciiTheme="majorHAnsi" w:hAnsiTheme="majorHAnsi" w:cstheme="majorHAnsi"/>
          <w:b/>
          <w:color w:val="000000" w:themeColor="text1"/>
        </w:rPr>
        <w:t xml:space="preserve">Table </w:t>
      </w:r>
      <w:bookmarkStart w:id="0" w:name="_GoBack"/>
      <w:bookmarkEnd w:id="0"/>
      <w:r w:rsidR="00B1116E" w:rsidRPr="00B1116E">
        <w:rPr>
          <w:rFonts w:asciiTheme="majorHAnsi" w:hAnsiTheme="majorHAnsi" w:cstheme="majorHAnsi"/>
          <w:b/>
          <w:color w:val="000000" w:themeColor="text1"/>
        </w:rPr>
        <w:t>4</w:t>
      </w:r>
      <w:r w:rsidR="00857053" w:rsidRPr="00B1116E">
        <w:rPr>
          <w:rFonts w:asciiTheme="majorHAnsi" w:hAnsiTheme="majorHAnsi" w:cstheme="majorHAnsi"/>
          <w:b/>
          <w:color w:val="000000" w:themeColor="text1"/>
        </w:rPr>
        <w:t xml:space="preserve">. </w:t>
      </w:r>
      <w:r w:rsidR="00857053" w:rsidRPr="00B1116E">
        <w:rPr>
          <w:rFonts w:asciiTheme="majorHAnsi" w:hAnsiTheme="majorHAnsi" w:cstheme="majorHAnsi"/>
          <w:color w:val="000000" w:themeColor="text1"/>
        </w:rPr>
        <w:t>Hazard ratios (95% confidence intervals) for NO</w:t>
      </w:r>
      <w:r w:rsidR="00857053" w:rsidRPr="00B1116E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="00857053" w:rsidRPr="00B1116E">
        <w:rPr>
          <w:rFonts w:asciiTheme="majorHAnsi" w:hAnsiTheme="majorHAnsi" w:cstheme="majorHAnsi"/>
          <w:color w:val="000000" w:themeColor="text1"/>
        </w:rPr>
        <w:t xml:space="preserve"> concentrations (per 10 ppb) and incident brain tumours (n=1400) in Montreal and Toronto, Canada (2001-2016)</w:t>
      </w:r>
    </w:p>
    <w:p w14:paraId="212471AF" w14:textId="5E9F3702" w:rsidR="00044563" w:rsidRPr="00B1116E" w:rsidRDefault="00044563" w:rsidP="00044563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044563" w:rsidRPr="00B1116E" w14:paraId="79EDE641" w14:textId="77777777" w:rsidTr="008B440D">
        <w:trPr>
          <w:trHeight w:val="311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2A0644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Model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3F2150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HR (95% CI)</w:t>
            </w:r>
          </w:p>
        </w:tc>
      </w:tr>
      <w:tr w:rsidR="00044563" w:rsidRPr="00B1116E" w14:paraId="28CF78A9" w14:textId="77777777" w:rsidTr="008B440D">
        <w:trPr>
          <w:trHeight w:val="325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756E8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Base Model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BDCF88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0.943 (0.876, 1.045)</w:t>
            </w:r>
          </w:p>
        </w:tc>
      </w:tr>
      <w:tr w:rsidR="00044563" w:rsidRPr="00B1116E" w14:paraId="4CB82704" w14:textId="77777777" w:rsidTr="008B440D">
        <w:trPr>
          <w:trHeight w:val="32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4C695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Base Model + SES</w:t>
            </w: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  <w:vertAlign w:val="superscript"/>
              </w:rPr>
              <w:t>b</w:t>
            </w: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Variables (Individually)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31E24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</w:tr>
      <w:tr w:rsidR="00044563" w:rsidRPr="00B1116E" w14:paraId="00A751DF" w14:textId="77777777" w:rsidTr="008B440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996C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Visible Minority Status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9D53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0.948 (0.881, 1.020)</w:t>
            </w:r>
          </w:p>
        </w:tc>
      </w:tr>
      <w:tr w:rsidR="00044563" w:rsidRPr="00B1116E" w14:paraId="3029A306" w14:textId="77777777" w:rsidTr="008B440D">
        <w:trPr>
          <w:trHeight w:val="30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C8DE3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Occupational Level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C07F2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0.945 (0.878, 1.018)</w:t>
            </w:r>
          </w:p>
        </w:tc>
      </w:tr>
      <w:tr w:rsidR="00044563" w:rsidRPr="00B1116E" w14:paraId="70BC8CCD" w14:textId="77777777" w:rsidTr="008B440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FDFB7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Education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654B6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0.944 (0.877, 1.016)</w:t>
            </w:r>
          </w:p>
        </w:tc>
      </w:tr>
      <w:tr w:rsidR="00044563" w:rsidRPr="00B1116E" w14:paraId="0DC8E89B" w14:textId="77777777" w:rsidTr="008B440D">
        <w:trPr>
          <w:trHeight w:val="30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87A4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Marital Status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5919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0.951 (0.883, 1.024)</w:t>
            </w:r>
          </w:p>
        </w:tc>
      </w:tr>
      <w:tr w:rsidR="00044563" w:rsidRPr="00B1116E" w14:paraId="545402F6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03196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Income Quintile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B38F0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0.948 (0.880, 1.020)</w:t>
            </w:r>
          </w:p>
        </w:tc>
      </w:tr>
      <w:tr w:rsidR="00044563" w:rsidRPr="00B1116E" w14:paraId="553559BB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284EA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Base Model + Co-Pollutants (Individually)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CDEA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</w:tr>
      <w:tr w:rsidR="00044563" w:rsidRPr="00B1116E" w14:paraId="70D66B9D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3EF6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PM2.5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5004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0.959 (0.880, 1.044)</w:t>
            </w:r>
          </w:p>
        </w:tc>
      </w:tr>
      <w:tr w:rsidR="00044563" w:rsidRPr="00B1116E" w14:paraId="499423CF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B4EC8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+ UFPs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4C77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0.907 (0.812, 1.013)</w:t>
            </w:r>
          </w:p>
        </w:tc>
      </w:tr>
      <w:tr w:rsidR="00044563" w:rsidRPr="00B1116E" w14:paraId="185A98B4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E86FA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Fully Adjusted Multi-Pollutant Models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D094D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 </w:t>
            </w:r>
          </w:p>
        </w:tc>
      </w:tr>
      <w:tr w:rsidR="00044563" w:rsidRPr="00B1116E" w14:paraId="422DAC11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010A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1B9B2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0.959 (0.890, 1.033)</w:t>
            </w:r>
          </w:p>
        </w:tc>
      </w:tr>
      <w:tr w:rsidR="00044563" w:rsidRPr="00B1116E" w14:paraId="4B79236D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EF02C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PM2.5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0CCAF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0.982 (0.902, 1.070)</w:t>
            </w:r>
          </w:p>
        </w:tc>
      </w:tr>
      <w:tr w:rsidR="00044563" w:rsidRPr="00B1116E" w14:paraId="7941D83A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0DBE0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UFPs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FDA99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0.932 (0.833, 1.042)</w:t>
            </w:r>
          </w:p>
        </w:tc>
      </w:tr>
      <w:tr w:rsidR="00044563" w:rsidRPr="00B1116E" w14:paraId="4D857EFB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11AB2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UFPs + PM2.5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A1D5F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B1116E">
              <w:rPr>
                <w:rFonts w:asciiTheme="majorHAnsi" w:hAnsiTheme="majorHAnsi"/>
                <w:color w:val="000000" w:themeColor="text1"/>
              </w:rPr>
              <w:t>0.939 (0.839, 1.050)</w:t>
            </w:r>
          </w:p>
        </w:tc>
      </w:tr>
      <w:tr w:rsidR="00044563" w:rsidRPr="00B1116E" w14:paraId="3CAE50C3" w14:textId="77777777" w:rsidTr="008B440D">
        <w:trPr>
          <w:trHeight w:val="279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493D" w14:textId="77777777" w:rsidR="00044563" w:rsidRPr="00B1116E" w:rsidRDefault="00044563" w:rsidP="008B440D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All SES + PM2.5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 xml:space="preserve"> </w:t>
            </w:r>
            <w:r w:rsidRPr="00B1116E">
              <w:rPr>
                <w:rFonts w:asciiTheme="majorHAnsi" w:hAnsiTheme="majorHAnsi" w:cstheme="majorHAnsi"/>
                <w:color w:val="000000" w:themeColor="text1"/>
              </w:rPr>
              <w:t>+ UFP</w:t>
            </w:r>
            <w:r w:rsidRPr="00B1116E"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 xml:space="preserve"> </w:t>
            </w:r>
            <w:r w:rsidRPr="00B1116E">
              <w:rPr>
                <w:rFonts w:asciiTheme="majorHAnsi" w:hAnsiTheme="majorHAnsi" w:cstheme="majorHAnsi"/>
                <w:color w:val="000000" w:themeColor="text1"/>
              </w:rPr>
              <w:t>+ Indirect Adjustment for Smoking and BMI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6BC5" w14:textId="77777777" w:rsidR="00044563" w:rsidRPr="00B1116E" w:rsidRDefault="00044563" w:rsidP="008B440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</w:rPr>
            </w:pPr>
            <w:r w:rsidRPr="00B1116E">
              <w:rPr>
                <w:rFonts w:asciiTheme="majorHAnsi" w:hAnsiTheme="majorHAnsi" w:cstheme="majorHAnsi"/>
                <w:color w:val="000000" w:themeColor="text1"/>
              </w:rPr>
              <w:t>0.988 (0.839, 1.165)</w:t>
            </w:r>
          </w:p>
        </w:tc>
      </w:tr>
    </w:tbl>
    <w:p w14:paraId="065D2DC6" w14:textId="77777777" w:rsidR="00044563" w:rsidRPr="00B1116E" w:rsidRDefault="00044563" w:rsidP="00044563">
      <w:pPr>
        <w:rPr>
          <w:color w:val="000000" w:themeColor="text1"/>
        </w:rPr>
      </w:pPr>
      <w:r w:rsidRPr="00B1116E">
        <w:rPr>
          <w:rFonts w:ascii="Calibri Light" w:hAnsi="Calibri Light"/>
          <w:color w:val="000000" w:themeColor="text1"/>
          <w:sz w:val="20"/>
          <w:szCs w:val="20"/>
          <w:vertAlign w:val="superscript"/>
        </w:rPr>
        <w:t>a</w:t>
      </w:r>
      <w:r w:rsidRPr="00B1116E">
        <w:rPr>
          <w:rStyle w:val="apple-converted-space"/>
          <w:rFonts w:ascii="Calibri Light" w:hAnsi="Calibri Light"/>
          <w:color w:val="000000" w:themeColor="text1"/>
          <w:sz w:val="20"/>
          <w:szCs w:val="20"/>
          <w:vertAlign w:val="superscript"/>
        </w:rPr>
        <w:t> </w:t>
      </w:r>
      <w:r w:rsidRPr="00B1116E">
        <w:rPr>
          <w:rFonts w:ascii="Calibri Light" w:hAnsi="Calibri Light"/>
          <w:color w:val="000000" w:themeColor="text1"/>
          <w:sz w:val="20"/>
          <w:szCs w:val="20"/>
        </w:rPr>
        <w:t xml:space="preserve">Base model is stratified by 5-year age groups, sex, census cycle (1991, 1996, 2001, 2006), and immigrant status.        </w:t>
      </w:r>
      <w:r w:rsidRPr="00B1116E">
        <w:rPr>
          <w:rFonts w:ascii="Calibri Light" w:hAnsi="Calibri Light"/>
          <w:color w:val="000000" w:themeColor="text1"/>
          <w:sz w:val="20"/>
          <w:szCs w:val="20"/>
          <w:vertAlign w:val="superscript"/>
        </w:rPr>
        <w:t xml:space="preserve">b </w:t>
      </w:r>
      <w:r w:rsidRPr="00B1116E">
        <w:rPr>
          <w:rFonts w:ascii="Calibri Light" w:hAnsi="Calibri Light"/>
          <w:color w:val="000000" w:themeColor="text1"/>
          <w:sz w:val="20"/>
          <w:szCs w:val="20"/>
        </w:rPr>
        <w:t>SES, socio-economic status variables (visible minority status, occupational level, education, marital status, and income quintile).</w:t>
      </w:r>
      <w:r w:rsidRPr="00B1116E">
        <w:rPr>
          <w:rStyle w:val="apple-converted-space"/>
          <w:rFonts w:ascii="Calibri Light" w:hAnsi="Calibri Light"/>
          <w:color w:val="000000" w:themeColor="text1"/>
          <w:sz w:val="20"/>
          <w:szCs w:val="20"/>
        </w:rPr>
        <w:t> </w:t>
      </w:r>
    </w:p>
    <w:p w14:paraId="27FF7A0A" w14:textId="77777777" w:rsidR="00857053" w:rsidRPr="00B1116E" w:rsidRDefault="00857053" w:rsidP="00857053">
      <w:pPr>
        <w:rPr>
          <w:rFonts w:asciiTheme="majorHAnsi" w:hAnsiTheme="majorHAnsi"/>
          <w:color w:val="000000" w:themeColor="text1"/>
        </w:rPr>
      </w:pPr>
    </w:p>
    <w:p w14:paraId="0EF99F69" w14:textId="77777777" w:rsidR="00857053" w:rsidRPr="00B1116E" w:rsidRDefault="00857053" w:rsidP="00857053">
      <w:pPr>
        <w:rPr>
          <w:rFonts w:asciiTheme="majorHAnsi" w:hAnsiTheme="majorHAnsi"/>
          <w:color w:val="000000" w:themeColor="text1"/>
        </w:rPr>
      </w:pPr>
    </w:p>
    <w:p w14:paraId="19654774" w14:textId="77777777" w:rsidR="00857053" w:rsidRPr="00B1116E" w:rsidRDefault="00857053" w:rsidP="00857053">
      <w:pPr>
        <w:rPr>
          <w:rFonts w:asciiTheme="majorHAnsi" w:hAnsiTheme="majorHAnsi"/>
          <w:color w:val="000000" w:themeColor="text1"/>
        </w:rPr>
      </w:pPr>
    </w:p>
    <w:p w14:paraId="79FB0B01" w14:textId="77777777" w:rsidR="00DE1B53" w:rsidRPr="00B1116E" w:rsidRDefault="00DE1B53" w:rsidP="00857053">
      <w:pPr>
        <w:rPr>
          <w:rFonts w:asciiTheme="majorHAnsi" w:hAnsiTheme="majorHAnsi"/>
          <w:color w:val="000000" w:themeColor="text1"/>
        </w:rPr>
      </w:pPr>
    </w:p>
    <w:p w14:paraId="2EE2111D" w14:textId="77777777" w:rsidR="00DE1B53" w:rsidRPr="00B1116E" w:rsidRDefault="00DE1B53" w:rsidP="00857053">
      <w:pPr>
        <w:rPr>
          <w:rFonts w:asciiTheme="majorHAnsi" w:hAnsiTheme="majorHAnsi"/>
          <w:color w:val="000000" w:themeColor="text1"/>
        </w:rPr>
      </w:pPr>
    </w:p>
    <w:p w14:paraId="31B740CE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5E3DEC4F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089F8BDD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6BC545BE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0A118D87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5E6F1F20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6809F978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61B4718B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6274D27C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36BBDBF4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5FF1F19C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5FCEE2EF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1EE4CEEE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4AE34DB6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0D292360" w14:textId="77777777" w:rsidR="00DE1B53" w:rsidRDefault="00DE1B53" w:rsidP="00857053">
      <w:pPr>
        <w:rPr>
          <w:rFonts w:asciiTheme="majorHAnsi" w:hAnsiTheme="majorHAnsi"/>
          <w:color w:val="000000"/>
        </w:rPr>
      </w:pPr>
    </w:p>
    <w:p w14:paraId="5E5E66D4" w14:textId="77777777" w:rsidR="00857053" w:rsidRPr="00B723CB" w:rsidRDefault="00857053">
      <w:pPr>
        <w:rPr>
          <w:rFonts w:asciiTheme="majorHAnsi" w:hAnsiTheme="majorHAnsi" w:cstheme="majorHAnsi"/>
        </w:rPr>
      </w:pPr>
    </w:p>
    <w:sectPr w:rsidR="00857053" w:rsidRPr="00B723CB" w:rsidSect="00C70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A2A7" w14:textId="77777777" w:rsidR="00F64781" w:rsidRDefault="00F64781" w:rsidP="00300CC5">
      <w:r>
        <w:separator/>
      </w:r>
    </w:p>
  </w:endnote>
  <w:endnote w:type="continuationSeparator" w:id="0">
    <w:p w14:paraId="6120B47A" w14:textId="77777777" w:rsidR="00F64781" w:rsidRDefault="00F64781" w:rsidP="0030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0600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1AA3A" w14:textId="49B36702" w:rsidR="008B440D" w:rsidRDefault="008B440D" w:rsidP="002314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D8987" w14:textId="77777777" w:rsidR="008B440D" w:rsidRDefault="008B440D" w:rsidP="00300C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2065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7D4498" w14:textId="324FAB55" w:rsidR="008B440D" w:rsidRDefault="008B440D" w:rsidP="002314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A3EE251" w14:textId="77777777" w:rsidR="008B440D" w:rsidRDefault="008B440D" w:rsidP="00300C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153C" w14:textId="77777777" w:rsidR="00F64781" w:rsidRDefault="00F64781" w:rsidP="00300CC5">
      <w:r>
        <w:separator/>
      </w:r>
    </w:p>
  </w:footnote>
  <w:footnote w:type="continuationSeparator" w:id="0">
    <w:p w14:paraId="5D828A36" w14:textId="77777777" w:rsidR="00F64781" w:rsidRDefault="00F64781" w:rsidP="0030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117AB"/>
    <w:rsid w:val="00044563"/>
    <w:rsid w:val="0012147F"/>
    <w:rsid w:val="00157014"/>
    <w:rsid w:val="0019792F"/>
    <w:rsid w:val="001D1F1A"/>
    <w:rsid w:val="002314A0"/>
    <w:rsid w:val="002A1F42"/>
    <w:rsid w:val="002A5D69"/>
    <w:rsid w:val="00300CC5"/>
    <w:rsid w:val="00310E2B"/>
    <w:rsid w:val="0038443C"/>
    <w:rsid w:val="004264B8"/>
    <w:rsid w:val="00476AF0"/>
    <w:rsid w:val="00487145"/>
    <w:rsid w:val="00492C8A"/>
    <w:rsid w:val="004F5EC7"/>
    <w:rsid w:val="005266E3"/>
    <w:rsid w:val="0058471F"/>
    <w:rsid w:val="005C3211"/>
    <w:rsid w:val="005D1B4E"/>
    <w:rsid w:val="005F137D"/>
    <w:rsid w:val="00674C7B"/>
    <w:rsid w:val="006D5094"/>
    <w:rsid w:val="007D2BD7"/>
    <w:rsid w:val="007E6B9E"/>
    <w:rsid w:val="00857053"/>
    <w:rsid w:val="008646F9"/>
    <w:rsid w:val="00896268"/>
    <w:rsid w:val="008B440D"/>
    <w:rsid w:val="008F586A"/>
    <w:rsid w:val="00950A3C"/>
    <w:rsid w:val="009662B2"/>
    <w:rsid w:val="009A68CE"/>
    <w:rsid w:val="009E71AF"/>
    <w:rsid w:val="00B1116E"/>
    <w:rsid w:val="00B27C25"/>
    <w:rsid w:val="00B34396"/>
    <w:rsid w:val="00B52FAA"/>
    <w:rsid w:val="00B723CB"/>
    <w:rsid w:val="00C15532"/>
    <w:rsid w:val="00C70996"/>
    <w:rsid w:val="00CC6B7A"/>
    <w:rsid w:val="00CF1E5B"/>
    <w:rsid w:val="00D31183"/>
    <w:rsid w:val="00D4230A"/>
    <w:rsid w:val="00D81478"/>
    <w:rsid w:val="00D95C0A"/>
    <w:rsid w:val="00DC7499"/>
    <w:rsid w:val="00DE1B53"/>
    <w:rsid w:val="00E279D4"/>
    <w:rsid w:val="00E63C01"/>
    <w:rsid w:val="00EC3C63"/>
    <w:rsid w:val="00EF01CE"/>
    <w:rsid w:val="00F11D73"/>
    <w:rsid w:val="00F21A4F"/>
    <w:rsid w:val="00F64781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531BA"/>
  <w15:chartTrackingRefBased/>
  <w15:docId w15:val="{23459466-EF1B-D74C-B17F-C786C71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C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CC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0CC5"/>
  </w:style>
  <w:style w:type="paragraph" w:styleId="BalloonText">
    <w:name w:val="Balloon Text"/>
    <w:basedOn w:val="Normal"/>
    <w:link w:val="BalloonTextChar"/>
    <w:uiPriority w:val="99"/>
    <w:semiHidden/>
    <w:unhideWhenUsed/>
    <w:rsid w:val="00300C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C5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3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weichenthal@mcgill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Weichenthal</dc:creator>
  <cp:keywords/>
  <dc:description/>
  <cp:lastModifiedBy>Scott Weichenthal</cp:lastModifiedBy>
  <cp:revision>31</cp:revision>
  <dcterms:created xsi:type="dcterms:W3CDTF">2019-04-05T15:29:00Z</dcterms:created>
  <dcterms:modified xsi:type="dcterms:W3CDTF">2019-10-17T20:02:00Z</dcterms:modified>
</cp:coreProperties>
</file>