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B614" w14:textId="1169B1ED" w:rsidR="00C57A0F" w:rsidRPr="00E76871" w:rsidRDefault="00232055" w:rsidP="00C57A0F">
      <w:pPr>
        <w:spacing w:line="480" w:lineRule="auto"/>
        <w:rPr>
          <w:rFonts w:cs="Calibri"/>
        </w:rPr>
      </w:pPr>
      <w:proofErr w:type="spellStart"/>
      <w:r>
        <w:rPr>
          <w:rFonts w:cs="Calibri"/>
          <w:u w:val="single"/>
        </w:rPr>
        <w:t>eAppendix</w:t>
      </w:r>
      <w:proofErr w:type="spellEnd"/>
    </w:p>
    <w:p w14:paraId="2F3CE6C6" w14:textId="77777777" w:rsidR="00C57A0F" w:rsidRDefault="00C57A0F" w:rsidP="00C57A0F">
      <w:pPr>
        <w:spacing w:line="480" w:lineRule="auto"/>
        <w:rPr>
          <w:rFonts w:ascii="Calibri" w:hAnsi="Calibri" w:cs="Calibri"/>
        </w:rPr>
      </w:pPr>
      <w:r w:rsidRPr="003F5FC3">
        <w:rPr>
          <w:rFonts w:ascii="Calibri" w:hAnsi="Calibri" w:cs="Calibri"/>
        </w:rPr>
        <w:t>Threats to statistical conclusion validity</w:t>
      </w:r>
    </w:p>
    <w:p w14:paraId="4E6DF4AC" w14:textId="77777777" w:rsidR="00C57A0F" w:rsidRDefault="00C57A0F" w:rsidP="00C57A0F">
      <w:pPr>
        <w:spacing w:line="480" w:lineRule="auto"/>
        <w:ind w:firstLine="720"/>
        <w:rPr>
          <w:rFonts w:ascii="Calibri" w:hAnsi="Calibri" w:cs="Calibri"/>
        </w:rPr>
      </w:pPr>
      <w:r>
        <w:rPr>
          <w:rFonts w:ascii="Calibri" w:hAnsi="Calibri" w:cs="Calibri"/>
        </w:rPr>
        <w:t>Threats to statistical conclusion validity (Table 2) generally correspond to failures to conduct appropriate statistical inference in epidemiology.</w:t>
      </w:r>
      <w:r w:rsidRPr="00366BF5">
        <w:t xml:space="preserve"> </w:t>
      </w:r>
      <w:r>
        <w:t xml:space="preserve">This includes ruling </w:t>
      </w:r>
      <w:r w:rsidRPr="00F818CF">
        <w:t xml:space="preserve">out random error, </w:t>
      </w:r>
      <w:r>
        <w:t xml:space="preserve">meeting </w:t>
      </w:r>
      <w:r w:rsidRPr="00F818CF">
        <w:t xml:space="preserve">necessary assumptions of the statistical </w:t>
      </w:r>
      <w:r>
        <w:t>model</w:t>
      </w:r>
      <w:r w:rsidRPr="00F818CF">
        <w:t xml:space="preserve"> (e.g. </w:t>
      </w:r>
      <w:r>
        <w:t>independent and identically distributed observations on units, no interference or spillover</w:t>
      </w:r>
      <w:r w:rsidRPr="00F818CF">
        <w:t xml:space="preserve">), </w:t>
      </w:r>
      <w:r>
        <w:t xml:space="preserve">and </w:t>
      </w:r>
      <w:r w:rsidRPr="00F818CF">
        <w:t>correctly sp</w:t>
      </w:r>
      <w:r>
        <w:t xml:space="preserve">ecifying the </w:t>
      </w:r>
      <w:r w:rsidRPr="00F818CF">
        <w:t>statistical model</w:t>
      </w:r>
      <w:r>
        <w:t xml:space="preserve"> (e.g. the association between age and the outcome is linear)</w:t>
      </w:r>
      <w:r w:rsidRPr="00F818CF">
        <w:t>.</w:t>
      </w:r>
      <w:r>
        <w:rPr>
          <w:rFonts w:ascii="Calibri" w:hAnsi="Calibri" w:cs="Calibri"/>
        </w:rPr>
        <w:t xml:space="preserve"> An additional theme is situations of measurement error that lead to reduced statistical power.</w:t>
      </w:r>
      <w:r w:rsidRPr="00B778D8">
        <w:t xml:space="preserve"> </w:t>
      </w:r>
    </w:p>
    <w:p w14:paraId="6B5053E8" w14:textId="6104659B" w:rsidR="00C57A0F" w:rsidRDefault="00C57A0F" w:rsidP="00C57A0F">
      <w:pPr>
        <w:spacing w:line="480" w:lineRule="auto"/>
        <w:ind w:firstLine="720"/>
        <w:rPr>
          <w:rFonts w:ascii="Calibri" w:hAnsi="Calibri" w:cs="Calibri"/>
        </w:rPr>
      </w:pPr>
      <w:r w:rsidRPr="003F5FC3">
        <w:rPr>
          <w:rFonts w:ascii="Calibri" w:hAnsi="Calibri" w:cs="Calibri"/>
          <w:i/>
        </w:rPr>
        <w:t>Threat</w:t>
      </w:r>
      <w:r>
        <w:rPr>
          <w:rFonts w:ascii="Calibri" w:hAnsi="Calibri" w:cs="Calibri"/>
          <w:i/>
        </w:rPr>
        <w:t>s</w:t>
      </w:r>
      <w:r w:rsidRPr="003F5FC3">
        <w:rPr>
          <w:rFonts w:ascii="Calibri" w:hAnsi="Calibri" w:cs="Calibri"/>
          <w:i/>
        </w:rPr>
        <w:t xml:space="preserve"> 10</w:t>
      </w:r>
      <w:r>
        <w:rPr>
          <w:rFonts w:ascii="Calibri" w:hAnsi="Calibri" w:cs="Calibri"/>
          <w:i/>
        </w:rPr>
        <w:t>-15</w:t>
      </w:r>
      <w:r w:rsidRPr="003F5FC3">
        <w:rPr>
          <w:rFonts w:ascii="Calibri" w:hAnsi="Calibri" w:cs="Calibri"/>
        </w:rPr>
        <w:t xml:space="preserve">. </w:t>
      </w:r>
      <w:r>
        <w:rPr>
          <w:rFonts w:ascii="Calibri" w:hAnsi="Calibri" w:cs="Calibri"/>
        </w:rPr>
        <w:t>Low statistical power, violated assumptions of statistical tests, fishing and the error rate problem, inaccurate effect size estimation, extraneous variance, and heterogeneity of units correspond to the same statistical concepts in epidemiology. Low statistical power can lead to type II errors. Violated test assumptions can reduce power and bias a measured association. Inflated type I error due can be avoided by making statistical adjustments to account for multiple comparisons—i.e. to avoid fishing and the error rate problem. Inaccurate effect size estimation (threat 13) is specific to the parameter of interest. It may arise when there is misalignment between the estimator and the target causal quantity—for example, when odds ratios are used to estimate risk ratios</w:t>
      </w:r>
      <w:r w:rsidR="007F0FA3" w:rsidRPr="007F0FA3">
        <w:rPr>
          <w:rFonts w:ascii="Calibri" w:hAnsi="Calibri" w:cs="Calibri"/>
          <w:vertAlign w:val="superscript"/>
        </w:rPr>
        <w:t>1</w:t>
      </w:r>
      <w:r>
        <w:rPr>
          <w:rFonts w:ascii="Calibri" w:hAnsi="Calibri" w:cs="Calibri"/>
        </w:rPr>
        <w:t>—or simply as a property of the estimator—for example, instrumental variable estimates are biased towards the ordinary least squares estimate in finite samples.</w:t>
      </w:r>
      <w:r w:rsidR="007F0FA3" w:rsidRPr="007F0FA3">
        <w:rPr>
          <w:rFonts w:ascii="Calibri" w:hAnsi="Calibri" w:cs="Calibri"/>
          <w:vertAlign w:val="superscript"/>
        </w:rPr>
        <w:t>2</w:t>
      </w:r>
      <w:r>
        <w:rPr>
          <w:rFonts w:ascii="Calibri" w:hAnsi="Calibri" w:cs="Calibri"/>
        </w:rPr>
        <w:t xml:space="preserve"> Extraneous variance in the experimental setting refers to inconsistency in how the treatment or exposure is implemented. Heterogeneity of units refer to high variance in the outcome, and applies to non-differential and independent measurement errors.</w:t>
      </w:r>
      <w:r>
        <w:rPr>
          <w:rFonts w:ascii="Calibri" w:hAnsi="Calibri" w:cs="Calibri"/>
        </w:rPr>
        <w:fldChar w:fldCharType="begin"/>
      </w:r>
      <w:r>
        <w:rPr>
          <w:rFonts w:ascii="Calibri" w:hAnsi="Calibri" w:cs="Calibri"/>
        </w:rPr>
        <w:instrText xml:space="preserve"> ADDIN ZOTERO_ITEM CSL_CITATION {"citationID":"9YVNGmQI","properties":{"formattedCitation":"\\super 13\\nosupersub{}","plainCitation":"13","noteIndex":0},"citationItems":[{"id":5435,"uris":["http://zotero.org/users/local/uJkCyh0a/items/5AH97CDW"],"uri":["http://zotero.org/users/local/uJkCyh0a/items/5AH97CDW"],"itemData":{"id":5435,"type":"chapter","title":"Chapter 9: Validity in Epidemiologic Studies","container-title":"Modern Epidemiology","publisher":"Lippincott Williams &amp; Wilkins","publisher-place":"Philadelphia, PA","edition":"Third","event-place":"Philadelphia, PA","author":[{"family":"Rothman","given":"Kenneth J"},{"family":"Greenland","given":"Sander"},{"family":"Lash","given":"Timothy L."}],"issued":{"date-parts":[["2008"]]}}}],"schema":"https://github.com/citation-style-language/schema/raw/master/csl-citation.json"} </w:instrText>
      </w:r>
      <w:r>
        <w:rPr>
          <w:rFonts w:ascii="Calibri" w:hAnsi="Calibri" w:cs="Calibri"/>
        </w:rPr>
        <w:fldChar w:fldCharType="separate"/>
      </w:r>
      <w:r w:rsidRPr="006D1911">
        <w:rPr>
          <w:rFonts w:ascii="Calibri" w:hAnsi="Calibri" w:cs="Times New Roman"/>
          <w:vertAlign w:val="superscript"/>
        </w:rPr>
        <w:t>13</w:t>
      </w:r>
      <w:r>
        <w:rPr>
          <w:rFonts w:ascii="Calibri" w:hAnsi="Calibri" w:cs="Calibri"/>
        </w:rPr>
        <w:fldChar w:fldCharType="end"/>
      </w:r>
      <w:r>
        <w:rPr>
          <w:rFonts w:ascii="Calibri" w:hAnsi="Calibri" w:cs="Calibri"/>
        </w:rPr>
        <w:t xml:space="preserve"> These situations reduce power, whether by </w:t>
      </w:r>
      <w:r>
        <w:t xml:space="preserve">extraneous influences in the study setting </w:t>
      </w:r>
      <w:r>
        <w:lastRenderedPageBreak/>
        <w:t xml:space="preserve">(e.g. distracting noises) or unmeasured heterogeneity of study participants (e.g. unmeasured genetic differences in </w:t>
      </w:r>
      <w:r w:rsidRPr="00C011AB">
        <w:t>risk).</w:t>
      </w:r>
      <w:r>
        <w:t xml:space="preserve"> M</w:t>
      </w:r>
      <w:r w:rsidRPr="00C011AB">
        <w:t xml:space="preserve">ost discussions of DAGs assume an infinite sample size and therefore disregard the possibility of chance findings or insufficient power. Additionally, because DAGs are nonparametric, many violated assumptions of statistical tests are not represented as DAGs. Thus, </w:t>
      </w:r>
      <w:r>
        <w:t>t</w:t>
      </w:r>
      <w:r w:rsidRPr="00C011AB">
        <w:rPr>
          <w:rFonts w:ascii="Calibri" w:hAnsi="Calibri" w:cs="Calibri"/>
        </w:rPr>
        <w:t xml:space="preserve">hese </w:t>
      </w:r>
      <w:r>
        <w:rPr>
          <w:rFonts w:ascii="Calibri" w:hAnsi="Calibri" w:cs="Calibri"/>
        </w:rPr>
        <w:t xml:space="preserve">five </w:t>
      </w:r>
      <w:r w:rsidRPr="00C011AB">
        <w:rPr>
          <w:rFonts w:ascii="Calibri" w:hAnsi="Calibri" w:cs="Calibri"/>
        </w:rPr>
        <w:t xml:space="preserve">threats are critical, but </w:t>
      </w:r>
      <w:r>
        <w:rPr>
          <w:rFonts w:ascii="Calibri" w:hAnsi="Calibri" w:cs="Calibri"/>
        </w:rPr>
        <w:t>are generally not</w:t>
      </w:r>
      <w:r w:rsidRPr="00C011AB">
        <w:rPr>
          <w:rFonts w:ascii="Calibri" w:hAnsi="Calibri" w:cs="Calibri"/>
        </w:rPr>
        <w:t xml:space="preserve"> represent</w:t>
      </w:r>
      <w:r>
        <w:rPr>
          <w:rFonts w:ascii="Calibri" w:hAnsi="Calibri" w:cs="Calibri"/>
        </w:rPr>
        <w:t>ed</w:t>
      </w:r>
      <w:r w:rsidRPr="00C011AB">
        <w:rPr>
          <w:rFonts w:ascii="Calibri" w:hAnsi="Calibri" w:cs="Calibri"/>
        </w:rPr>
        <w:t xml:space="preserve"> </w:t>
      </w:r>
      <w:r>
        <w:rPr>
          <w:rFonts w:ascii="Calibri" w:hAnsi="Calibri" w:cs="Calibri"/>
        </w:rPr>
        <w:t>with</w:t>
      </w:r>
      <w:r w:rsidRPr="00C011AB">
        <w:rPr>
          <w:rFonts w:ascii="Calibri" w:hAnsi="Calibri" w:cs="Calibri"/>
        </w:rPr>
        <w:t xml:space="preserve"> DAGs</w:t>
      </w:r>
    </w:p>
    <w:p w14:paraId="03AFDAEE" w14:textId="1EDB8639" w:rsidR="00C57A0F" w:rsidRDefault="00C57A0F" w:rsidP="00C57A0F">
      <w:pPr>
        <w:spacing w:line="480" w:lineRule="auto"/>
        <w:ind w:firstLine="720"/>
        <w:rPr>
          <w:rFonts w:ascii="Calibri" w:hAnsi="Calibri" w:cs="Calibri"/>
        </w:rPr>
      </w:pPr>
      <w:r w:rsidRPr="003F5FC3">
        <w:rPr>
          <w:rFonts w:ascii="Calibri" w:hAnsi="Calibri" w:cs="Calibri"/>
          <w:i/>
        </w:rPr>
        <w:t>Threat 1</w:t>
      </w:r>
      <w:r>
        <w:rPr>
          <w:rFonts w:ascii="Calibri" w:hAnsi="Calibri" w:cs="Calibri"/>
          <w:i/>
        </w:rPr>
        <w:t>6</w:t>
      </w:r>
      <w:r w:rsidRPr="003F5FC3">
        <w:rPr>
          <w:rFonts w:ascii="Calibri" w:hAnsi="Calibri" w:cs="Calibri"/>
        </w:rPr>
        <w:t xml:space="preserve">. </w:t>
      </w:r>
      <w:r>
        <w:rPr>
          <w:rFonts w:ascii="Calibri" w:hAnsi="Calibri" w:cs="Calibri"/>
        </w:rPr>
        <w:t>Unreliability of measures</w:t>
      </w:r>
      <w:r w:rsidRPr="003F5FC3">
        <w:rPr>
          <w:rFonts w:ascii="Calibri" w:hAnsi="Calibri" w:cs="Calibri"/>
        </w:rPr>
        <w:t xml:space="preserve"> </w:t>
      </w:r>
      <w:r>
        <w:rPr>
          <w:rFonts w:ascii="Calibri" w:hAnsi="Calibri" w:cs="Calibri"/>
        </w:rPr>
        <w:t>corresponds to nondifferential measurement error.</w:t>
      </w:r>
      <w:r>
        <w:rPr>
          <w:rFonts w:ascii="Calibri" w:hAnsi="Calibri" w:cs="Calibri"/>
        </w:rPr>
        <w:fldChar w:fldCharType="begin"/>
      </w:r>
      <w:r>
        <w:rPr>
          <w:rFonts w:ascii="Calibri" w:hAnsi="Calibri" w:cs="Calibri"/>
        </w:rPr>
        <w:instrText xml:space="preserve"> ADDIN ZOTERO_ITEM CSL_CITATION {"citationID":"Rx2N1EyW","properties":{"formattedCitation":"\\super 13\\nosupersub{}","plainCitation":"13","noteIndex":0},"citationItems":[{"id":5435,"uris":["http://zotero.org/users/local/uJkCyh0a/items/5AH97CDW"],"uri":["http://zotero.org/users/local/uJkCyh0a/items/5AH97CDW"],"itemData":{"id":5435,"type":"chapter","title":"Chapter 9: Validity in Epidemiologic Studies","container-title":"Modern Epidemiology","publisher":"Lippincott Williams &amp; Wilkins","publisher-place":"Philadelphia, PA","edition":"Third","event-place":"Philadelphia, PA","author":[{"family":"Rothman","given":"Kenneth J"},{"family":"Greenland","given":"Sander"},{"family":"Lash","given":"Timothy L."}],"issued":{"date-parts":[["2008"]]}}}],"schema":"https://github.com/citation-style-language/schema/raw/master/csl-citation.json"} </w:instrText>
      </w:r>
      <w:r>
        <w:rPr>
          <w:rFonts w:ascii="Calibri" w:hAnsi="Calibri" w:cs="Calibri"/>
        </w:rPr>
        <w:fldChar w:fldCharType="separate"/>
      </w:r>
      <w:r w:rsidRPr="006D1911">
        <w:rPr>
          <w:rFonts w:ascii="Calibri" w:hAnsi="Calibri" w:cs="Times New Roman"/>
          <w:vertAlign w:val="superscript"/>
        </w:rPr>
        <w:t>13</w:t>
      </w:r>
      <w:r>
        <w:rPr>
          <w:rFonts w:ascii="Calibri" w:hAnsi="Calibri" w:cs="Calibri"/>
        </w:rPr>
        <w:fldChar w:fldCharType="end"/>
      </w:r>
      <w:r>
        <w:rPr>
          <w:rFonts w:ascii="Calibri" w:hAnsi="Calibri" w:cs="Calibri"/>
        </w:rPr>
        <w:t xml:space="preserve"> If this error is in the exposure or outcome (</w:t>
      </w:r>
      <w:proofErr w:type="spellStart"/>
      <w:r w:rsidR="00232055">
        <w:rPr>
          <w:rFonts w:ascii="Calibri" w:hAnsi="Calibri" w:cs="Calibri"/>
        </w:rPr>
        <w:t>eFigure</w:t>
      </w:r>
      <w:proofErr w:type="spellEnd"/>
      <w:r>
        <w:rPr>
          <w:rFonts w:ascii="Calibri" w:hAnsi="Calibri" w:cs="Calibri"/>
        </w:rPr>
        <w:t xml:space="preserve"> 1A), the error introduced by U</w:t>
      </w:r>
      <w:r>
        <w:rPr>
          <w:rFonts w:ascii="Calibri" w:hAnsi="Calibri" w:cs="Calibri"/>
          <w:vertAlign w:val="subscript"/>
        </w:rPr>
        <w:t>E</w:t>
      </w:r>
      <w:r>
        <w:rPr>
          <w:rFonts w:ascii="Calibri" w:hAnsi="Calibri" w:cs="Calibri"/>
        </w:rPr>
        <w:t xml:space="preserve"> and/or U</w:t>
      </w:r>
      <w:r>
        <w:rPr>
          <w:rFonts w:ascii="Calibri" w:hAnsi="Calibri" w:cs="Calibri"/>
          <w:vertAlign w:val="subscript"/>
        </w:rPr>
        <w:t>D</w:t>
      </w:r>
      <w:r>
        <w:rPr>
          <w:rFonts w:ascii="Calibri" w:hAnsi="Calibri" w:cs="Calibri"/>
        </w:rPr>
        <w:t xml:space="preserve"> usually weakens the measured relationship (e.g. between E</w:t>
      </w:r>
      <w:r w:rsidRPr="00D06545">
        <w:rPr>
          <w:rFonts w:ascii="Calibri" w:hAnsi="Calibri" w:cs="Calibri"/>
          <w:vertAlign w:val="subscript"/>
        </w:rPr>
        <w:t>m</w:t>
      </w:r>
      <w:r>
        <w:rPr>
          <w:rFonts w:ascii="Calibri" w:hAnsi="Calibri" w:cs="Calibri"/>
        </w:rPr>
        <w:t xml:space="preserve"> and D) and reduces power to detect the true effect of E on D.  For example, unmeasured non-adherence to a treatment for tuberculosis (TB) weakens its measured association with disease cure. </w:t>
      </w:r>
    </w:p>
    <w:p w14:paraId="43754BFE" w14:textId="60755758" w:rsidR="00C57A0F" w:rsidRPr="003F5FC3" w:rsidRDefault="00C57A0F" w:rsidP="00100A2A">
      <w:pPr>
        <w:spacing w:line="480" w:lineRule="auto"/>
        <w:ind w:firstLine="720"/>
        <w:rPr>
          <w:rFonts w:ascii="Calibri" w:hAnsi="Calibri" w:cs="Calibri"/>
        </w:rPr>
      </w:pPr>
      <w:r>
        <w:rPr>
          <w:rFonts w:ascii="Calibri" w:hAnsi="Calibri" w:cs="Calibri"/>
        </w:rPr>
        <w:t>If the measurement error is in a confounder (</w:t>
      </w:r>
      <w:proofErr w:type="spellStart"/>
      <w:r w:rsidR="00232055">
        <w:rPr>
          <w:rFonts w:ascii="Calibri" w:hAnsi="Calibri" w:cs="Calibri"/>
        </w:rPr>
        <w:t>eFigure</w:t>
      </w:r>
      <w:proofErr w:type="spellEnd"/>
      <w:r>
        <w:rPr>
          <w:rFonts w:ascii="Calibri" w:hAnsi="Calibri" w:cs="Calibri"/>
        </w:rPr>
        <w:t xml:space="preserve"> 1B), residual bias will remain after controlling for the measured confounder—for example, if the association of TB treatment on cure were confounded by socioeconomic status, which was imperfectly measured with the proxy of educational attainment. This is true whether E causally affects D or not. </w:t>
      </w:r>
    </w:p>
    <w:p w14:paraId="05F126CB" w14:textId="0DD9941A" w:rsidR="00C57A0F" w:rsidRDefault="00C57A0F" w:rsidP="00C57A0F">
      <w:pPr>
        <w:spacing w:line="480" w:lineRule="auto"/>
        <w:ind w:firstLine="720"/>
        <w:rPr>
          <w:rFonts w:ascii="Calibri" w:hAnsi="Calibri" w:cs="Calibri"/>
        </w:rPr>
      </w:pPr>
      <w:r w:rsidRPr="003F5FC3">
        <w:rPr>
          <w:rFonts w:ascii="Calibri" w:hAnsi="Calibri" w:cs="Calibri"/>
          <w:i/>
        </w:rPr>
        <w:t>Threat 1</w:t>
      </w:r>
      <w:r>
        <w:rPr>
          <w:rFonts w:ascii="Calibri" w:hAnsi="Calibri" w:cs="Calibri"/>
          <w:i/>
        </w:rPr>
        <w:t>7</w:t>
      </w:r>
      <w:r w:rsidRPr="003F5FC3">
        <w:rPr>
          <w:rFonts w:ascii="Calibri" w:hAnsi="Calibri" w:cs="Calibri"/>
        </w:rPr>
        <w:t xml:space="preserve">. </w:t>
      </w:r>
      <w:r w:rsidRPr="001D7432">
        <w:rPr>
          <w:rFonts w:ascii="Calibri" w:hAnsi="Calibri" w:cs="Calibri"/>
        </w:rPr>
        <w:t>Restriction of the range corresponds</w:t>
      </w:r>
      <w:r>
        <w:rPr>
          <w:rFonts w:ascii="Calibri" w:hAnsi="Calibri" w:cs="Calibri"/>
        </w:rPr>
        <w:t xml:space="preserve"> to </w:t>
      </w:r>
      <w:r>
        <w:t xml:space="preserve">reduced power or attenuated effect estimates due to restrictions on the range of values the exposure or outcome can take, in situations where </w:t>
      </w:r>
      <w:proofErr w:type="spellStart"/>
      <w:r>
        <w:t>E</w:t>
      </w:r>
      <w:proofErr w:type="spellEnd"/>
      <w:r>
        <w:t xml:space="preserve"> has an effect on D. If restriction is on the range of the exposure (</w:t>
      </w:r>
      <w:proofErr w:type="spellStart"/>
      <w:r w:rsidR="00232055">
        <w:t>eFigure</w:t>
      </w:r>
      <w:proofErr w:type="spellEnd"/>
      <w:r>
        <w:t xml:space="preserve"> 1C), the relationship between the restricted exposure (E</w:t>
      </w:r>
      <w:r w:rsidRPr="00B94D04">
        <w:rPr>
          <w:vertAlign w:val="subscript"/>
        </w:rPr>
        <w:t>m</w:t>
      </w:r>
      <w:r>
        <w:t xml:space="preserve">) and the outcome may be weakened. This threat might occur, for example, when a continuous measure of body mass index is categorized, thereby reducing power to detect </w:t>
      </w:r>
      <w:r>
        <w:rPr>
          <w:rFonts w:ascii="Calibri" w:hAnsi="Calibri" w:cs="Calibri"/>
        </w:rPr>
        <w:t>an association with heart disease.</w:t>
      </w:r>
    </w:p>
    <w:p w14:paraId="34AAFAE2" w14:textId="76E4EF08" w:rsidR="00C57A0F" w:rsidRPr="003F5FC3" w:rsidRDefault="00C57A0F" w:rsidP="00100A2A">
      <w:pPr>
        <w:spacing w:line="480" w:lineRule="auto"/>
        <w:ind w:firstLine="720"/>
        <w:rPr>
          <w:rFonts w:ascii="Calibri" w:hAnsi="Calibri" w:cs="Calibri"/>
        </w:rPr>
      </w:pPr>
      <w:r>
        <w:lastRenderedPageBreak/>
        <w:t xml:space="preserve">If the restriction is on the outcome, bias can result, as in </w:t>
      </w:r>
      <w:proofErr w:type="spellStart"/>
      <w:r w:rsidR="00232055">
        <w:t>eFigure</w:t>
      </w:r>
      <w:proofErr w:type="spellEnd"/>
      <w:r>
        <w:t xml:space="preserve"> 1D where conditioning on D</w:t>
      </w:r>
      <w:r w:rsidRPr="0030740A">
        <w:rPr>
          <w:vertAlign w:val="subscript"/>
        </w:rPr>
        <w:t>m</w:t>
      </w:r>
      <w:r>
        <w:t xml:space="preserve"> opens a backdoor path from E to D through U</w:t>
      </w:r>
      <w:r w:rsidRPr="0030740A">
        <w:rPr>
          <w:vertAlign w:val="subscript"/>
        </w:rPr>
        <w:t>D</w:t>
      </w:r>
      <w:r>
        <w:t>.</w:t>
      </w:r>
      <w:r>
        <w:fldChar w:fldCharType="begin"/>
      </w:r>
      <w:r>
        <w:instrText xml:space="preserve"> ADDIN ZOTERO_ITEM CSL_CITATION {"citationID":"SuQ9zTUo","properties":{"formattedCitation":"\\super 23\\nosupersub{}","plainCitation":"23","noteIndex":0},"citationItems":[{"id":"sxSwLCLq/8kQr6Opu","uris":["http://zotero.org/users/2307819/items/I2A4L5AM"],"uri":["http://zotero.org/users/2307819/items/I2A4L5AM"],"itemData":{"id":9250,"type":"chapter","title":"Using causal diagrams to understand common problems in social epidemiology","container-title":"Methods in Social Epidemiology","page":"393-428","note":"Glymour, M. M. (2006). Using causal diagrams to understand common problems in social epidemiology. Methods in social epidemiology, 393-428.","author":[{"family":"Glymour","given":"M. M."}],"issued":{"date-parts":[["2006"]]}}}],"schema":"https://github.com/citation-style-language/schema/raw/master/csl-citation.json"} </w:instrText>
      </w:r>
      <w:r>
        <w:fldChar w:fldCharType="separate"/>
      </w:r>
      <w:r w:rsidRPr="00173B7A">
        <w:rPr>
          <w:rFonts w:ascii="Calibri" w:hAnsi="Calibri" w:cs="Times New Roman"/>
          <w:vertAlign w:val="superscript"/>
        </w:rPr>
        <w:t>23</w:t>
      </w:r>
      <w:r>
        <w:fldChar w:fldCharType="end"/>
      </w:r>
      <w:r>
        <w:t xml:space="preserve"> For example, genetics (U</w:t>
      </w:r>
      <w:r w:rsidRPr="005F550C">
        <w:rPr>
          <w:vertAlign w:val="subscript"/>
        </w:rPr>
        <w:t>D</w:t>
      </w:r>
      <w:r>
        <w:t>) and education (E) might both affect intelligence as measured by an IQ test (D), which could be categorized as being above or below some threshold (D</w:t>
      </w:r>
      <w:r w:rsidRPr="005F550C">
        <w:rPr>
          <w:vertAlign w:val="subscript"/>
        </w:rPr>
        <w:t>m</w:t>
      </w:r>
      <w:r>
        <w:t>). Restricting to either strata of D</w:t>
      </w:r>
      <w:r w:rsidRPr="005F550C">
        <w:rPr>
          <w:vertAlign w:val="subscript"/>
        </w:rPr>
        <w:t>m</w:t>
      </w:r>
      <w:r>
        <w:rPr>
          <w:vertAlign w:val="subscript"/>
        </w:rPr>
        <w:t xml:space="preserve"> </w:t>
      </w:r>
      <w:r>
        <w:t>would weaken the measured E-D association. Intuitively, if we restrict to a range of high values of D, and both U</w:t>
      </w:r>
      <w:r w:rsidRPr="00342352">
        <w:rPr>
          <w:vertAlign w:val="subscript"/>
        </w:rPr>
        <w:t>D</w:t>
      </w:r>
      <w:r>
        <w:t xml:space="preserve"> and E increase D, then anyone with a low value of E must have a high value of U</w:t>
      </w:r>
      <w:r w:rsidRPr="00342352">
        <w:rPr>
          <w:vertAlign w:val="subscript"/>
        </w:rPr>
        <w:t>D</w:t>
      </w:r>
      <w:r>
        <w:t>; this creates an inverse association between U</w:t>
      </w:r>
      <w:r w:rsidRPr="00342352">
        <w:rPr>
          <w:vertAlign w:val="subscript"/>
        </w:rPr>
        <w:t>D</w:t>
      </w:r>
      <w:r>
        <w:t xml:space="preserve"> and E.</w:t>
      </w:r>
      <w:r w:rsidR="00D00277" w:rsidRPr="00F36B97" w:rsidDel="00D00277">
        <w:t xml:space="preserve"> </w:t>
      </w:r>
    </w:p>
    <w:p w14:paraId="1E677603" w14:textId="4DAADC15" w:rsidR="00C57A0F" w:rsidRDefault="00C57A0F" w:rsidP="00C57A0F">
      <w:pPr>
        <w:spacing w:line="480" w:lineRule="auto"/>
        <w:ind w:firstLine="720"/>
      </w:pPr>
      <w:r w:rsidRPr="00B237DD">
        <w:rPr>
          <w:rFonts w:ascii="Calibri" w:hAnsi="Calibri" w:cs="Calibri"/>
          <w:i/>
        </w:rPr>
        <w:t>Threat 18</w:t>
      </w:r>
      <w:r w:rsidRPr="00B237DD">
        <w:rPr>
          <w:rFonts w:ascii="Calibri" w:hAnsi="Calibri" w:cs="Calibri"/>
        </w:rPr>
        <w:t>. Unreliability of treatment implementation refers</w:t>
      </w:r>
      <w:r w:rsidRPr="003F5FC3">
        <w:rPr>
          <w:rFonts w:ascii="Calibri" w:hAnsi="Calibri" w:cs="Calibri"/>
        </w:rPr>
        <w:t xml:space="preserve"> to </w:t>
      </w:r>
      <w:r>
        <w:t>attenuated effect estimates due to partial treatment implementation, nonadherence, or noncompliance in studies where the exposure is assigned and the investigator is interested in the effect of a treatment or program delivered under ideal conditions to all participants (as opposed to a pragmatic trial where nonadherence is expected).</w:t>
      </w:r>
      <w:r>
        <w:fldChar w:fldCharType="begin"/>
      </w:r>
      <w:r>
        <w:instrText xml:space="preserve"> ADDIN ZOTERO_ITEM CSL_CITATION {"citationID":"KvFqRccx","properties":{"formattedCitation":"\\super 13\\nosupersub{}","plainCitation":"13","noteIndex":0},"citationItems":[{"id":5435,"uris":["http://zotero.org/users/local/uJkCyh0a/items/5AH97CDW"],"uri":["http://zotero.org/users/local/uJkCyh0a/items/5AH97CDW"],"itemData":{"id":5435,"type":"chapter","title":"Chapter 9: Validity in Epidemiologic Studies","container-title":"Modern Epidemiology","publisher":"Lippincott Williams &amp; Wilkins","publisher-place":"Philadelphia, PA","edition":"Third","event-place":"Philadelphia, PA","author":[{"family":"Rothman","given":"Kenneth J"},{"family":"Greenland","given":"Sander"},{"family":"Lash","given":"Timothy L."}],"issued":{"date-parts":[["2008"]]}}}],"schema":"https://github.com/citation-style-language/schema/raw/master/csl-citation.json"} </w:instrText>
      </w:r>
      <w:r>
        <w:fldChar w:fldCharType="separate"/>
      </w:r>
      <w:r w:rsidRPr="006D1911">
        <w:rPr>
          <w:rFonts w:ascii="Calibri" w:cs="Times New Roman"/>
          <w:vertAlign w:val="superscript"/>
        </w:rPr>
        <w:t>13</w:t>
      </w:r>
      <w:r>
        <w:fldChar w:fldCharType="end"/>
      </w:r>
      <w:r>
        <w:t xml:space="preserve"> When this pattern is not measured or accounted for, it introduces imprecision and bias. For example, if the assigned treatment (T) is not the exposure all participants actually receive (E), then the observed association will reflect E’s impact on D and be an underpowered and biased measure of T’s effect on D under perfect adherence (</w:t>
      </w:r>
      <w:proofErr w:type="spellStart"/>
      <w:r w:rsidR="00232055">
        <w:t>eFigure</w:t>
      </w:r>
      <w:proofErr w:type="spellEnd"/>
      <w:r>
        <w:t xml:space="preserve"> 1E). </w:t>
      </w:r>
    </w:p>
    <w:p w14:paraId="2EC9F0A4" w14:textId="09F6281C" w:rsidR="00100A2A" w:rsidRDefault="00100A2A" w:rsidP="00100A2A">
      <w:pPr>
        <w:spacing w:line="480" w:lineRule="auto"/>
        <w:rPr>
          <w:rFonts w:ascii="Calibri" w:hAnsi="Calibri" w:cs="Calibri"/>
        </w:rPr>
      </w:pPr>
      <w:proofErr w:type="spellStart"/>
      <w:r>
        <w:rPr>
          <w:rFonts w:ascii="Calibri" w:hAnsi="Calibri" w:cs="Calibri"/>
        </w:rPr>
        <w:t>eFigure</w:t>
      </w:r>
      <w:proofErr w:type="spellEnd"/>
      <w:r>
        <w:rPr>
          <w:rFonts w:ascii="Calibri" w:hAnsi="Calibri" w:cs="Calibri"/>
        </w:rPr>
        <w:t xml:space="preserve"> 1: Threats to statistical conclusion validity represented as directed acyclic graphs</w:t>
      </w:r>
    </w:p>
    <w:p w14:paraId="4544E021" w14:textId="58988507" w:rsidR="00100A2A" w:rsidRDefault="00100A2A" w:rsidP="00100A2A">
      <w:pPr>
        <w:spacing w:line="480" w:lineRule="auto"/>
      </w:pPr>
      <w:r>
        <w:rPr>
          <w:noProof/>
        </w:rPr>
        <w:lastRenderedPageBreak/>
        <w:drawing>
          <wp:inline distT="0" distB="0" distL="0" distR="0" wp14:anchorId="6E34392E" wp14:editId="556A251F">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igure1.pdf"/>
                    <pic:cNvPicPr/>
                  </pic:nvPicPr>
                  <pic:blipFill>
                    <a:blip r:embed="rId6">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624EDF5F" w14:textId="77777777" w:rsidR="00C57A0F" w:rsidRPr="003877E8" w:rsidRDefault="00C57A0F" w:rsidP="00C57A0F">
      <w:pPr>
        <w:spacing w:line="480" w:lineRule="auto"/>
        <w:rPr>
          <w:rFonts w:cs="Calibri"/>
        </w:rPr>
      </w:pPr>
      <w:r w:rsidRPr="003877E8">
        <w:rPr>
          <w:rFonts w:cs="Calibri"/>
        </w:rPr>
        <w:t>Supplemental threats to construct validity</w:t>
      </w:r>
    </w:p>
    <w:p w14:paraId="06DC324E" w14:textId="3AB98D39" w:rsidR="00C57A0F" w:rsidRPr="00655A3E" w:rsidRDefault="00C57A0F" w:rsidP="00C57A0F">
      <w:pPr>
        <w:spacing w:line="480" w:lineRule="auto"/>
        <w:ind w:firstLine="720"/>
      </w:pPr>
      <w:r w:rsidRPr="00655A3E">
        <w:rPr>
          <w:rFonts w:ascii="Calibri" w:hAnsi="Calibri" w:cs="Calibri"/>
          <w:i/>
        </w:rPr>
        <w:t>Threat 24</w:t>
      </w:r>
      <w:r w:rsidRPr="00655A3E">
        <w:rPr>
          <w:rFonts w:ascii="Calibri" w:hAnsi="Calibri" w:cs="Calibri"/>
        </w:rPr>
        <w:t>. Treatment sensitiv</w:t>
      </w:r>
      <w:r>
        <w:rPr>
          <w:rFonts w:ascii="Calibri" w:hAnsi="Calibri" w:cs="Calibri"/>
        </w:rPr>
        <w:t>e</w:t>
      </w:r>
      <w:r w:rsidRPr="00655A3E">
        <w:rPr>
          <w:rFonts w:ascii="Calibri" w:hAnsi="Calibri" w:cs="Calibri"/>
        </w:rPr>
        <w:t xml:space="preserve"> factorial structure</w:t>
      </w:r>
      <w:r>
        <w:rPr>
          <w:rFonts w:ascii="Calibri" w:hAnsi="Calibri" w:cs="Calibri"/>
        </w:rPr>
        <w:t xml:space="preserve"> </w:t>
      </w:r>
      <w:r w:rsidRPr="00655A3E">
        <w:t xml:space="preserve">refers to situations where the exposure affects the dimensionality of the outcome but dimensions of the outcome </w:t>
      </w:r>
      <w:r>
        <w:t xml:space="preserve">that are </w:t>
      </w:r>
      <w:r w:rsidRPr="00655A3E">
        <w:t xml:space="preserve">measured </w:t>
      </w:r>
      <w:r>
        <w:t xml:space="preserve">by the researcher </w:t>
      </w:r>
      <w:r w:rsidRPr="00655A3E">
        <w:t>do not change. This threat can correspond to measurement error or differential item functioning over time. This issue might occur, for example, when studying a health literacy intervention’s impact on a multi-component score of attitudes towards physicians, where the untreated participants’ attitudes remain unchanged, but the treated participants’ attitudes change along several dimensions (D</w:t>
      </w:r>
      <w:r w:rsidRPr="00655A3E">
        <w:rPr>
          <w:vertAlign w:val="subscript"/>
        </w:rPr>
        <w:t>1</w:t>
      </w:r>
      <w:r w:rsidRPr="00655A3E">
        <w:t>, D</w:t>
      </w:r>
      <w:r w:rsidRPr="00655A3E">
        <w:rPr>
          <w:vertAlign w:val="subscript"/>
        </w:rPr>
        <w:t>2</w:t>
      </w:r>
      <w:r w:rsidRPr="00655A3E">
        <w:t>) that are masked when the score is summed or only assesses one component (e.g. D</w:t>
      </w:r>
      <w:r w:rsidRPr="00655A3E">
        <w:rPr>
          <w:vertAlign w:val="subscript"/>
        </w:rPr>
        <w:t>m</w:t>
      </w:r>
      <w:r w:rsidRPr="00655A3E">
        <w:t xml:space="preserve"> in </w:t>
      </w:r>
      <w:proofErr w:type="spellStart"/>
      <w:r w:rsidR="00232055">
        <w:t>eFigure</w:t>
      </w:r>
      <w:proofErr w:type="spellEnd"/>
      <w:r w:rsidRPr="00655A3E">
        <w:t xml:space="preserve"> </w:t>
      </w:r>
      <w:r>
        <w:t>2A</w:t>
      </w:r>
      <w:r w:rsidRPr="00655A3E">
        <w:t xml:space="preserve">). </w:t>
      </w:r>
      <w:r>
        <w:t xml:space="preserve">This DAG also illustrates why controlling for one dimension in order to isolate the impact of the exposure on the other dimension could actually induce a spurious association between the exposure and the second dimension. </w:t>
      </w:r>
    </w:p>
    <w:p w14:paraId="53BA5DE1" w14:textId="6FB119D9" w:rsidR="00C57A0F" w:rsidRDefault="00C57A0F" w:rsidP="00C57A0F">
      <w:pPr>
        <w:spacing w:line="480" w:lineRule="auto"/>
        <w:ind w:firstLine="720"/>
        <w:rPr>
          <w:rFonts w:ascii="Calibri" w:hAnsi="Calibri" w:cs="Calibri"/>
        </w:rPr>
      </w:pPr>
      <w:r w:rsidRPr="006440AB">
        <w:rPr>
          <w:rFonts w:ascii="Calibri" w:hAnsi="Calibri" w:cs="Calibri"/>
          <w:i/>
        </w:rPr>
        <w:t>Threat 25</w:t>
      </w:r>
      <w:r w:rsidRPr="006440AB">
        <w:rPr>
          <w:rFonts w:ascii="Calibri" w:hAnsi="Calibri" w:cs="Calibri"/>
        </w:rPr>
        <w:t xml:space="preserve">. Reactive self-report changes can occur, for example, in a study of psychotherapy and depressive symptoms, where participants exaggerate their self-reported symptoms in order to seem more meritorious of treatment, and stop exaggerating once treatment has been assigned, generating a spurious association between the treatment </w:t>
      </w:r>
      <w:r w:rsidRPr="006440AB">
        <w:rPr>
          <w:rFonts w:ascii="Calibri" w:hAnsi="Calibri" w:cs="Calibri"/>
        </w:rPr>
        <w:lastRenderedPageBreak/>
        <w:t>assignment and changes in self-reported symptoms.</w:t>
      </w:r>
      <w:r>
        <w:rPr>
          <w:rFonts w:ascii="Calibri" w:hAnsi="Calibri" w:cs="Calibri"/>
        </w:rPr>
        <w:fldChar w:fldCharType="begin"/>
      </w:r>
      <w:r>
        <w:rPr>
          <w:rFonts w:ascii="Calibri" w:hAnsi="Calibri" w:cs="Calibri"/>
        </w:rPr>
        <w:instrText xml:space="preserve"> ADDIN ZOTERO_ITEM CSL_CITATION {"citationID":"xlKIWZiq","properties":{"formattedCitation":"\\super 20\\nosupersub{}","plainCitation":"20","noteIndex":0},"citationItems":[{"id":5436,"uris":["http://zotero.org/users/local/uJkCyh0a/items/XAXYGYBL"],"uri":["http://zotero.org/users/local/uJkCyh0a/items/XAXYGYBL"],"itemData":{"id":5436,"type":"article-journal","title":"Blinding in clinical trials and other studies","container-title":"BMJ","page":"504","volume":"321","issue":"7259","source":"www.bmj.com","abstract":"Human behaviour is influenced by what we know or believe. In research there is a particular risk of expectation influencing findings, most obviously when there is some subjectivity in assessment, leading to biased results. Blinding (sometimes called masking) is used to try to eliminate such bias.\n\nIt is a tenet of randomised controlled trials that the treatment allocation for each patient is not revealed until the patient has irrevocably been entered into the trial, to avoid selection bias. This sort of blinding, better referred to as allocation concealment, will be discussed in a future statistics note. In controlled trials the term blinding, and in particular “double blind,” usually refers to keeping study participants, those involved with their management, and those collecting and analysing clinical data unaware of the assigned treatment, so that they should not be influenced by that knowledge.\n\nThe relevance of blinding will vary according to circumstances. Blinding patients to the treatment they have received in a controlled trial is particularly important when the …","DOI":"10.1136/bmj.321.7259.504","ISSN":"0959-8138, 1468-5833","note":"PMID: 10948038","journalAbbreviation":"BMJ","language":"en","author":[{"family":"Day","given":"Simon J."},{"family":"Altman","given":"Douglas G."}],"issued":{"date-parts":[["2000",8,19]]}}}],"schema":"https://github.com/citation-style-language/schema/raw/master/csl-citation.json"} </w:instrText>
      </w:r>
      <w:r>
        <w:rPr>
          <w:rFonts w:ascii="Calibri" w:hAnsi="Calibri" w:cs="Calibri"/>
        </w:rPr>
        <w:fldChar w:fldCharType="separate"/>
      </w:r>
      <w:r w:rsidRPr="00173B7A">
        <w:rPr>
          <w:rFonts w:ascii="Calibri" w:hAnsi="Calibri" w:cs="Times New Roman"/>
          <w:vertAlign w:val="superscript"/>
        </w:rPr>
        <w:t>20</w:t>
      </w:r>
      <w:r>
        <w:rPr>
          <w:rFonts w:ascii="Calibri" w:hAnsi="Calibri" w:cs="Calibri"/>
        </w:rPr>
        <w:fldChar w:fldCharType="end"/>
      </w:r>
      <w:r w:rsidRPr="006440AB">
        <w:rPr>
          <w:rFonts w:ascii="Calibri" w:hAnsi="Calibri" w:cs="Calibri"/>
        </w:rPr>
        <w:t xml:space="preserve"> This pattern could be considered a consistency violation, if changes in the motivation to exaggerate (U) are not considered part of the treatment </w:t>
      </w:r>
      <w:r>
        <w:rPr>
          <w:rFonts w:ascii="Calibri" w:hAnsi="Calibri" w:cs="Calibri"/>
        </w:rPr>
        <w:t xml:space="preserve">T’s </w:t>
      </w:r>
      <w:r w:rsidRPr="006440AB">
        <w:rPr>
          <w:rFonts w:ascii="Calibri" w:hAnsi="Calibri" w:cs="Calibri"/>
        </w:rPr>
        <w:t>effect, or differential measurement error, if the self-reported symptoms are considered an inaccurate measurement of latent depression (</w:t>
      </w:r>
      <w:proofErr w:type="spellStart"/>
      <w:r w:rsidR="00232055">
        <w:rPr>
          <w:rFonts w:ascii="Calibri" w:hAnsi="Calibri" w:cs="Calibri"/>
        </w:rPr>
        <w:t>eFigure</w:t>
      </w:r>
      <w:proofErr w:type="spellEnd"/>
      <w:r w:rsidRPr="006440AB">
        <w:rPr>
          <w:rFonts w:ascii="Calibri" w:hAnsi="Calibri" w:cs="Calibri"/>
        </w:rPr>
        <w:t xml:space="preserve"> </w:t>
      </w:r>
      <w:r>
        <w:rPr>
          <w:rFonts w:ascii="Calibri" w:hAnsi="Calibri" w:cs="Calibri"/>
        </w:rPr>
        <w:t>2B</w:t>
      </w:r>
      <w:r w:rsidRPr="006440AB">
        <w:rPr>
          <w:rFonts w:ascii="Calibri" w:hAnsi="Calibri" w:cs="Calibri"/>
        </w:rPr>
        <w:t xml:space="preserve">). This threat is particularly relevant when the treatment is assigned by the investigator and participants are not </w:t>
      </w:r>
      <w:r>
        <w:rPr>
          <w:rFonts w:ascii="Calibri" w:hAnsi="Calibri" w:cs="Calibri"/>
        </w:rPr>
        <w:t>masked</w:t>
      </w:r>
      <w:r w:rsidRPr="006440AB">
        <w:rPr>
          <w:rFonts w:ascii="Calibri" w:hAnsi="Calibri" w:cs="Calibri"/>
        </w:rPr>
        <w:t xml:space="preserve"> to treatment assignment. </w:t>
      </w:r>
    </w:p>
    <w:p w14:paraId="5AFB90B4" w14:textId="2D96970B" w:rsidR="00C57A0F" w:rsidRDefault="00C57A0F" w:rsidP="00100A2A">
      <w:pPr>
        <w:spacing w:line="480" w:lineRule="auto"/>
        <w:ind w:firstLine="720"/>
      </w:pPr>
      <w:r w:rsidRPr="00036EDC">
        <w:rPr>
          <w:rFonts w:ascii="Calibri" w:hAnsi="Calibri" w:cs="Calibri"/>
          <w:i/>
        </w:rPr>
        <w:t>Threat 32</w:t>
      </w:r>
      <w:r w:rsidRPr="00036EDC">
        <w:rPr>
          <w:rFonts w:ascii="Calibri" w:hAnsi="Calibri" w:cs="Calibri"/>
        </w:rPr>
        <w:t xml:space="preserve">. Treatment diffusion occurs when the </w:t>
      </w:r>
      <w:r w:rsidRPr="00036EDC">
        <w:t>assigned exposure is not the one that was actually received by some participants.</w:t>
      </w:r>
      <w:r>
        <w:fldChar w:fldCharType="begin"/>
      </w:r>
      <w:r>
        <w:instrText xml:space="preserve"> ADDIN ZOTERO_ITEM CSL_CITATION {"citationID":"o694EPmB","properties":{"formattedCitation":"\\super 13\\nosupersub{}","plainCitation":"13","noteIndex":0},"citationItems":[{"id":5435,"uris":["http://zotero.org/users/local/uJkCyh0a/items/5AH97CDW"],"uri":["http://zotero.org/users/local/uJkCyh0a/items/5AH97CDW"],"itemData":{"id":5435,"type":"chapter","title":"Chapter 9: Validity in Epidemiologic Studies","container-title":"Modern Epidemiology","publisher":"Lippincott Williams &amp; Wilkins","publisher-place":"Philadelphia, PA","edition":"Third","event-place":"Philadelphia, PA","author":[{"family":"Rothman","given":"Kenneth J"},{"family":"Greenland","given":"Sander"},{"family":"Lash","given":"Timothy L."}],"issued":{"date-parts":[["2008"]]}}}],"schema":"https://github.com/citation-style-language/schema/raw/master/csl-citation.json"} </w:instrText>
      </w:r>
      <w:r>
        <w:fldChar w:fldCharType="separate"/>
      </w:r>
      <w:r w:rsidRPr="006D1911">
        <w:rPr>
          <w:rFonts w:ascii="Calibri" w:cs="Times New Roman"/>
          <w:vertAlign w:val="superscript"/>
        </w:rPr>
        <w:t>13</w:t>
      </w:r>
      <w:r>
        <w:fldChar w:fldCharType="end"/>
      </w:r>
      <w:r w:rsidRPr="00036EDC">
        <w:t xml:space="preserve"> In this situation, it is important to correctly attribute the measured effect to either the exposure received (E) or the exposure assigned (T) (</w:t>
      </w:r>
      <w:proofErr w:type="spellStart"/>
      <w:r w:rsidR="00232055">
        <w:t>e</w:t>
      </w:r>
      <w:r w:rsidRPr="00036EDC">
        <w:t>Figure</w:t>
      </w:r>
      <w:proofErr w:type="spellEnd"/>
      <w:r w:rsidRPr="00036EDC">
        <w:t xml:space="preserve"> </w:t>
      </w:r>
      <w:r>
        <w:t>2C</w:t>
      </w:r>
      <w:r w:rsidRPr="00036EDC">
        <w:t xml:space="preserve">). When the diffusion is accurately measured, a clear delineation and correct interpretation of either the intent-to-treat estimate or the per protocol estimate can remedy this threat when appropriate analyses are adopted. </w:t>
      </w:r>
    </w:p>
    <w:p w14:paraId="36CF0341" w14:textId="67B909D2" w:rsidR="00100A2A" w:rsidRDefault="00100A2A" w:rsidP="00100A2A">
      <w:pPr>
        <w:spacing w:line="480" w:lineRule="auto"/>
        <w:rPr>
          <w:rFonts w:ascii="Calibri" w:hAnsi="Calibri" w:cs="Calibri"/>
        </w:rPr>
      </w:pPr>
      <w:proofErr w:type="spellStart"/>
      <w:r>
        <w:rPr>
          <w:rFonts w:ascii="Calibri" w:hAnsi="Calibri" w:cs="Calibri"/>
        </w:rPr>
        <w:t>eFigure</w:t>
      </w:r>
      <w:proofErr w:type="spellEnd"/>
      <w:r>
        <w:rPr>
          <w:rFonts w:ascii="Calibri" w:hAnsi="Calibri" w:cs="Calibri"/>
        </w:rPr>
        <w:t xml:space="preserve"> 2: Supplemental threats to construct validity represented as directed acyclic graphs</w:t>
      </w:r>
    </w:p>
    <w:p w14:paraId="052D52D2" w14:textId="5307EA5B" w:rsidR="00100A2A" w:rsidRDefault="00100A2A" w:rsidP="00100A2A">
      <w:pPr>
        <w:spacing w:line="480" w:lineRule="auto"/>
        <w:rPr>
          <w:rFonts w:ascii="Calibri" w:hAnsi="Calibri" w:cs="Calibri"/>
        </w:rPr>
      </w:pPr>
      <w:r>
        <w:rPr>
          <w:rFonts w:ascii="Calibri" w:hAnsi="Calibri" w:cs="Calibri"/>
          <w:noProof/>
        </w:rPr>
        <w:drawing>
          <wp:inline distT="0" distB="0" distL="0" distR="0" wp14:anchorId="71B6839E" wp14:editId="28BC0CA6">
            <wp:extent cx="41148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igure2.pdf"/>
                    <pic:cNvPicPr/>
                  </pic:nvPicPr>
                  <pic:blipFill>
                    <a:blip r:embed="rId7">
                      <a:extLst>
                        <a:ext uri="{28A0092B-C50C-407E-A947-70E740481C1C}">
                          <a14:useLocalDpi xmlns:a14="http://schemas.microsoft.com/office/drawing/2010/main" val="0"/>
                        </a:ext>
                      </a:extLst>
                    </a:blip>
                    <a:stretch>
                      <a:fillRect/>
                    </a:stretch>
                  </pic:blipFill>
                  <pic:spPr>
                    <a:xfrm>
                      <a:off x="0" y="0"/>
                      <a:ext cx="4114800" cy="2286000"/>
                    </a:xfrm>
                    <a:prstGeom prst="rect">
                      <a:avLst/>
                    </a:prstGeom>
                  </pic:spPr>
                </pic:pic>
              </a:graphicData>
            </a:graphic>
          </wp:inline>
        </w:drawing>
      </w:r>
    </w:p>
    <w:p w14:paraId="7FEB1FEE" w14:textId="77777777" w:rsidR="00C57A0F" w:rsidRDefault="00C57A0F" w:rsidP="00C57A0F">
      <w:pPr>
        <w:spacing w:line="480" w:lineRule="auto"/>
      </w:pPr>
      <w:r>
        <w:t>Supplemental threats to external validity</w:t>
      </w:r>
    </w:p>
    <w:p w14:paraId="72070FE4" w14:textId="513E02BD" w:rsidR="00FE0D84" w:rsidRDefault="00C57A0F" w:rsidP="00100A2A">
      <w:pPr>
        <w:spacing w:line="480" w:lineRule="auto"/>
        <w:ind w:firstLine="720"/>
        <w:rPr>
          <w:rFonts w:cs="AGaramond-Regular"/>
        </w:rPr>
      </w:pPr>
      <w:r w:rsidRPr="002C06B5">
        <w:rPr>
          <w:i/>
        </w:rPr>
        <w:lastRenderedPageBreak/>
        <w:t>Threat 35</w:t>
      </w:r>
      <w:r>
        <w:t xml:space="preserve">. Context-dependent mediation </w:t>
      </w:r>
      <w:r>
        <w:rPr>
          <w:rFonts w:cs="AGaramond-Regular"/>
        </w:rPr>
        <w:t>(</w:t>
      </w:r>
      <w:proofErr w:type="spellStart"/>
      <w:r w:rsidR="00232055">
        <w:rPr>
          <w:rFonts w:cs="AGaramond-Regular"/>
        </w:rPr>
        <w:t>e</w:t>
      </w:r>
      <w:r>
        <w:rPr>
          <w:rFonts w:cs="AGaramond-Regular"/>
        </w:rPr>
        <w:t>Figure</w:t>
      </w:r>
      <w:proofErr w:type="spellEnd"/>
      <w:r>
        <w:rPr>
          <w:rFonts w:cs="AGaramond-Regular"/>
        </w:rPr>
        <w:t xml:space="preserve"> 3A) </w:t>
      </w:r>
      <w:r>
        <w:t xml:space="preserve">arises </w:t>
      </w:r>
      <w:r>
        <w:rPr>
          <w:rFonts w:cs="AGaramond-Regular"/>
        </w:rPr>
        <w:t xml:space="preserve">when the target causal quantity is a mediation parameter. </w:t>
      </w:r>
      <w:r>
        <w:t>This threat is consistent with the widespread recognition in epidemiology that contextual factors may modify the relevance of specific mediators.</w:t>
      </w:r>
      <w:r>
        <w:rPr>
          <w:rFonts w:cs="AGaramond-Regular"/>
        </w:rPr>
        <w:t xml:space="preserve"> For example, the controlled direct effect of neighborhood deprivation on risky sexual behavior that is not mediated by economic strain may depend on contextual levels of urban blight. </w:t>
      </w:r>
    </w:p>
    <w:p w14:paraId="26BD978B" w14:textId="44705C55" w:rsidR="00100A2A" w:rsidRDefault="00100A2A" w:rsidP="00100A2A">
      <w:pPr>
        <w:spacing w:line="480" w:lineRule="auto"/>
        <w:rPr>
          <w:rFonts w:ascii="Calibri" w:hAnsi="Calibri" w:cs="Calibri"/>
        </w:rPr>
      </w:pPr>
      <w:proofErr w:type="spellStart"/>
      <w:r>
        <w:rPr>
          <w:rFonts w:ascii="Calibri" w:hAnsi="Calibri" w:cs="Calibri"/>
        </w:rPr>
        <w:t>eFigure</w:t>
      </w:r>
      <w:proofErr w:type="spellEnd"/>
      <w:r>
        <w:rPr>
          <w:rFonts w:ascii="Calibri" w:hAnsi="Calibri" w:cs="Calibri"/>
        </w:rPr>
        <w:t xml:space="preserve"> 3: Supplemental threats to external validity represented as directed acyclic graphs</w:t>
      </w:r>
    </w:p>
    <w:p w14:paraId="52FBF39C" w14:textId="3819D200" w:rsidR="00100A2A" w:rsidRDefault="00100A2A" w:rsidP="00100A2A">
      <w:pPr>
        <w:spacing w:line="480" w:lineRule="auto"/>
      </w:pPr>
      <w:r>
        <w:rPr>
          <w:noProof/>
        </w:rPr>
        <w:drawing>
          <wp:inline distT="0" distB="0" distL="0" distR="0" wp14:anchorId="02D5C3E7" wp14:editId="0853658D">
            <wp:extent cx="13716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igure3.pdf"/>
                    <pic:cNvPicPr/>
                  </pic:nvPicPr>
                  <pic:blipFill>
                    <a:blip r:embed="rId8">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inline>
        </w:drawing>
      </w:r>
    </w:p>
    <w:p w14:paraId="2B5772C1" w14:textId="05F19365" w:rsidR="007F0FA3" w:rsidRDefault="007F0FA3" w:rsidP="007F0FA3">
      <w:pPr>
        <w:spacing w:line="480" w:lineRule="auto"/>
        <w:rPr>
          <w:u w:val="single"/>
        </w:rPr>
      </w:pPr>
      <w:r w:rsidRPr="007F0FA3">
        <w:rPr>
          <w:u w:val="single"/>
        </w:rPr>
        <w:t>Bibliography</w:t>
      </w:r>
      <w:bookmarkStart w:id="0" w:name="_GoBack"/>
      <w:bookmarkEnd w:id="0"/>
    </w:p>
    <w:p w14:paraId="399AF05C" w14:textId="2D27156B" w:rsidR="007F0FA3" w:rsidRPr="007F0FA3" w:rsidRDefault="007F0FA3" w:rsidP="007F0FA3">
      <w:pPr>
        <w:autoSpaceDE w:val="0"/>
        <w:autoSpaceDN w:val="0"/>
        <w:adjustRightInd w:val="0"/>
        <w:rPr>
          <w:rFonts w:cstheme="minorHAnsi"/>
          <w:sz w:val="22"/>
          <w:szCs w:val="22"/>
          <w:lang w:bidi="he-IL"/>
        </w:rPr>
      </w:pPr>
      <w:r w:rsidRPr="007F0FA3">
        <w:rPr>
          <w:rFonts w:cstheme="minorHAnsi"/>
          <w:sz w:val="22"/>
          <w:szCs w:val="22"/>
          <w:lang w:bidi="he-IL"/>
        </w:rPr>
        <w:t>1.</w:t>
      </w:r>
      <w:r w:rsidRPr="007F0FA3">
        <w:rPr>
          <w:rFonts w:cstheme="minorHAnsi"/>
          <w:sz w:val="22"/>
          <w:szCs w:val="22"/>
          <w:lang w:bidi="he-IL"/>
        </w:rPr>
        <w:t xml:space="preserve"> Zhang J, Yu KF. What’s the relative </w:t>
      </w:r>
      <w:proofErr w:type="gramStart"/>
      <w:r w:rsidRPr="007F0FA3">
        <w:rPr>
          <w:rFonts w:cstheme="minorHAnsi"/>
          <w:sz w:val="22"/>
          <w:szCs w:val="22"/>
          <w:lang w:bidi="he-IL"/>
        </w:rPr>
        <w:t>risk?:</w:t>
      </w:r>
      <w:proofErr w:type="gramEnd"/>
      <w:r w:rsidRPr="007F0FA3">
        <w:rPr>
          <w:rFonts w:cstheme="minorHAnsi"/>
          <w:sz w:val="22"/>
          <w:szCs w:val="22"/>
          <w:lang w:bidi="he-IL"/>
        </w:rPr>
        <w:t xml:space="preserve"> a method of correcting the odds</w:t>
      </w:r>
    </w:p>
    <w:p w14:paraId="0803D18B" w14:textId="77777777" w:rsidR="007F0FA3" w:rsidRPr="007F0FA3" w:rsidRDefault="007F0FA3" w:rsidP="007F0FA3">
      <w:pPr>
        <w:autoSpaceDE w:val="0"/>
        <w:autoSpaceDN w:val="0"/>
        <w:adjustRightInd w:val="0"/>
        <w:rPr>
          <w:rFonts w:cstheme="minorHAnsi"/>
          <w:sz w:val="22"/>
          <w:szCs w:val="22"/>
          <w:lang w:bidi="he-IL"/>
        </w:rPr>
      </w:pPr>
      <w:r w:rsidRPr="007F0FA3">
        <w:rPr>
          <w:rFonts w:cstheme="minorHAnsi"/>
          <w:sz w:val="22"/>
          <w:szCs w:val="22"/>
          <w:lang w:bidi="he-IL"/>
        </w:rPr>
        <w:t xml:space="preserve">ratio in cohort studies of common outcomes. JAMA. </w:t>
      </w:r>
      <w:proofErr w:type="gramStart"/>
      <w:r w:rsidRPr="007F0FA3">
        <w:rPr>
          <w:rFonts w:cstheme="minorHAnsi"/>
          <w:sz w:val="22"/>
          <w:szCs w:val="22"/>
          <w:lang w:bidi="he-IL"/>
        </w:rPr>
        <w:t>1998;280:1690</w:t>
      </w:r>
      <w:proofErr w:type="gramEnd"/>
      <w:r w:rsidRPr="007F0FA3">
        <w:rPr>
          <w:rFonts w:cstheme="minorHAnsi"/>
          <w:sz w:val="22"/>
          <w:szCs w:val="22"/>
          <w:lang w:bidi="he-IL"/>
        </w:rPr>
        <w:t>–</w:t>
      </w:r>
    </w:p>
    <w:p w14:paraId="158A65FD" w14:textId="77777777" w:rsidR="007F0FA3" w:rsidRPr="007F0FA3" w:rsidRDefault="007F0FA3" w:rsidP="007F0FA3">
      <w:pPr>
        <w:autoSpaceDE w:val="0"/>
        <w:autoSpaceDN w:val="0"/>
        <w:adjustRightInd w:val="0"/>
        <w:rPr>
          <w:rFonts w:cstheme="minorHAnsi"/>
          <w:sz w:val="22"/>
          <w:szCs w:val="22"/>
          <w:lang w:bidi="he-IL"/>
        </w:rPr>
      </w:pPr>
      <w:r w:rsidRPr="007F0FA3">
        <w:rPr>
          <w:rFonts w:cstheme="minorHAnsi"/>
          <w:sz w:val="22"/>
          <w:szCs w:val="22"/>
          <w:lang w:bidi="he-IL"/>
        </w:rPr>
        <w:t>1691.</w:t>
      </w:r>
    </w:p>
    <w:p w14:paraId="79775FFE" w14:textId="687C5C66" w:rsidR="007F0FA3" w:rsidRPr="007F0FA3" w:rsidRDefault="007F0FA3" w:rsidP="007F0FA3">
      <w:pPr>
        <w:autoSpaceDE w:val="0"/>
        <w:autoSpaceDN w:val="0"/>
        <w:adjustRightInd w:val="0"/>
        <w:rPr>
          <w:rFonts w:cstheme="minorHAnsi"/>
          <w:sz w:val="22"/>
          <w:szCs w:val="22"/>
          <w:lang w:bidi="he-IL"/>
        </w:rPr>
      </w:pPr>
      <w:r w:rsidRPr="007F0FA3">
        <w:rPr>
          <w:rFonts w:cstheme="minorHAnsi"/>
          <w:sz w:val="22"/>
          <w:szCs w:val="22"/>
          <w:lang w:bidi="he-IL"/>
        </w:rPr>
        <w:t>2.</w:t>
      </w:r>
      <w:r w:rsidRPr="007F0FA3">
        <w:rPr>
          <w:rFonts w:cstheme="minorHAnsi"/>
          <w:sz w:val="22"/>
          <w:szCs w:val="22"/>
          <w:lang w:bidi="he-IL"/>
        </w:rPr>
        <w:t xml:space="preserve"> Bound J, Jaeger DA, Baker RM. Problems with instrumental variables</w:t>
      </w:r>
    </w:p>
    <w:p w14:paraId="73AA7F3E" w14:textId="77777777" w:rsidR="007F0FA3" w:rsidRPr="007F0FA3" w:rsidRDefault="007F0FA3" w:rsidP="007F0FA3">
      <w:pPr>
        <w:autoSpaceDE w:val="0"/>
        <w:autoSpaceDN w:val="0"/>
        <w:adjustRightInd w:val="0"/>
        <w:rPr>
          <w:rFonts w:cstheme="minorHAnsi"/>
          <w:sz w:val="22"/>
          <w:szCs w:val="22"/>
          <w:lang w:bidi="he-IL"/>
        </w:rPr>
      </w:pPr>
      <w:r w:rsidRPr="007F0FA3">
        <w:rPr>
          <w:rFonts w:cstheme="minorHAnsi"/>
          <w:sz w:val="22"/>
          <w:szCs w:val="22"/>
          <w:lang w:bidi="he-IL"/>
        </w:rPr>
        <w:t>estimation when the correlation between the instruments and the endogenous</w:t>
      </w:r>
    </w:p>
    <w:p w14:paraId="4DE7DDEC" w14:textId="6EE063FC" w:rsidR="007F0FA3" w:rsidRPr="007F0FA3" w:rsidRDefault="007F0FA3" w:rsidP="007F0FA3">
      <w:pPr>
        <w:spacing w:line="480" w:lineRule="auto"/>
        <w:rPr>
          <w:rFonts w:cstheme="minorHAnsi"/>
          <w:sz w:val="22"/>
          <w:szCs w:val="22"/>
        </w:rPr>
      </w:pPr>
      <w:r w:rsidRPr="007F0FA3">
        <w:rPr>
          <w:rFonts w:cstheme="minorHAnsi"/>
          <w:sz w:val="22"/>
          <w:szCs w:val="22"/>
          <w:lang w:bidi="he-IL"/>
        </w:rPr>
        <w:t xml:space="preserve">explanatory variable is weak. J Am Stat Assoc. </w:t>
      </w:r>
      <w:proofErr w:type="gramStart"/>
      <w:r w:rsidRPr="007F0FA3">
        <w:rPr>
          <w:rFonts w:cstheme="minorHAnsi"/>
          <w:sz w:val="22"/>
          <w:szCs w:val="22"/>
          <w:lang w:bidi="he-IL"/>
        </w:rPr>
        <w:t>1995;90:443</w:t>
      </w:r>
      <w:proofErr w:type="gramEnd"/>
      <w:r w:rsidRPr="007F0FA3">
        <w:rPr>
          <w:rFonts w:cstheme="minorHAnsi"/>
          <w:sz w:val="22"/>
          <w:szCs w:val="22"/>
          <w:lang w:bidi="he-IL"/>
        </w:rPr>
        <w:t>–450.</w:t>
      </w:r>
    </w:p>
    <w:sectPr w:rsidR="007F0FA3" w:rsidRPr="007F0FA3" w:rsidSect="0034089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12EA" w14:textId="77777777" w:rsidR="008A165C" w:rsidRDefault="008A165C">
      <w:r>
        <w:separator/>
      </w:r>
    </w:p>
  </w:endnote>
  <w:endnote w:type="continuationSeparator" w:id="0">
    <w:p w14:paraId="66CB15FA" w14:textId="77777777" w:rsidR="008A165C" w:rsidRDefault="008A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Garamond-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1279249"/>
      <w:docPartObj>
        <w:docPartGallery w:val="Page Numbers (Bottom of Page)"/>
        <w:docPartUnique/>
      </w:docPartObj>
    </w:sdtPr>
    <w:sdtEndPr>
      <w:rPr>
        <w:rStyle w:val="PageNumber"/>
      </w:rPr>
    </w:sdtEndPr>
    <w:sdtContent>
      <w:p w14:paraId="5F2E7DF0" w14:textId="77777777" w:rsidR="00962D91" w:rsidRDefault="00C57A0F" w:rsidP="000C3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25694" w14:textId="77777777" w:rsidR="00962D91" w:rsidRDefault="008A165C" w:rsidP="00810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840514"/>
      <w:docPartObj>
        <w:docPartGallery w:val="Page Numbers (Bottom of Page)"/>
        <w:docPartUnique/>
      </w:docPartObj>
    </w:sdtPr>
    <w:sdtEndPr>
      <w:rPr>
        <w:rStyle w:val="PageNumber"/>
      </w:rPr>
    </w:sdtEndPr>
    <w:sdtContent>
      <w:p w14:paraId="240FDFB7" w14:textId="77777777" w:rsidR="00962D91" w:rsidRDefault="00C57A0F" w:rsidP="000C3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632FE" w14:textId="77777777" w:rsidR="00962D91" w:rsidRDefault="008A165C" w:rsidP="003E0B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626B" w14:textId="77777777" w:rsidR="008A165C" w:rsidRDefault="008A165C">
      <w:r>
        <w:separator/>
      </w:r>
    </w:p>
  </w:footnote>
  <w:footnote w:type="continuationSeparator" w:id="0">
    <w:p w14:paraId="2E37907B" w14:textId="77777777" w:rsidR="008A165C" w:rsidRDefault="008A1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0F"/>
    <w:rsid w:val="00100A2A"/>
    <w:rsid w:val="00232055"/>
    <w:rsid w:val="003862E3"/>
    <w:rsid w:val="00563E21"/>
    <w:rsid w:val="00602EFE"/>
    <w:rsid w:val="006366E8"/>
    <w:rsid w:val="007D6158"/>
    <w:rsid w:val="007F0FA3"/>
    <w:rsid w:val="008A165C"/>
    <w:rsid w:val="00980813"/>
    <w:rsid w:val="0099774E"/>
    <w:rsid w:val="00AB2BEC"/>
    <w:rsid w:val="00B1613B"/>
    <w:rsid w:val="00BB7094"/>
    <w:rsid w:val="00C57A0F"/>
    <w:rsid w:val="00D00277"/>
    <w:rsid w:val="00EC2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B16604E"/>
  <w14:defaultImageDpi w14:val="32767"/>
  <w15:chartTrackingRefBased/>
  <w15:docId w15:val="{869585EF-025C-DA40-8C48-18366FA8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A0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A0F"/>
    <w:pPr>
      <w:tabs>
        <w:tab w:val="center" w:pos="4680"/>
        <w:tab w:val="right" w:pos="9360"/>
      </w:tabs>
    </w:pPr>
  </w:style>
  <w:style w:type="character" w:customStyle="1" w:styleId="FooterChar">
    <w:name w:val="Footer Char"/>
    <w:basedOn w:val="DefaultParagraphFont"/>
    <w:link w:val="Footer"/>
    <w:uiPriority w:val="99"/>
    <w:rsid w:val="00C57A0F"/>
    <w:rPr>
      <w:lang w:bidi="ar-SA"/>
    </w:rPr>
  </w:style>
  <w:style w:type="character" w:styleId="PageNumber">
    <w:name w:val="page number"/>
    <w:basedOn w:val="DefaultParagraphFont"/>
    <w:uiPriority w:val="99"/>
    <w:semiHidden/>
    <w:unhideWhenUsed/>
    <w:rsid w:val="00C57A0F"/>
  </w:style>
  <w:style w:type="paragraph" w:styleId="BalloonText">
    <w:name w:val="Balloon Text"/>
    <w:basedOn w:val="Normal"/>
    <w:link w:val="BalloonTextChar"/>
    <w:uiPriority w:val="99"/>
    <w:semiHidden/>
    <w:unhideWhenUsed/>
    <w:rsid w:val="00100A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0A2A"/>
    <w:rPr>
      <w:rFonts w:ascii="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DeVoto</dc:creator>
  <cp:keywords/>
  <dc:description/>
  <cp:lastModifiedBy>Emily DeVoto</cp:lastModifiedBy>
  <cp:revision>2</cp:revision>
  <dcterms:created xsi:type="dcterms:W3CDTF">2020-01-29T19:22:00Z</dcterms:created>
  <dcterms:modified xsi:type="dcterms:W3CDTF">2020-01-29T19:22:00Z</dcterms:modified>
</cp:coreProperties>
</file>