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87" w:rsidRDefault="00A714A0">
      <w:pPr>
        <w:rPr>
          <w:b/>
        </w:rPr>
      </w:pPr>
      <w:r w:rsidRPr="00A714A0">
        <w:rPr>
          <w:b/>
        </w:rPr>
        <w:t xml:space="preserve">Supplemental Table S1. </w:t>
      </w:r>
      <w:r>
        <w:rPr>
          <w:b/>
        </w:rPr>
        <w:t xml:space="preserve">Pooling of </w:t>
      </w:r>
      <w:r w:rsidR="00F61A2B">
        <w:rPr>
          <w:b/>
        </w:rPr>
        <w:t xml:space="preserve">selected </w:t>
      </w:r>
      <w:r w:rsidRPr="00A714A0">
        <w:rPr>
          <w:b/>
        </w:rPr>
        <w:t xml:space="preserve">Texas counties </w:t>
      </w:r>
      <w:r w:rsidR="00F61A2B">
        <w:rPr>
          <w:b/>
        </w:rPr>
        <w:t xml:space="preserve">into new observational units </w:t>
      </w:r>
      <w:r>
        <w:rPr>
          <w:b/>
        </w:rPr>
        <w:t>due to low birth counts during the period</w:t>
      </w:r>
      <w:r w:rsidR="00A13082">
        <w:rPr>
          <w:b/>
        </w:rPr>
        <w:t xml:space="preserve"> 2003</w:t>
      </w:r>
      <w:r w:rsidRPr="00A714A0">
        <w:rPr>
          <w:b/>
        </w:rPr>
        <w:t>-2017.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5"/>
        <w:gridCol w:w="6295"/>
      </w:tblGrid>
      <w:tr w:rsidR="00A714A0" w:rsidTr="002208ED">
        <w:trPr>
          <w:jc w:val="center"/>
        </w:trPr>
        <w:tc>
          <w:tcPr>
            <w:tcW w:w="2705" w:type="dxa"/>
            <w:vAlign w:val="center"/>
          </w:tcPr>
          <w:p w:rsidR="00A714A0" w:rsidRDefault="005C0C36" w:rsidP="00A714A0">
            <w:pPr>
              <w:jc w:val="right"/>
              <w:rPr>
                <w:b/>
              </w:rPr>
            </w:pPr>
            <w:r>
              <w:rPr>
                <w:b/>
              </w:rPr>
              <w:t xml:space="preserve">New </w:t>
            </w:r>
            <w:r w:rsidR="00A714A0">
              <w:rPr>
                <w:b/>
              </w:rPr>
              <w:t>observational unit</w:t>
            </w:r>
          </w:p>
        </w:tc>
        <w:tc>
          <w:tcPr>
            <w:tcW w:w="6295" w:type="dxa"/>
            <w:vAlign w:val="center"/>
          </w:tcPr>
          <w:p w:rsidR="00A714A0" w:rsidRDefault="00A714A0" w:rsidP="00A714A0">
            <w:pPr>
              <w:rPr>
                <w:b/>
              </w:rPr>
            </w:pPr>
            <w:r>
              <w:rPr>
                <w:b/>
              </w:rPr>
              <w:t>Included counties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1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Hartley, Oldham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2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Lipscomb, Roberts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3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Armstrong, Briscoe, Donley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4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Hall, Motley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5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Baylor, Cottle, Foard, Hardeman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6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Shackelford, Throckmorton</w:t>
            </w:r>
          </w:p>
        </w:tc>
      </w:tr>
      <w:tr w:rsidR="005D7E38" w:rsidTr="002208ED">
        <w:trPr>
          <w:jc w:val="center"/>
        </w:trPr>
        <w:tc>
          <w:tcPr>
            <w:tcW w:w="2705" w:type="dxa"/>
            <w:vAlign w:val="center"/>
          </w:tcPr>
          <w:p w:rsidR="005D7E38" w:rsidRPr="005D7E38" w:rsidRDefault="005D7E38" w:rsidP="005D7E38">
            <w:pPr>
              <w:jc w:val="right"/>
            </w:pPr>
            <w:r w:rsidRPr="005D7E38">
              <w:t>7</w:t>
            </w:r>
          </w:p>
        </w:tc>
        <w:tc>
          <w:tcPr>
            <w:tcW w:w="6295" w:type="dxa"/>
            <w:vAlign w:val="center"/>
          </w:tcPr>
          <w:p w:rsidR="005D7E38" w:rsidRPr="005D7E38" w:rsidRDefault="005D7E38" w:rsidP="005D7E38">
            <w:r w:rsidRPr="005D7E38">
              <w:t>Dickens, Haskell, King</w:t>
            </w:r>
          </w:p>
        </w:tc>
      </w:tr>
      <w:tr w:rsidR="00C0143A" w:rsidTr="002208ED">
        <w:trPr>
          <w:jc w:val="center"/>
        </w:trPr>
        <w:tc>
          <w:tcPr>
            <w:tcW w:w="2705" w:type="dxa"/>
            <w:vAlign w:val="center"/>
          </w:tcPr>
          <w:p w:rsidR="00C0143A" w:rsidRPr="00C0143A" w:rsidRDefault="00C0143A" w:rsidP="00C0143A">
            <w:pPr>
              <w:jc w:val="right"/>
            </w:pPr>
            <w:r w:rsidRPr="00C0143A">
              <w:t>8</w:t>
            </w:r>
          </w:p>
        </w:tc>
        <w:tc>
          <w:tcPr>
            <w:tcW w:w="6295" w:type="dxa"/>
            <w:vAlign w:val="center"/>
          </w:tcPr>
          <w:p w:rsidR="00C0143A" w:rsidRPr="00C0143A" w:rsidRDefault="00C0143A" w:rsidP="00C0143A">
            <w:r w:rsidRPr="00C0143A">
              <w:t>Fisher, Kent, Stonewall</w:t>
            </w:r>
          </w:p>
        </w:tc>
      </w:tr>
      <w:tr w:rsidR="00C0143A" w:rsidTr="002208ED">
        <w:trPr>
          <w:jc w:val="center"/>
        </w:trPr>
        <w:tc>
          <w:tcPr>
            <w:tcW w:w="2705" w:type="dxa"/>
            <w:vAlign w:val="center"/>
          </w:tcPr>
          <w:p w:rsidR="00C0143A" w:rsidRPr="00C0143A" w:rsidRDefault="00C0143A" w:rsidP="00C0143A">
            <w:pPr>
              <w:jc w:val="right"/>
            </w:pPr>
            <w:r w:rsidRPr="00C0143A">
              <w:t>9</w:t>
            </w:r>
          </w:p>
        </w:tc>
        <w:tc>
          <w:tcPr>
            <w:tcW w:w="6295" w:type="dxa"/>
            <w:vAlign w:val="center"/>
          </w:tcPr>
          <w:p w:rsidR="00C0143A" w:rsidRPr="00C0143A" w:rsidRDefault="00C0143A" w:rsidP="00C0143A">
            <w:r w:rsidRPr="00C0143A">
              <w:t>Borden, Martin</w:t>
            </w:r>
          </w:p>
        </w:tc>
      </w:tr>
      <w:tr w:rsidR="007148B2" w:rsidTr="002208ED">
        <w:trPr>
          <w:jc w:val="center"/>
        </w:trPr>
        <w:tc>
          <w:tcPr>
            <w:tcW w:w="2705" w:type="dxa"/>
            <w:vAlign w:val="center"/>
          </w:tcPr>
          <w:p w:rsidR="007148B2" w:rsidRPr="007148B2" w:rsidRDefault="007148B2" w:rsidP="007148B2">
            <w:pPr>
              <w:jc w:val="right"/>
            </w:pPr>
            <w:r w:rsidRPr="007148B2">
              <w:t>10</w:t>
            </w:r>
          </w:p>
        </w:tc>
        <w:tc>
          <w:tcPr>
            <w:tcW w:w="6295" w:type="dxa"/>
            <w:vAlign w:val="center"/>
          </w:tcPr>
          <w:p w:rsidR="007148B2" w:rsidRPr="007148B2" w:rsidRDefault="007148B2" w:rsidP="007148B2">
            <w:r w:rsidRPr="007148B2">
              <w:t>Loving, Winkler</w:t>
            </w:r>
          </w:p>
        </w:tc>
      </w:tr>
      <w:tr w:rsidR="007148B2" w:rsidTr="002208ED">
        <w:trPr>
          <w:jc w:val="center"/>
        </w:trPr>
        <w:tc>
          <w:tcPr>
            <w:tcW w:w="2705" w:type="dxa"/>
            <w:vAlign w:val="center"/>
          </w:tcPr>
          <w:p w:rsidR="007148B2" w:rsidRPr="007148B2" w:rsidRDefault="007148B2" w:rsidP="007148B2">
            <w:pPr>
              <w:jc w:val="right"/>
            </w:pPr>
            <w:r w:rsidRPr="007148B2">
              <w:t>11</w:t>
            </w:r>
          </w:p>
        </w:tc>
        <w:tc>
          <w:tcPr>
            <w:tcW w:w="6295" w:type="dxa"/>
            <w:vAlign w:val="center"/>
          </w:tcPr>
          <w:p w:rsidR="007148B2" w:rsidRPr="007148B2" w:rsidRDefault="007148B2" w:rsidP="007148B2">
            <w:r w:rsidRPr="007148B2">
              <w:t>Culberson, Jeff Davis</w:t>
            </w:r>
          </w:p>
        </w:tc>
      </w:tr>
      <w:tr w:rsidR="007148B2" w:rsidTr="002208ED">
        <w:trPr>
          <w:jc w:val="center"/>
        </w:trPr>
        <w:tc>
          <w:tcPr>
            <w:tcW w:w="2705" w:type="dxa"/>
            <w:vAlign w:val="center"/>
          </w:tcPr>
          <w:p w:rsidR="007148B2" w:rsidRPr="009F5628" w:rsidRDefault="007148B2" w:rsidP="007148B2">
            <w:pPr>
              <w:jc w:val="right"/>
            </w:pPr>
            <w:r w:rsidRPr="009F5628">
              <w:t>12</w:t>
            </w:r>
          </w:p>
        </w:tc>
        <w:tc>
          <w:tcPr>
            <w:tcW w:w="6295" w:type="dxa"/>
            <w:vAlign w:val="center"/>
          </w:tcPr>
          <w:p w:rsidR="007148B2" w:rsidRPr="009F5628" w:rsidRDefault="007148B2" w:rsidP="007148B2">
            <w:r w:rsidRPr="009F5628">
              <w:t>Reagan, Upton</w:t>
            </w:r>
          </w:p>
        </w:tc>
      </w:tr>
      <w:tr w:rsidR="007148B2" w:rsidTr="002208ED">
        <w:trPr>
          <w:jc w:val="center"/>
        </w:trPr>
        <w:tc>
          <w:tcPr>
            <w:tcW w:w="2705" w:type="dxa"/>
            <w:vAlign w:val="center"/>
          </w:tcPr>
          <w:p w:rsidR="007148B2" w:rsidRPr="009F5628" w:rsidRDefault="007148B2" w:rsidP="007148B2">
            <w:pPr>
              <w:jc w:val="right"/>
            </w:pPr>
            <w:r w:rsidRPr="009F5628">
              <w:t>13</w:t>
            </w:r>
          </w:p>
        </w:tc>
        <w:tc>
          <w:tcPr>
            <w:tcW w:w="6295" w:type="dxa"/>
            <w:vAlign w:val="center"/>
          </w:tcPr>
          <w:p w:rsidR="007148B2" w:rsidRPr="009F5628" w:rsidRDefault="007148B2" w:rsidP="007148B2">
            <w:r w:rsidRPr="009F5628">
              <w:t>Irion, Schleicher</w:t>
            </w:r>
          </w:p>
        </w:tc>
      </w:tr>
      <w:tr w:rsidR="009F5628" w:rsidTr="002208ED">
        <w:trPr>
          <w:jc w:val="center"/>
        </w:trPr>
        <w:tc>
          <w:tcPr>
            <w:tcW w:w="2705" w:type="dxa"/>
            <w:vAlign w:val="center"/>
          </w:tcPr>
          <w:p w:rsidR="009F5628" w:rsidRPr="009F5628" w:rsidRDefault="009F5628" w:rsidP="009F5628">
            <w:pPr>
              <w:jc w:val="right"/>
            </w:pPr>
            <w:r w:rsidRPr="009F5628">
              <w:t>14</w:t>
            </w:r>
          </w:p>
        </w:tc>
        <w:tc>
          <w:tcPr>
            <w:tcW w:w="6295" w:type="dxa"/>
            <w:vAlign w:val="center"/>
          </w:tcPr>
          <w:p w:rsidR="009F5628" w:rsidRPr="009F5628" w:rsidRDefault="009F5628" w:rsidP="009F5628">
            <w:r w:rsidRPr="009F5628">
              <w:t>Coke, Glasscock, Sterling</w:t>
            </w:r>
          </w:p>
        </w:tc>
      </w:tr>
      <w:tr w:rsidR="009F5628" w:rsidTr="002208ED">
        <w:trPr>
          <w:jc w:val="center"/>
        </w:trPr>
        <w:tc>
          <w:tcPr>
            <w:tcW w:w="2705" w:type="dxa"/>
            <w:vAlign w:val="center"/>
          </w:tcPr>
          <w:p w:rsidR="009F5628" w:rsidRPr="00900946" w:rsidRDefault="009F5628" w:rsidP="00EA2AE5">
            <w:pPr>
              <w:jc w:val="right"/>
            </w:pPr>
            <w:r w:rsidRPr="00900946">
              <w:t>1</w:t>
            </w:r>
            <w:r w:rsidR="00EA2AE5">
              <w:t>5</w:t>
            </w:r>
          </w:p>
        </w:tc>
        <w:tc>
          <w:tcPr>
            <w:tcW w:w="6295" w:type="dxa"/>
            <w:vAlign w:val="center"/>
          </w:tcPr>
          <w:p w:rsidR="009F5628" w:rsidRPr="00900946" w:rsidRDefault="009F5628" w:rsidP="009F5628">
            <w:r w:rsidRPr="00900946">
              <w:t>Terrell, Crockett</w:t>
            </w:r>
          </w:p>
        </w:tc>
      </w:tr>
      <w:tr w:rsidR="009F5628" w:rsidTr="002208ED">
        <w:trPr>
          <w:jc w:val="center"/>
        </w:trPr>
        <w:tc>
          <w:tcPr>
            <w:tcW w:w="2705" w:type="dxa"/>
            <w:vAlign w:val="center"/>
          </w:tcPr>
          <w:p w:rsidR="009F5628" w:rsidRPr="00C8413A" w:rsidRDefault="009F5628" w:rsidP="00EA2AE5">
            <w:pPr>
              <w:jc w:val="right"/>
            </w:pPr>
            <w:r w:rsidRPr="00C8413A">
              <w:t>1</w:t>
            </w:r>
            <w:r w:rsidR="00EA2AE5">
              <w:t>6</w:t>
            </w:r>
          </w:p>
        </w:tc>
        <w:tc>
          <w:tcPr>
            <w:tcW w:w="6295" w:type="dxa"/>
            <w:vAlign w:val="center"/>
          </w:tcPr>
          <w:p w:rsidR="009F5628" w:rsidRPr="00C8413A" w:rsidRDefault="009F5628" w:rsidP="009F5628">
            <w:r w:rsidRPr="00C8413A">
              <w:t>Edwards, Real</w:t>
            </w:r>
          </w:p>
        </w:tc>
      </w:tr>
      <w:tr w:rsidR="00A36ADF" w:rsidTr="002208ED">
        <w:trPr>
          <w:jc w:val="center"/>
        </w:trPr>
        <w:tc>
          <w:tcPr>
            <w:tcW w:w="2705" w:type="dxa"/>
            <w:vAlign w:val="center"/>
          </w:tcPr>
          <w:p w:rsidR="00A36ADF" w:rsidRPr="00A36ADF" w:rsidRDefault="00A36ADF" w:rsidP="00A36ADF">
            <w:pPr>
              <w:jc w:val="right"/>
            </w:pPr>
            <w:r w:rsidRPr="00A36ADF">
              <w:t>1</w:t>
            </w:r>
            <w:r>
              <w:t>7</w:t>
            </w:r>
          </w:p>
        </w:tc>
        <w:tc>
          <w:tcPr>
            <w:tcW w:w="6295" w:type="dxa"/>
            <w:vAlign w:val="center"/>
          </w:tcPr>
          <w:p w:rsidR="00A36ADF" w:rsidRPr="00A36ADF" w:rsidRDefault="00A36ADF" w:rsidP="00A36ADF">
            <w:r w:rsidRPr="00A36ADF">
              <w:t>Concho, Menard</w:t>
            </w:r>
          </w:p>
        </w:tc>
      </w:tr>
      <w:tr w:rsidR="00AD0BE4" w:rsidTr="002208ED">
        <w:trPr>
          <w:jc w:val="center"/>
        </w:trPr>
        <w:tc>
          <w:tcPr>
            <w:tcW w:w="2705" w:type="dxa"/>
            <w:vAlign w:val="center"/>
          </w:tcPr>
          <w:p w:rsidR="00AD0BE4" w:rsidRPr="00AD0BE4" w:rsidRDefault="00AD0BE4" w:rsidP="00AD0BE4">
            <w:pPr>
              <w:jc w:val="right"/>
            </w:pPr>
            <w:r w:rsidRPr="00AD0BE4">
              <w:t>18</w:t>
            </w:r>
          </w:p>
        </w:tc>
        <w:tc>
          <w:tcPr>
            <w:tcW w:w="6295" w:type="dxa"/>
            <w:vAlign w:val="center"/>
          </w:tcPr>
          <w:p w:rsidR="00AD0BE4" w:rsidRPr="00AD0BE4" w:rsidRDefault="00AD0BE4" w:rsidP="00AD0BE4">
            <w:r w:rsidRPr="00AD0BE4">
              <w:t>La Salle, McMullen</w:t>
            </w:r>
          </w:p>
        </w:tc>
      </w:tr>
      <w:tr w:rsidR="00706ECC" w:rsidTr="002208ED">
        <w:trPr>
          <w:jc w:val="center"/>
        </w:trPr>
        <w:tc>
          <w:tcPr>
            <w:tcW w:w="2705" w:type="dxa"/>
            <w:vAlign w:val="center"/>
          </w:tcPr>
          <w:p w:rsidR="00706ECC" w:rsidRPr="00706ECC" w:rsidRDefault="00706ECC" w:rsidP="00706ECC">
            <w:pPr>
              <w:jc w:val="right"/>
            </w:pPr>
            <w:r w:rsidRPr="00706ECC">
              <w:t>19</w:t>
            </w:r>
          </w:p>
        </w:tc>
        <w:tc>
          <w:tcPr>
            <w:tcW w:w="6295" w:type="dxa"/>
            <w:vAlign w:val="center"/>
          </w:tcPr>
          <w:p w:rsidR="00706ECC" w:rsidRPr="00706ECC" w:rsidRDefault="00706ECC" w:rsidP="00706ECC">
            <w:r w:rsidRPr="00706ECC">
              <w:t>Brooks, Kenedy</w:t>
            </w:r>
          </w:p>
        </w:tc>
      </w:tr>
    </w:tbl>
    <w:p w:rsidR="00A714A0" w:rsidRDefault="00A714A0" w:rsidP="00DC7CF0">
      <w:pPr>
        <w:jc w:val="center"/>
        <w:rPr>
          <w:b/>
        </w:rPr>
      </w:pPr>
    </w:p>
    <w:p w:rsidR="00CB446A" w:rsidRDefault="00CB446A" w:rsidP="002208ED">
      <w:pPr>
        <w:rPr>
          <w:b/>
        </w:rPr>
        <w:sectPr w:rsidR="00CB44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D90" w:rsidRDefault="00310D90" w:rsidP="002208ED">
      <w:pPr>
        <w:rPr>
          <w:b/>
        </w:rPr>
      </w:pPr>
      <w:r>
        <w:rPr>
          <w:b/>
        </w:rPr>
        <w:lastRenderedPageBreak/>
        <w:t xml:space="preserve">Supplemental Figure S1. Directed acyclic graph illustrating the proposed causal relationship between drinking water source and birth defects prevalence. </w:t>
      </w:r>
      <w:r w:rsidRPr="00310D90">
        <w:t xml:space="preserve">Minimum sufficient adjustment set for estimating the total effect of drinking water source on </w:t>
      </w:r>
      <w:r>
        <w:t>birth defects prevalence includes maternal age at delivery, educational attainment, county of residence, race, and ethnicity.</w:t>
      </w:r>
    </w:p>
    <w:p w:rsidR="00310D90" w:rsidRDefault="00310D90" w:rsidP="002208ED">
      <w:pPr>
        <w:rPr>
          <w:b/>
        </w:rPr>
      </w:pPr>
    </w:p>
    <w:p w:rsidR="00310D90" w:rsidRDefault="00310D90" w:rsidP="002208ED">
      <w:pPr>
        <w:rPr>
          <w:b/>
        </w:rPr>
        <w:sectPr w:rsidR="00310D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>
            <wp:extent cx="5943600" cy="2756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G_202309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ED" w:rsidRPr="007B3643" w:rsidRDefault="002208ED" w:rsidP="002208ED">
      <w:r w:rsidRPr="00CB446A">
        <w:rPr>
          <w:b/>
        </w:rPr>
        <w:lastRenderedPageBreak/>
        <w:t xml:space="preserve">Supplemental Figure </w:t>
      </w:r>
      <w:r w:rsidR="000F0A53">
        <w:rPr>
          <w:b/>
        </w:rPr>
        <w:t>S</w:t>
      </w:r>
      <w:r w:rsidR="00310D90">
        <w:rPr>
          <w:b/>
        </w:rPr>
        <w:t>2</w:t>
      </w:r>
      <w:r w:rsidRPr="00CB446A">
        <w:rPr>
          <w:b/>
        </w:rPr>
        <w:t xml:space="preserve">. Map of </w:t>
      </w:r>
      <w:r w:rsidR="0012693B">
        <w:rPr>
          <w:b/>
        </w:rPr>
        <w:t xml:space="preserve">nineteen </w:t>
      </w:r>
      <w:r w:rsidR="00716FF6">
        <w:rPr>
          <w:b/>
        </w:rPr>
        <w:t xml:space="preserve">new </w:t>
      </w:r>
      <w:r w:rsidRPr="00CB446A">
        <w:rPr>
          <w:b/>
        </w:rPr>
        <w:t xml:space="preserve">observational units created by pooling Texas counties with &lt;25 annual livebirths at any time during the period </w:t>
      </w:r>
      <w:r w:rsidR="00A13082">
        <w:rPr>
          <w:b/>
        </w:rPr>
        <w:t>2003</w:t>
      </w:r>
      <w:bookmarkStart w:id="0" w:name="_GoBack"/>
      <w:bookmarkEnd w:id="0"/>
      <w:r w:rsidRPr="00CB446A">
        <w:rPr>
          <w:b/>
        </w:rPr>
        <w:t>-2017.</w:t>
      </w:r>
      <w:r w:rsidR="007B3643">
        <w:rPr>
          <w:b/>
        </w:rPr>
        <w:t xml:space="preserve"> </w:t>
      </w:r>
      <w:r w:rsidR="007B3643">
        <w:t>New pooled observational units are shown in blue; counties that implemented direct potable reuse water treatment in 2013 are shown in gray.</w:t>
      </w:r>
    </w:p>
    <w:p w:rsidR="009A5FC9" w:rsidRDefault="009A5FC9" w:rsidP="003028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80776" cy="387891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R_figure_S1_202305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306" cy="389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CA" w:rsidRDefault="006A1DCA" w:rsidP="006A1DCA">
      <w:pPr>
        <w:rPr>
          <w:b/>
        </w:rPr>
        <w:sectPr w:rsidR="006A1D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1DCA" w:rsidRPr="00312974" w:rsidRDefault="006A1DCA" w:rsidP="006A1DCA">
      <w:r>
        <w:rPr>
          <w:b/>
        </w:rPr>
        <w:lastRenderedPageBreak/>
        <w:t>Supplemental Figure S</w:t>
      </w:r>
      <w:r w:rsidR="001E247A">
        <w:rPr>
          <w:b/>
        </w:rPr>
        <w:t>3</w:t>
      </w:r>
      <w:r>
        <w:rPr>
          <w:b/>
        </w:rPr>
        <w:t xml:space="preserve">. </w:t>
      </w:r>
      <w:r w:rsidR="00312974">
        <w:rPr>
          <w:b/>
        </w:rPr>
        <w:t xml:space="preserve">Average treatment effect in the treated (ATT) estimates in the treated units (red) and 1,000 in-place placebo studies. </w:t>
      </w:r>
      <w:r w:rsidR="004765B5">
        <w:t>Placebo studies</w:t>
      </w:r>
      <w:r w:rsidR="00287957">
        <w:t xml:space="preserve">, </w:t>
      </w:r>
      <w:r w:rsidR="004765B5">
        <w:t xml:space="preserve">in which </w:t>
      </w:r>
      <w:r w:rsidR="00287957">
        <w:t>direct potable reuse implementation was assumed to have occurred in four randomly chosen counties</w:t>
      </w:r>
      <w:r w:rsidR="004765B5">
        <w:t>, were performed in order to derive an empirical distribution of ATT estimates against which the estimated effect in the treated units could be compared</w:t>
      </w:r>
      <w:r w:rsidR="00287957">
        <w:t>.</w:t>
      </w:r>
    </w:p>
    <w:p w:rsidR="006A1DCA" w:rsidRPr="00CB446A" w:rsidRDefault="006A1DCA" w:rsidP="006A1DCA">
      <w:pPr>
        <w:rPr>
          <w:b/>
        </w:rPr>
      </w:pPr>
      <w:r>
        <w:rPr>
          <w:b/>
          <w:noProof/>
        </w:rPr>
        <w:drawing>
          <wp:inline distT="0" distB="0" distL="0" distR="0">
            <wp:extent cx="7578765" cy="4266161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R_figure_S1_202305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65" cy="42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DCA" w:rsidRPr="00CB446A" w:rsidSect="006A1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A0"/>
    <w:rsid w:val="00077F97"/>
    <w:rsid w:val="000F0A53"/>
    <w:rsid w:val="00120125"/>
    <w:rsid w:val="0012693B"/>
    <w:rsid w:val="001E247A"/>
    <w:rsid w:val="002208ED"/>
    <w:rsid w:val="00287957"/>
    <w:rsid w:val="00302841"/>
    <w:rsid w:val="0030379A"/>
    <w:rsid w:val="00310D90"/>
    <w:rsid w:val="00312974"/>
    <w:rsid w:val="003267EF"/>
    <w:rsid w:val="003D3390"/>
    <w:rsid w:val="004765B5"/>
    <w:rsid w:val="00501D38"/>
    <w:rsid w:val="005718EF"/>
    <w:rsid w:val="005C0C36"/>
    <w:rsid w:val="005D7E38"/>
    <w:rsid w:val="00677436"/>
    <w:rsid w:val="006A1DCA"/>
    <w:rsid w:val="00706ECC"/>
    <w:rsid w:val="007148B2"/>
    <w:rsid w:val="00716FF6"/>
    <w:rsid w:val="00733708"/>
    <w:rsid w:val="007B3643"/>
    <w:rsid w:val="00894B84"/>
    <w:rsid w:val="008D1197"/>
    <w:rsid w:val="00900946"/>
    <w:rsid w:val="00952060"/>
    <w:rsid w:val="009A5FC9"/>
    <w:rsid w:val="009B336E"/>
    <w:rsid w:val="009F5628"/>
    <w:rsid w:val="00A13082"/>
    <w:rsid w:val="00A36ADF"/>
    <w:rsid w:val="00A47DA7"/>
    <w:rsid w:val="00A714A0"/>
    <w:rsid w:val="00AD0BE4"/>
    <w:rsid w:val="00AD4A87"/>
    <w:rsid w:val="00C0143A"/>
    <w:rsid w:val="00C8413A"/>
    <w:rsid w:val="00CB446A"/>
    <w:rsid w:val="00D127D2"/>
    <w:rsid w:val="00D636D0"/>
    <w:rsid w:val="00DC6A11"/>
    <w:rsid w:val="00DC7BD0"/>
    <w:rsid w:val="00DC7CF0"/>
    <w:rsid w:val="00DF1619"/>
    <w:rsid w:val="00DF2E6B"/>
    <w:rsid w:val="00EA2AE5"/>
    <w:rsid w:val="00F55BD2"/>
    <w:rsid w:val="00F6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ADC2"/>
  <w15:chartTrackingRefBased/>
  <w15:docId w15:val="{0810E7C2-2C5C-43BF-962D-74F8F28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Schraw, Jeremy</dc:creator>
  <cp:keywords/>
  <dc:description/>
  <cp:lastModifiedBy>Schraw, Jeremy</cp:lastModifiedBy>
  <cp:revision>5</cp:revision>
  <dcterms:created xsi:type="dcterms:W3CDTF">2023-09-12T15:15:00Z</dcterms:created>
  <dcterms:modified xsi:type="dcterms:W3CDTF">2023-09-12T18:20:00Z</dcterms:modified>
</cp:coreProperties>
</file>