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7E" w:rsidRPr="00873E28" w:rsidRDefault="005E727E" w:rsidP="005E727E">
      <w:pPr>
        <w:rPr>
          <w:b/>
          <w:sz w:val="28"/>
        </w:rPr>
      </w:pPr>
      <w:bookmarkStart w:id="0" w:name="_GoBack"/>
      <w:bookmarkEnd w:id="0"/>
      <w:r w:rsidRPr="00873E28">
        <w:rPr>
          <w:b/>
          <w:sz w:val="28"/>
        </w:rPr>
        <w:t xml:space="preserve">Attitude towards livestock farming does not influence the earlier observed association between proximity to goat farms and self-reported pneumonia </w:t>
      </w:r>
    </w:p>
    <w:p w:rsidR="005E727E" w:rsidRPr="003C1351" w:rsidRDefault="005E727E" w:rsidP="005E727E">
      <w:r w:rsidRPr="001D48B8">
        <w:t>F</w:t>
      </w:r>
      <w:r>
        <w:t>loor</w:t>
      </w:r>
      <w:r w:rsidRPr="001D48B8">
        <w:t xml:space="preserve"> Borlée, C.</w:t>
      </w:r>
      <w:r>
        <w:t xml:space="preserve"> </w:t>
      </w:r>
      <w:r w:rsidRPr="001D48B8">
        <w:t>J</w:t>
      </w:r>
      <w:r>
        <w:t>oris</w:t>
      </w:r>
      <w:r w:rsidRPr="001D48B8">
        <w:t xml:space="preserve"> </w:t>
      </w:r>
      <w:proofErr w:type="spellStart"/>
      <w:r w:rsidRPr="001D48B8">
        <w:t>Yzermans</w:t>
      </w:r>
      <w:proofErr w:type="spellEnd"/>
      <w:r w:rsidRPr="001D48B8">
        <w:t>, F</w:t>
      </w:r>
      <w:r>
        <w:t xml:space="preserve">loor S.M. </w:t>
      </w:r>
      <w:proofErr w:type="spellStart"/>
      <w:r w:rsidRPr="001D48B8">
        <w:t>Oostwegel</w:t>
      </w:r>
      <w:proofErr w:type="spellEnd"/>
      <w:r>
        <w:t xml:space="preserve"> </w:t>
      </w:r>
      <w:r w:rsidRPr="001D48B8">
        <w:t>,</w:t>
      </w:r>
      <w:r>
        <w:t xml:space="preserve"> </w:t>
      </w:r>
      <w:r w:rsidRPr="001D48B8">
        <w:t>F</w:t>
      </w:r>
      <w:r>
        <w:t>rançois</w:t>
      </w:r>
      <w:r w:rsidRPr="001D48B8">
        <w:t xml:space="preserve"> </w:t>
      </w:r>
      <w:proofErr w:type="spellStart"/>
      <w:r w:rsidRPr="001D48B8">
        <w:t>Schellevis</w:t>
      </w:r>
      <w:proofErr w:type="spellEnd"/>
      <w:r w:rsidRPr="001D48B8">
        <w:t xml:space="preserve">, </w:t>
      </w:r>
      <w:r>
        <w:t>[</w:t>
      </w:r>
      <w:r w:rsidRPr="005C1F42">
        <w:t>VGO consortium</w:t>
      </w:r>
      <w:r>
        <w:t>]</w:t>
      </w:r>
      <w:r w:rsidRPr="00852283">
        <w:t xml:space="preserve">, </w:t>
      </w:r>
      <w:r w:rsidRPr="001D48B8">
        <w:t>D</w:t>
      </w:r>
      <w:r>
        <w:t>ick</w:t>
      </w:r>
      <w:r w:rsidRPr="001D48B8">
        <w:t xml:space="preserve"> Heederik, </w:t>
      </w:r>
      <w:r>
        <w:t xml:space="preserve">Lidwien </w:t>
      </w:r>
      <w:r w:rsidRPr="001D48B8">
        <w:t>A.M. Smit</w:t>
      </w:r>
    </w:p>
    <w:p w:rsidR="005E727E" w:rsidRDefault="005E727E" w:rsidP="00CA47A9">
      <w:pPr>
        <w:rPr>
          <w:b/>
        </w:rPr>
      </w:pPr>
    </w:p>
    <w:p w:rsidR="00CA47A9" w:rsidRPr="005525A5" w:rsidRDefault="005E727E" w:rsidP="00571779">
      <w:pPr>
        <w:spacing w:after="120"/>
        <w:jc w:val="both"/>
        <w:rPr>
          <w:b/>
          <w:lang w:val="en-US"/>
        </w:rPr>
      </w:pPr>
      <w:r>
        <w:rPr>
          <w:b/>
        </w:rPr>
        <w:t xml:space="preserve">Supplementary </w:t>
      </w:r>
      <w:r w:rsidR="00CA47A9" w:rsidRPr="00A8613A">
        <w:rPr>
          <w:b/>
        </w:rPr>
        <w:t>Methods</w:t>
      </w:r>
    </w:p>
    <w:p w:rsidR="00571779" w:rsidRDefault="00CA47A9" w:rsidP="00571779">
      <w:pPr>
        <w:spacing w:after="120"/>
        <w:jc w:val="both"/>
        <w:rPr>
          <w:i/>
        </w:rPr>
      </w:pPr>
      <w:r>
        <w:rPr>
          <w:i/>
        </w:rPr>
        <w:t>Study design and population</w:t>
      </w:r>
    </w:p>
    <w:p w:rsidR="00CA47A9" w:rsidRDefault="00CA47A9" w:rsidP="00571779">
      <w:pPr>
        <w:spacing w:after="120"/>
        <w:jc w:val="both"/>
      </w:pPr>
      <w:r>
        <w:t>The VGO study was conducted in the eastern part of the province of Noord-Brabant and the northern part of Limburg, an area in the South of the Netherlands which is characterized by a high density of livestock farms. The study population originates from participants of a questionnaire survey (n=14,163) conducted in December 2012</w:t>
      </w:r>
      <w:r w:rsidR="007604A0">
        <w:t>,</w:t>
      </w:r>
      <w:r>
        <w:t xml:space="preserve"> </w:t>
      </w:r>
      <w:r w:rsidR="007604A0">
        <w:t>as</w:t>
      </w:r>
      <w:r>
        <w:t xml:space="preserve"> previously described by Borlée et al</w:t>
      </w:r>
      <w:r w:rsidR="007604A0">
        <w:t>.</w:t>
      </w:r>
      <w:r w:rsidR="00571779" w:rsidRPr="00571779">
        <w:rPr>
          <w:vertAlign w:val="superscript"/>
        </w:rPr>
        <w:t>1</w:t>
      </w:r>
      <w:r w:rsidR="007604A0">
        <w:t xml:space="preserve"> </w:t>
      </w:r>
      <w:r w:rsidRPr="003331B1">
        <w:t>Questionnaire respondents who were willing to participate in a follow-up study, and who were not working or living on a farm were eligible for a medical examination (n=8,714).</w:t>
      </w:r>
      <w:r w:rsidRPr="007112E9">
        <w:t xml:space="preserve"> Between March 2014 and February 2015, 7,180 persons were invited for medical examination and 2,494 p</w:t>
      </w:r>
      <w:r>
        <w:t xml:space="preserve">articipated (response 34.7%). </w:t>
      </w:r>
      <w:r w:rsidRPr="007112E9">
        <w:t xml:space="preserve">The medical examination consisted </w:t>
      </w:r>
      <w:r>
        <w:t xml:space="preserve">amongst others </w:t>
      </w:r>
      <w:r w:rsidRPr="007112E9">
        <w:t>of a second a</w:t>
      </w:r>
      <w:r>
        <w:t>nd more extended questionnaire and spirometry</w:t>
      </w:r>
      <w:r w:rsidRPr="007112E9">
        <w:t>.</w:t>
      </w:r>
      <w:r>
        <w:t xml:space="preserve"> More details about the recruitment of the study populati</w:t>
      </w:r>
      <w:r w:rsidR="007604A0">
        <w:t>on and the medical examination have been</w:t>
      </w:r>
      <w:r>
        <w:t xml:space="preserve"> described previously by Borlée et al</w:t>
      </w:r>
      <w:r w:rsidR="00571779">
        <w:t>.</w:t>
      </w:r>
      <w:r w:rsidR="00571779" w:rsidRPr="00571779">
        <w:rPr>
          <w:vertAlign w:val="superscript"/>
        </w:rPr>
        <w:t>2,3</w:t>
      </w:r>
    </w:p>
    <w:p w:rsidR="00CA47A9" w:rsidRPr="0050647D" w:rsidRDefault="00CA47A9" w:rsidP="00571779">
      <w:pPr>
        <w:spacing w:after="120"/>
        <w:jc w:val="both"/>
      </w:pPr>
      <w:r>
        <w:t>The study protocol (13/533) was approved by the Medical Ethical Committee of the University Medical Centre Utrecht. All 2,494 subjects signed informed consent. Patients’ privacy was ensured by keeping medical information and address records separated at all times by using a Trusted Third Party.</w:t>
      </w:r>
    </w:p>
    <w:p w:rsidR="00571779" w:rsidRDefault="00571779" w:rsidP="00571779">
      <w:pPr>
        <w:spacing w:after="120"/>
        <w:jc w:val="both"/>
        <w:rPr>
          <w:i/>
        </w:rPr>
      </w:pPr>
    </w:p>
    <w:p w:rsidR="00CA47A9" w:rsidRDefault="00CA47A9" w:rsidP="00571779">
      <w:pPr>
        <w:spacing w:after="120"/>
        <w:jc w:val="both"/>
        <w:rPr>
          <w:i/>
        </w:rPr>
      </w:pPr>
      <w:r>
        <w:rPr>
          <w:i/>
        </w:rPr>
        <w:t xml:space="preserve">Data collection </w:t>
      </w:r>
    </w:p>
    <w:p w:rsidR="00571779" w:rsidRDefault="00CA47A9" w:rsidP="00571779">
      <w:pPr>
        <w:spacing w:after="120"/>
        <w:jc w:val="both"/>
        <w:rPr>
          <w:i/>
        </w:rPr>
      </w:pPr>
      <w:r>
        <w:rPr>
          <w:i/>
        </w:rPr>
        <w:t>Questionnaire</w:t>
      </w:r>
    </w:p>
    <w:p w:rsidR="00CA47A9" w:rsidRDefault="00CA47A9" w:rsidP="00571779">
      <w:pPr>
        <w:spacing w:after="120"/>
        <w:jc w:val="both"/>
        <w:rPr>
          <w:i/>
        </w:rPr>
      </w:pPr>
      <w:r w:rsidRPr="000C1F15">
        <w:t xml:space="preserve">The questionnaire completed by the participants during the medical examination comprised amongst others items on education, profession, </w:t>
      </w:r>
      <w:r>
        <w:t>residential</w:t>
      </w:r>
      <w:r w:rsidRPr="000C1F15">
        <w:t xml:space="preserve"> </w:t>
      </w:r>
      <w:r>
        <w:t xml:space="preserve">history, smoking habits, non-specific symptoms and diseases. Moreover, the questionnaire </w:t>
      </w:r>
      <w:r w:rsidR="007604A0">
        <w:t xml:space="preserve">also </w:t>
      </w:r>
      <w:r>
        <w:t xml:space="preserve">contained </w:t>
      </w:r>
      <w:r w:rsidRPr="000C1F15">
        <w:t>items on attitude</w:t>
      </w:r>
      <w:r>
        <w:t>s</w:t>
      </w:r>
      <w:r w:rsidRPr="000C1F15">
        <w:t xml:space="preserve"> towards farming </w:t>
      </w:r>
      <w:r>
        <w:t>in their residential environment</w:t>
      </w:r>
      <w:r w:rsidRPr="000C1F15">
        <w:t>.</w:t>
      </w:r>
      <w:r>
        <w:t xml:space="preserve"> </w:t>
      </w:r>
      <w:r w:rsidRPr="00D913D8">
        <w:t xml:space="preserve">Statements were </w:t>
      </w:r>
      <w:r>
        <w:t xml:space="preserve">mostly </w:t>
      </w:r>
      <w:r w:rsidRPr="00D913D8">
        <w:t xml:space="preserve">adopted from a survey among the general Dutch population which was focused on the </w:t>
      </w:r>
      <w:r>
        <w:t xml:space="preserve">public’s </w:t>
      </w:r>
      <w:r w:rsidRPr="00D913D8">
        <w:t>view on intensive livestock farming</w:t>
      </w:r>
      <w:r w:rsidR="00571779">
        <w:t>.</w:t>
      </w:r>
      <w:r w:rsidR="00571779" w:rsidRPr="00571779">
        <w:rPr>
          <w:vertAlign w:val="superscript"/>
        </w:rPr>
        <w:t>5</w:t>
      </w:r>
    </w:p>
    <w:p w:rsidR="00571779" w:rsidRDefault="00571779" w:rsidP="00571779">
      <w:pPr>
        <w:spacing w:after="120"/>
        <w:jc w:val="both"/>
        <w:rPr>
          <w:i/>
        </w:rPr>
      </w:pPr>
    </w:p>
    <w:p w:rsidR="00571779" w:rsidRDefault="00CA47A9" w:rsidP="00571779">
      <w:pPr>
        <w:spacing w:after="120"/>
        <w:jc w:val="both"/>
        <w:rPr>
          <w:i/>
        </w:rPr>
      </w:pPr>
      <w:r>
        <w:rPr>
          <w:i/>
        </w:rPr>
        <w:t xml:space="preserve">Construction of score for </w:t>
      </w:r>
      <w:r w:rsidRPr="00B41C31">
        <w:rPr>
          <w:i/>
        </w:rPr>
        <w:t>attitude towards livestock farming in the residential environment</w:t>
      </w:r>
    </w:p>
    <w:p w:rsidR="00CA47A9" w:rsidRPr="00EF2FC6" w:rsidRDefault="00CA47A9" w:rsidP="00571779">
      <w:pPr>
        <w:spacing w:after="120"/>
        <w:jc w:val="both"/>
        <w:rPr>
          <w:i/>
        </w:rPr>
      </w:pPr>
      <w:r>
        <w:t xml:space="preserve">The questionnaire included 15 statements related to attitudes towards livestock farming in the residential environment (see table 1). Response options were coded based on a five-point Likert scale: “Strongly disagree“, “Disagree”, “Neutral” (neither agree nor disagree), “Agree”, and “Strongly agree”. Responses to negatively-keyed statements were reverse-scored (see table 1). Correlation between the statements was checked with a Pearson correlation matrix. Principal factor analysis was used to identify one or more latent factors which can be interpreted as an ‘attitude towards farming’. The number of factors determined was based on the Kaiser-Guttman criterion (retain factors having an eigenvalue greater than 1), and by observing the point where the scree plot bends. Final factor </w:t>
      </w:r>
      <w:r>
        <w:lastRenderedPageBreak/>
        <w:t>analysis was done after excluding items with residual correlations or partial correlations &lt; 0.1. Standardized factor</w:t>
      </w:r>
      <w:r w:rsidRPr="001C4E5E">
        <w:t xml:space="preserve"> scores </w:t>
      </w:r>
      <w:r>
        <w:t xml:space="preserve">(z-scores, hereafter named ‘attitude score’) </w:t>
      </w:r>
      <w:r w:rsidRPr="001C4E5E">
        <w:t xml:space="preserve">were computed as linear combinations of scoring coefficients and standardized </w:t>
      </w:r>
      <w:r>
        <w:t>questionnaire response</w:t>
      </w:r>
      <w:r w:rsidRPr="001C4E5E">
        <w:t xml:space="preserve">s for each </w:t>
      </w:r>
      <w:r>
        <w:t>participant, where a higher score indicates a more positive attitude towards farming</w:t>
      </w:r>
      <w:r w:rsidRPr="001C4E5E">
        <w:t>.</w:t>
      </w:r>
      <w:r w:rsidRPr="00E70DB5">
        <w:t xml:space="preserve"> </w:t>
      </w:r>
      <w:r w:rsidRPr="006459DF">
        <w:t xml:space="preserve">In total, </w:t>
      </w:r>
      <w:r>
        <w:t xml:space="preserve">data from </w:t>
      </w:r>
      <w:r w:rsidRPr="006459DF">
        <w:t xml:space="preserve">37 subjects were excluded from </w:t>
      </w:r>
      <w:r>
        <w:t xml:space="preserve">the </w:t>
      </w:r>
      <w:r w:rsidRPr="006459DF">
        <w:t xml:space="preserve">analyses since they had more than 3 missing answers among the 15 </w:t>
      </w:r>
      <w:r>
        <w:t>statements</w:t>
      </w:r>
      <w:r w:rsidRPr="006459DF">
        <w:t xml:space="preserve"> </w:t>
      </w:r>
      <w:r>
        <w:t>(n=36), or answered all 15 statements</w:t>
      </w:r>
      <w:r w:rsidRPr="006459DF">
        <w:t xml:space="preserve"> with </w:t>
      </w:r>
      <w:r>
        <w:t>”Strongly</w:t>
      </w:r>
      <w:r w:rsidRPr="006459DF">
        <w:t xml:space="preserve"> disagree</w:t>
      </w:r>
      <w:r>
        <w:t>”</w:t>
      </w:r>
      <w:r w:rsidRPr="006459DF">
        <w:t xml:space="preserve"> </w:t>
      </w:r>
      <w:r>
        <w:t xml:space="preserve">before recoding (n=1). Missing answers of all 2,457 remaining subjects were assigned to ”Neutral”. </w:t>
      </w:r>
    </w:p>
    <w:p w:rsidR="00571779" w:rsidRDefault="00571779" w:rsidP="00571779">
      <w:pPr>
        <w:spacing w:after="120"/>
        <w:jc w:val="both"/>
        <w:rPr>
          <w:i/>
        </w:rPr>
      </w:pPr>
    </w:p>
    <w:p w:rsidR="00571779" w:rsidRDefault="00CA47A9" w:rsidP="00571779">
      <w:pPr>
        <w:spacing w:after="120"/>
        <w:jc w:val="both"/>
        <w:rPr>
          <w:i/>
        </w:rPr>
      </w:pPr>
      <w:r>
        <w:rPr>
          <w:i/>
        </w:rPr>
        <w:t>Spirometry</w:t>
      </w:r>
    </w:p>
    <w:p w:rsidR="00CA47A9" w:rsidRDefault="00CA47A9" w:rsidP="00571779">
      <w:pPr>
        <w:spacing w:after="120"/>
        <w:jc w:val="both"/>
      </w:pPr>
      <w:r>
        <w:t>Pre- and post-</w:t>
      </w:r>
      <w:r w:rsidR="00947BA0">
        <w:t xml:space="preserve">bronchodilator </w:t>
      </w:r>
      <w:r>
        <w:t>spirometry was conducted according to European Respiratory Society (ERS) guidelines and the European Community Respiratory Health Survey III (ECRHS-III),</w:t>
      </w:r>
      <w:r w:rsidR="00571779" w:rsidRPr="00571779">
        <w:rPr>
          <w:vertAlign w:val="superscript"/>
        </w:rPr>
        <w:t>6</w:t>
      </w:r>
      <w:r>
        <w:t xml:space="preserve"> and is described in more detail by Borlée et al</w:t>
      </w:r>
      <w:r w:rsidR="007604A0">
        <w:t>.</w:t>
      </w:r>
      <w:r w:rsidR="00571779" w:rsidRPr="00571779">
        <w:rPr>
          <w:vertAlign w:val="superscript"/>
        </w:rPr>
        <w:t>3</w:t>
      </w:r>
    </w:p>
    <w:p w:rsidR="00571779" w:rsidRDefault="00571779" w:rsidP="00571779">
      <w:pPr>
        <w:spacing w:after="120"/>
        <w:jc w:val="both"/>
        <w:rPr>
          <w:i/>
        </w:rPr>
      </w:pPr>
    </w:p>
    <w:p w:rsidR="00571779" w:rsidRDefault="00CA47A9" w:rsidP="00571779">
      <w:pPr>
        <w:spacing w:after="120"/>
        <w:jc w:val="both"/>
        <w:rPr>
          <w:i/>
        </w:rPr>
      </w:pPr>
      <w:r w:rsidRPr="0095780F">
        <w:rPr>
          <w:i/>
        </w:rPr>
        <w:t>Li</w:t>
      </w:r>
      <w:r>
        <w:rPr>
          <w:i/>
        </w:rPr>
        <w:t>vestock farm exposure variables</w:t>
      </w:r>
    </w:p>
    <w:p w:rsidR="00CA47A9" w:rsidRDefault="00CA47A9" w:rsidP="00571779">
      <w:pPr>
        <w:spacing w:after="120"/>
        <w:jc w:val="both"/>
      </w:pPr>
      <w:r>
        <w:t xml:space="preserve">Livestock farm exposure proxies were computed for each </w:t>
      </w:r>
      <w:r w:rsidR="00571779">
        <w:t>subject as described previously.</w:t>
      </w:r>
      <w:r w:rsidR="00571779" w:rsidRPr="00571779">
        <w:rPr>
          <w:vertAlign w:val="superscript"/>
        </w:rPr>
        <w:t>7</w:t>
      </w:r>
      <w:r>
        <w:t xml:space="preserve"> In short, livestock farm proximity to the home address for each participant was determined using a geographic information system (</w:t>
      </w:r>
      <w:proofErr w:type="spellStart"/>
      <w:r>
        <w:t>ArcGis</w:t>
      </w:r>
      <w:proofErr w:type="spellEnd"/>
      <w:r>
        <w:t xml:space="preserve"> 10.1; </w:t>
      </w:r>
      <w:proofErr w:type="spellStart"/>
      <w:r>
        <w:t>Esri</w:t>
      </w:r>
      <w:proofErr w:type="spellEnd"/>
      <w:r>
        <w:t>, Redlands, CA, USA). The following livestock farm exposure proxies were studied for each subject: 1) number of farms within 500 and 1000 m and 2) presence of a farm (pig, poultry, cattle, goat, sheep, horse) within 1000 m (Y/N).</w:t>
      </w:r>
    </w:p>
    <w:p w:rsidR="00571779" w:rsidRDefault="00571779" w:rsidP="00571779">
      <w:pPr>
        <w:spacing w:after="120"/>
        <w:jc w:val="both"/>
        <w:rPr>
          <w:i/>
        </w:rPr>
      </w:pPr>
    </w:p>
    <w:p w:rsidR="00571779" w:rsidRDefault="00CA47A9" w:rsidP="00571779">
      <w:pPr>
        <w:spacing w:after="120"/>
        <w:jc w:val="both"/>
        <w:rPr>
          <w:i/>
        </w:rPr>
      </w:pPr>
      <w:r>
        <w:rPr>
          <w:i/>
        </w:rPr>
        <w:t xml:space="preserve">Data analysis </w:t>
      </w:r>
    </w:p>
    <w:p w:rsidR="00CA47A9" w:rsidRDefault="00754BC9" w:rsidP="00571779">
      <w:pPr>
        <w:spacing w:after="120"/>
        <w:jc w:val="both"/>
      </w:pPr>
      <w:r>
        <w:t xml:space="preserve">First, we assessed the association between the attitude-score and potential determinants using linear regression analysis. </w:t>
      </w:r>
      <w:bookmarkStart w:id="1" w:name="_Hlk526852655"/>
      <w:r>
        <w:t xml:space="preserve">Results </w:t>
      </w:r>
      <w:r w:rsidR="00165F8E">
        <w:t>we</w:t>
      </w:r>
      <w:r>
        <w:t xml:space="preserve">re expressed as regression coefficients (β) and 95% confidence intervals </w:t>
      </w:r>
      <w:bookmarkEnd w:id="1"/>
      <w:r>
        <w:t xml:space="preserve">(CI) representing the mean change in the attitude-score given a change in the determinant (one unit or otherwise stated in the Tables). </w:t>
      </w:r>
      <w:r w:rsidR="00CA47A9" w:rsidRPr="001642B6">
        <w:t xml:space="preserve">The potential determinants of attitude studied were: 1) general characteristics: age, gender, born in study area, childhood on a farm, smoking habits, BMI, education, </w:t>
      </w:r>
      <w:r w:rsidR="00CA47A9">
        <w:t>employment</w:t>
      </w:r>
      <w:r w:rsidR="00CA47A9" w:rsidRPr="001642B6">
        <w:t xml:space="preserve"> status, direct contact with (farm) animals</w:t>
      </w:r>
      <w:r w:rsidR="00CA47A9">
        <w:t>;</w:t>
      </w:r>
      <w:r w:rsidR="00CA47A9" w:rsidRPr="001642B6">
        <w:t xml:space="preserve"> 2) health status: self-reported respiratory health, </w:t>
      </w:r>
      <w:r w:rsidR="00CA47A9">
        <w:t xml:space="preserve">lung function </w:t>
      </w:r>
      <w:r w:rsidR="00CA47A9" w:rsidRPr="001642B6">
        <w:t xml:space="preserve">(spirometry), </w:t>
      </w:r>
      <w:r w:rsidR="00CA47A9">
        <w:t>3)</w:t>
      </w:r>
      <w:r w:rsidR="00CA47A9" w:rsidRPr="001642B6">
        <w:t xml:space="preserve"> exposure to livestock farms.</w:t>
      </w:r>
      <w:r w:rsidR="00CA47A9">
        <w:t xml:space="preserve"> Potential confounders (general characteristics) with a p</w:t>
      </w:r>
      <w:r w:rsidR="00CA47A9" w:rsidRPr="00956480">
        <w:t>-value &lt; 0.2 were selected before</w:t>
      </w:r>
      <w:r w:rsidR="00CA47A9">
        <w:t>hand by linear regression of attitude</w:t>
      </w:r>
      <w:r w:rsidR="00CA47A9" w:rsidRPr="00956480">
        <w:t xml:space="preserve"> </w:t>
      </w:r>
      <w:r w:rsidR="00CA47A9">
        <w:t>on</w:t>
      </w:r>
      <w:r w:rsidR="00CA47A9" w:rsidRPr="00956480">
        <w:t xml:space="preserve"> potential confoun</w:t>
      </w:r>
      <w:r w:rsidR="00CA47A9">
        <w:t xml:space="preserve">ders </w:t>
      </w:r>
      <w:r w:rsidR="00CA47A9" w:rsidRPr="00956480">
        <w:t>following a forward stepwise procedure based on improvement of Akaike’s Information Criterion (AIC).</w:t>
      </w:r>
      <w:r w:rsidR="00CA47A9">
        <w:t xml:space="preserve"> </w:t>
      </w:r>
      <w:r w:rsidR="00CA47A9" w:rsidRPr="000D3EF8">
        <w:t xml:space="preserve">As a result, </w:t>
      </w:r>
      <w:r w:rsidR="00CA47A9">
        <w:t>two adjusted models were run: the basic model A (only adjusted for age and gender) and the full Model B (age, gender, born in study area, childhood on a farm, BMI ≥ 30, visited a farm last 12 months, high education).</w:t>
      </w:r>
      <w:r w:rsidR="00CA47A9" w:rsidRPr="0024656B">
        <w:t xml:space="preserve"> Sensitivity analyses </w:t>
      </w:r>
      <w:r w:rsidR="00CA47A9">
        <w:t xml:space="preserve">were conducted after excluding subjects </w:t>
      </w:r>
      <w:r w:rsidR="00CA47A9" w:rsidRPr="0024656B">
        <w:t>who attributed their symptoms to presence of live</w:t>
      </w:r>
      <w:r w:rsidR="00CA47A9">
        <w:t>stock farms in their environment</w:t>
      </w:r>
      <w:r w:rsidR="00CA47A9" w:rsidRPr="0024656B">
        <w:t xml:space="preserve">. </w:t>
      </w:r>
    </w:p>
    <w:p w:rsidR="00010BB8" w:rsidRDefault="00754BC9" w:rsidP="00571779">
      <w:pPr>
        <w:spacing w:after="120"/>
        <w:jc w:val="both"/>
      </w:pPr>
      <w:r w:rsidRPr="00754BC9">
        <w:rPr>
          <w:rFonts w:ascii="Calibri" w:eastAsia="Calibri" w:hAnsi="Calibri" w:cs="Times New Roman"/>
          <w:lang w:val="en-US"/>
        </w:rPr>
        <w:t xml:space="preserve">Second, to study the impact of attitude on information bias (i.e. differential misclassification of self-reported pneumonia), </w:t>
      </w:r>
      <w:bookmarkStart w:id="2" w:name="_Hlk529201047"/>
      <w:r w:rsidRPr="00754BC9">
        <w:rPr>
          <w:rFonts w:ascii="Calibri" w:eastAsia="Calibri" w:hAnsi="Calibri" w:cs="Times New Roman"/>
          <w:lang w:val="en-US"/>
        </w:rPr>
        <w:t xml:space="preserve">we compared self-reported and EMR-based pneumonia, and computed sensitivity and specificity </w:t>
      </w:r>
      <w:r w:rsidRPr="00754BC9">
        <w:rPr>
          <w:rFonts w:ascii="Calibri" w:eastAsia="Calibri" w:hAnsi="Calibri" w:cs="Times New Roman"/>
        </w:rPr>
        <w:t>in a group with a more negative (&lt; median attitude-score) and a more positive attitude (&gt; median attitude-score)</w:t>
      </w:r>
      <w:bookmarkEnd w:id="2"/>
      <w:r w:rsidRPr="00754BC9">
        <w:rPr>
          <w:rFonts w:ascii="Calibri" w:eastAsia="Calibri" w:hAnsi="Calibri" w:cs="Times New Roman"/>
        </w:rPr>
        <w:t>. To study effect modification by attitude, the association between proximity to goat farms and pneumonia was also analysed in the ‘more negative’ and ‘more positive’ group, and we tested interaction between farm proximity and attitude-score.</w:t>
      </w:r>
      <w:r w:rsidR="00010BB8">
        <w:rPr>
          <w:rFonts w:ascii="Calibri" w:eastAsia="Calibri" w:hAnsi="Calibri" w:cs="Times New Roman"/>
        </w:rPr>
        <w:t xml:space="preserve"> </w:t>
      </w:r>
      <w:proofErr w:type="spellStart"/>
      <w:r w:rsidR="00CA47A9">
        <w:t>Freidl</w:t>
      </w:r>
      <w:proofErr w:type="spellEnd"/>
      <w:r w:rsidR="00CA47A9">
        <w:t xml:space="preserve"> et al.</w:t>
      </w:r>
      <w:r w:rsidR="00571779" w:rsidRPr="00571779">
        <w:rPr>
          <w:vertAlign w:val="superscript"/>
        </w:rPr>
        <w:t>8</w:t>
      </w:r>
      <w:r w:rsidR="00571779">
        <w:t xml:space="preserve"> </w:t>
      </w:r>
      <w:r w:rsidR="00CA47A9">
        <w:lastRenderedPageBreak/>
        <w:t xml:space="preserve">found in the same study population (2,494 participants of the medical examination) a higher risk of pneumonia for residents living in close proximity to goat farms. Pneumonia was defined as </w:t>
      </w:r>
      <w:r w:rsidR="00CA47A9" w:rsidRPr="0059083F">
        <w:t>self-reported physician-diagnosed pneumonia</w:t>
      </w:r>
      <w:r w:rsidR="00CA47A9">
        <w:t xml:space="preserve"> over the past three years,</w:t>
      </w:r>
      <w:r w:rsidR="00CA47A9" w:rsidRPr="0059083F">
        <w:t xml:space="preserve"> or pneumonia recorded in the </w:t>
      </w:r>
      <w:r w:rsidR="00CA47A9" w:rsidRPr="00964B3E">
        <w:t xml:space="preserve">Electronic Medical Records </w:t>
      </w:r>
      <w:r w:rsidR="00CA47A9">
        <w:t>(</w:t>
      </w:r>
      <w:r w:rsidR="00CA47A9" w:rsidRPr="0059083F">
        <w:t>EMR</w:t>
      </w:r>
      <w:r w:rsidR="00CA47A9">
        <w:t xml:space="preserve">). In the current study, pneumonia was defined as only </w:t>
      </w:r>
      <w:r w:rsidR="00CA47A9" w:rsidRPr="00B1278D">
        <w:t>self-reported physician-diagnosed pneumonia</w:t>
      </w:r>
      <w:r w:rsidR="00CA47A9">
        <w:t xml:space="preserve"> over the past three years reported in the questionnaire</w:t>
      </w:r>
      <w:r>
        <w:t xml:space="preserve"> because the impact of attitude was expected to be most pronounced for a self-reported outcome</w:t>
      </w:r>
      <w:r w:rsidR="00CA47A9">
        <w:t xml:space="preserve">. </w:t>
      </w:r>
      <w:r w:rsidR="00010BB8">
        <w:t>The association</w:t>
      </w:r>
      <w:r w:rsidR="00010BB8">
        <w:rPr>
          <w:vertAlign w:val="superscript"/>
        </w:rPr>
        <w:t xml:space="preserve"> </w:t>
      </w:r>
      <w:r w:rsidR="00010BB8">
        <w:t>between pneumonia and goat farm proximity (within 1,000 m as in</w:t>
      </w:r>
      <w:r w:rsidR="00010BB8">
        <w:rPr>
          <w:vertAlign w:val="superscript"/>
        </w:rPr>
        <w:t>8</w:t>
      </w:r>
      <w:r w:rsidR="00010BB8">
        <w:t>) was analysed with logistic regression, and expressed as odds ratios (OR) and 95% CI.</w:t>
      </w:r>
    </w:p>
    <w:p w:rsidR="00CA47A9" w:rsidRPr="0024656B" w:rsidRDefault="00010BB8" w:rsidP="00FE0692">
      <w:pPr>
        <w:spacing w:after="120"/>
        <w:jc w:val="both"/>
      </w:pPr>
      <w:r>
        <w:t>Third, a</w:t>
      </w:r>
      <w:r w:rsidR="00CA47A9">
        <w:t xml:space="preserve"> sensitivity analysis was</w:t>
      </w:r>
      <w:r w:rsidR="00CA47A9" w:rsidRPr="00197B63">
        <w:t xml:space="preserve"> conducted after excluding subjects who attributed their symptoms to presence of livestock farms in their environment.</w:t>
      </w:r>
      <w:r w:rsidR="004E3082" w:rsidRPr="004E3082">
        <w:t xml:space="preserve"> </w:t>
      </w:r>
    </w:p>
    <w:p w:rsidR="00571779" w:rsidRDefault="00CA47A9" w:rsidP="00571779">
      <w:pPr>
        <w:spacing w:after="120"/>
        <w:jc w:val="both"/>
      </w:pPr>
      <w:r w:rsidRPr="001E595B">
        <w:t>Data were analysed using SAS 9.4 (SAS Institute Inc. Cary, NC, USA).</w:t>
      </w:r>
    </w:p>
    <w:p w:rsidR="00D860F4" w:rsidRDefault="00D860F4" w:rsidP="00D860F4">
      <w:pPr>
        <w:rPr>
          <w:b/>
          <w:lang w:val="en-US"/>
        </w:rPr>
      </w:pPr>
    </w:p>
    <w:p w:rsidR="00D860F4" w:rsidRPr="00D860F4" w:rsidRDefault="00D860F4" w:rsidP="00D860F4">
      <w:pPr>
        <w:rPr>
          <w:b/>
          <w:lang w:val="en-US"/>
        </w:rPr>
      </w:pPr>
      <w:r w:rsidRPr="00D860F4">
        <w:rPr>
          <w:b/>
          <w:lang w:val="en-US"/>
        </w:rPr>
        <w:t>References supplementary file</w:t>
      </w:r>
    </w:p>
    <w:p w:rsidR="00D860F4" w:rsidRPr="00D860F4" w:rsidRDefault="00D860F4" w:rsidP="00D860F4">
      <w:pPr>
        <w:numPr>
          <w:ilvl w:val="0"/>
          <w:numId w:val="1"/>
        </w:numPr>
      </w:pPr>
      <w:proofErr w:type="spellStart"/>
      <w:r w:rsidRPr="00D860F4">
        <w:rPr>
          <w:lang w:val="nl-NL"/>
        </w:rPr>
        <w:t>Borlee</w:t>
      </w:r>
      <w:proofErr w:type="spellEnd"/>
      <w:r w:rsidRPr="00D860F4">
        <w:rPr>
          <w:lang w:val="nl-NL"/>
        </w:rPr>
        <w:t xml:space="preserve"> F, </w:t>
      </w:r>
      <w:proofErr w:type="spellStart"/>
      <w:r w:rsidRPr="00D860F4">
        <w:rPr>
          <w:lang w:val="nl-NL"/>
        </w:rPr>
        <w:t>Yzermans</w:t>
      </w:r>
      <w:proofErr w:type="spellEnd"/>
      <w:r w:rsidRPr="00D860F4">
        <w:rPr>
          <w:lang w:val="nl-NL"/>
        </w:rPr>
        <w:t xml:space="preserve"> CJ, van Dijk CE, Heederik D, Smit LA. </w:t>
      </w:r>
      <w:r w:rsidRPr="00D860F4">
        <w:t xml:space="preserve">Increased respiratory symptoms in COPD patients living in the vicinity of livestock farms. </w:t>
      </w:r>
      <w:proofErr w:type="spellStart"/>
      <w:r w:rsidRPr="00D860F4">
        <w:rPr>
          <w:i/>
        </w:rPr>
        <w:t>Eur</w:t>
      </w:r>
      <w:proofErr w:type="spellEnd"/>
      <w:r w:rsidRPr="00D860F4">
        <w:rPr>
          <w:i/>
        </w:rPr>
        <w:t xml:space="preserve"> Respir J</w:t>
      </w:r>
      <w:r w:rsidRPr="00D860F4">
        <w:t>. 2015;46:1605-1614.</w:t>
      </w:r>
    </w:p>
    <w:p w:rsidR="00D860F4" w:rsidRPr="00D860F4" w:rsidRDefault="00D860F4" w:rsidP="00D860F4">
      <w:pPr>
        <w:numPr>
          <w:ilvl w:val="0"/>
          <w:numId w:val="1"/>
        </w:numPr>
      </w:pPr>
      <w:proofErr w:type="spellStart"/>
      <w:r w:rsidRPr="00D860F4">
        <w:t>Borlee</w:t>
      </w:r>
      <w:proofErr w:type="spellEnd"/>
      <w:r w:rsidRPr="00D860F4">
        <w:t xml:space="preserve"> F, </w:t>
      </w:r>
      <w:proofErr w:type="spellStart"/>
      <w:r w:rsidRPr="00D860F4">
        <w:t>Yzermans</w:t>
      </w:r>
      <w:proofErr w:type="spellEnd"/>
      <w:r w:rsidRPr="00D860F4">
        <w:t xml:space="preserve"> CJ, Krop E, </w:t>
      </w:r>
      <w:proofErr w:type="spellStart"/>
      <w:r w:rsidRPr="00D860F4">
        <w:t>Aalders</w:t>
      </w:r>
      <w:proofErr w:type="spellEnd"/>
      <w:r w:rsidRPr="00D860F4">
        <w:t xml:space="preserve"> B, </w:t>
      </w:r>
      <w:proofErr w:type="spellStart"/>
      <w:r w:rsidRPr="00D860F4">
        <w:t>Rooijackers</w:t>
      </w:r>
      <w:proofErr w:type="spellEnd"/>
      <w:r w:rsidRPr="00D860F4">
        <w:t xml:space="preserve"> J, </w:t>
      </w:r>
      <w:proofErr w:type="spellStart"/>
      <w:r w:rsidRPr="00D860F4">
        <w:t>Zock</w:t>
      </w:r>
      <w:proofErr w:type="spellEnd"/>
      <w:r w:rsidRPr="00D860F4">
        <w:t xml:space="preserve"> JP, et al. Spirometry, questionnaire and electronic medical record based COPD in a population survey: Comparing prevalence, level of agreement and associations with potential risk factors. </w:t>
      </w:r>
      <w:proofErr w:type="spellStart"/>
      <w:r w:rsidRPr="00D860F4">
        <w:rPr>
          <w:i/>
        </w:rPr>
        <w:t>PLoS</w:t>
      </w:r>
      <w:proofErr w:type="spellEnd"/>
      <w:r w:rsidRPr="00D860F4">
        <w:rPr>
          <w:i/>
        </w:rPr>
        <w:t xml:space="preserve"> One</w:t>
      </w:r>
      <w:r w:rsidRPr="00D860F4">
        <w:t>. 2017;12:e0171494.</w:t>
      </w:r>
    </w:p>
    <w:p w:rsidR="00D860F4" w:rsidRPr="00D860F4" w:rsidRDefault="00D860F4" w:rsidP="00D860F4">
      <w:pPr>
        <w:numPr>
          <w:ilvl w:val="0"/>
          <w:numId w:val="1"/>
        </w:numPr>
      </w:pPr>
      <w:proofErr w:type="spellStart"/>
      <w:r w:rsidRPr="00D860F4">
        <w:t>Borlee</w:t>
      </w:r>
      <w:proofErr w:type="spellEnd"/>
      <w:r w:rsidRPr="00D860F4">
        <w:t xml:space="preserve"> F, </w:t>
      </w:r>
      <w:proofErr w:type="spellStart"/>
      <w:r w:rsidRPr="00D860F4">
        <w:t>Yzermans</w:t>
      </w:r>
      <w:proofErr w:type="spellEnd"/>
      <w:r w:rsidRPr="00D860F4">
        <w:t xml:space="preserve"> CJ, </w:t>
      </w:r>
      <w:proofErr w:type="spellStart"/>
      <w:r w:rsidRPr="00D860F4">
        <w:t>Aalders</w:t>
      </w:r>
      <w:proofErr w:type="spellEnd"/>
      <w:r w:rsidRPr="00D860F4">
        <w:t xml:space="preserve"> B, </w:t>
      </w:r>
      <w:proofErr w:type="spellStart"/>
      <w:r w:rsidRPr="00D860F4">
        <w:t>Rooijackers</w:t>
      </w:r>
      <w:proofErr w:type="spellEnd"/>
      <w:r w:rsidRPr="00D860F4">
        <w:t xml:space="preserve"> J, Krop E, </w:t>
      </w:r>
      <w:proofErr w:type="spellStart"/>
      <w:r w:rsidRPr="00D860F4">
        <w:t>Maassen</w:t>
      </w:r>
      <w:proofErr w:type="spellEnd"/>
      <w:r w:rsidRPr="00D860F4">
        <w:t xml:space="preserve"> CBM, et al. Air Pollution from Livestock Farms is Associated with Airway Obstruction in </w:t>
      </w:r>
      <w:proofErr w:type="spellStart"/>
      <w:r w:rsidRPr="00D860F4">
        <w:t>Neighboring</w:t>
      </w:r>
      <w:proofErr w:type="spellEnd"/>
      <w:r w:rsidRPr="00D860F4">
        <w:t xml:space="preserve"> Residents. </w:t>
      </w:r>
      <w:r w:rsidRPr="00D860F4">
        <w:rPr>
          <w:i/>
        </w:rPr>
        <w:t xml:space="preserve">Am J Respir </w:t>
      </w:r>
      <w:proofErr w:type="spellStart"/>
      <w:r w:rsidRPr="00D860F4">
        <w:rPr>
          <w:i/>
        </w:rPr>
        <w:t>Crit</w:t>
      </w:r>
      <w:proofErr w:type="spellEnd"/>
      <w:r w:rsidRPr="00D860F4">
        <w:rPr>
          <w:i/>
        </w:rPr>
        <w:t xml:space="preserve"> Care Med</w:t>
      </w:r>
      <w:r w:rsidRPr="00D860F4">
        <w:t>. 2017;196:1152-1161.</w:t>
      </w:r>
    </w:p>
    <w:p w:rsidR="00D860F4" w:rsidRPr="00D860F4" w:rsidRDefault="00D860F4" w:rsidP="00D860F4">
      <w:pPr>
        <w:numPr>
          <w:ilvl w:val="0"/>
          <w:numId w:val="1"/>
        </w:numPr>
      </w:pPr>
      <w:proofErr w:type="spellStart"/>
      <w:r w:rsidRPr="00D860F4">
        <w:t>Yzermans</w:t>
      </w:r>
      <w:proofErr w:type="spellEnd"/>
      <w:r w:rsidRPr="00D860F4">
        <w:t xml:space="preserve"> J, </w:t>
      </w:r>
      <w:proofErr w:type="spellStart"/>
      <w:r w:rsidRPr="00D860F4">
        <w:t>Baliatsas</w:t>
      </w:r>
      <w:proofErr w:type="spellEnd"/>
      <w:r w:rsidRPr="00D860F4">
        <w:t xml:space="preserve"> C, van </w:t>
      </w:r>
      <w:proofErr w:type="spellStart"/>
      <w:r w:rsidRPr="00D860F4">
        <w:t>Dulmen</w:t>
      </w:r>
      <w:proofErr w:type="spellEnd"/>
      <w:r w:rsidRPr="00D860F4">
        <w:t xml:space="preserve"> S, Van Kamp I. Assessing non-specific symptoms in epidemiological studies: Development and validation of the Symptoms and Perceptions (</w:t>
      </w:r>
      <w:proofErr w:type="spellStart"/>
      <w:r w:rsidRPr="00D860F4">
        <w:t>SaP</w:t>
      </w:r>
      <w:proofErr w:type="spellEnd"/>
      <w:r w:rsidRPr="00D860F4">
        <w:t xml:space="preserve">) questionnaire. </w:t>
      </w:r>
      <w:proofErr w:type="spellStart"/>
      <w:r w:rsidRPr="00D860F4">
        <w:rPr>
          <w:i/>
        </w:rPr>
        <w:t>Int</w:t>
      </w:r>
      <w:proofErr w:type="spellEnd"/>
      <w:r w:rsidRPr="00D860F4">
        <w:rPr>
          <w:i/>
        </w:rPr>
        <w:t xml:space="preserve"> J </w:t>
      </w:r>
      <w:proofErr w:type="spellStart"/>
      <w:r w:rsidRPr="00D860F4">
        <w:rPr>
          <w:i/>
        </w:rPr>
        <w:t>Hyg</w:t>
      </w:r>
      <w:proofErr w:type="spellEnd"/>
      <w:r w:rsidRPr="00D860F4">
        <w:rPr>
          <w:i/>
        </w:rPr>
        <w:t xml:space="preserve"> Environ Health</w:t>
      </w:r>
      <w:r w:rsidRPr="00D860F4">
        <w:t>. 2016;219:53-65.</w:t>
      </w:r>
    </w:p>
    <w:p w:rsidR="00D860F4" w:rsidRPr="00D860F4" w:rsidRDefault="00D860F4" w:rsidP="00D860F4">
      <w:pPr>
        <w:numPr>
          <w:ilvl w:val="0"/>
          <w:numId w:val="1"/>
        </w:numPr>
      </w:pPr>
      <w:proofErr w:type="spellStart"/>
      <w:r w:rsidRPr="00D860F4">
        <w:t>Verhue</w:t>
      </w:r>
      <w:proofErr w:type="spellEnd"/>
      <w:r w:rsidRPr="00D860F4">
        <w:t xml:space="preserve"> D, Vieira V, </w:t>
      </w:r>
      <w:proofErr w:type="spellStart"/>
      <w:r w:rsidRPr="00D860F4">
        <w:t>Koenen</w:t>
      </w:r>
      <w:proofErr w:type="spellEnd"/>
      <w:r w:rsidRPr="00D860F4">
        <w:t xml:space="preserve"> B, van </w:t>
      </w:r>
      <w:proofErr w:type="spellStart"/>
      <w:r w:rsidRPr="00D860F4">
        <w:t>Kalmthout</w:t>
      </w:r>
      <w:proofErr w:type="spellEnd"/>
      <w:r w:rsidRPr="00D860F4">
        <w:t xml:space="preserve"> R. </w:t>
      </w:r>
      <w:proofErr w:type="spellStart"/>
      <w:r w:rsidRPr="00D860F4">
        <w:t>Opvattingen</w:t>
      </w:r>
      <w:proofErr w:type="spellEnd"/>
      <w:r w:rsidRPr="00D860F4">
        <w:t xml:space="preserve"> over </w:t>
      </w:r>
      <w:proofErr w:type="spellStart"/>
      <w:r w:rsidRPr="00D860F4">
        <w:t>megastallen</w:t>
      </w:r>
      <w:proofErr w:type="spellEnd"/>
      <w:r w:rsidRPr="00D860F4">
        <w:t xml:space="preserve"> [Views on intensive livestock farming]. </w:t>
      </w:r>
      <w:hyperlink r:id="rId7" w:history="1">
        <w:r w:rsidRPr="00D860F4">
          <w:rPr>
            <w:rStyle w:val="Hyperlink"/>
          </w:rPr>
          <w:t>http://edepot.wur.nl/168111</w:t>
        </w:r>
      </w:hyperlink>
      <w:r w:rsidRPr="00D860F4">
        <w:rPr>
          <w:lang w:val="en-US"/>
        </w:rPr>
        <w:t>. Accessed  August 14, 2018</w:t>
      </w:r>
      <w:r w:rsidRPr="00D860F4">
        <w:t>.</w:t>
      </w:r>
    </w:p>
    <w:p w:rsidR="00D860F4" w:rsidRPr="00D860F4" w:rsidRDefault="00D860F4" w:rsidP="00D860F4">
      <w:pPr>
        <w:numPr>
          <w:ilvl w:val="0"/>
          <w:numId w:val="1"/>
        </w:numPr>
      </w:pPr>
      <w:r w:rsidRPr="00D860F4">
        <w:t xml:space="preserve">Burney P, Jarvis D. Lung function protocol, data sheets and lung function questionnaire. </w:t>
      </w:r>
      <w:hyperlink r:id="rId8" w:history="1">
        <w:r w:rsidRPr="00D860F4">
          <w:rPr>
            <w:rStyle w:val="Hyperlink"/>
          </w:rPr>
          <w:t>www.ecrhs.org</w:t>
        </w:r>
      </w:hyperlink>
      <w:r w:rsidRPr="00D860F4">
        <w:t xml:space="preserve">. </w:t>
      </w:r>
      <w:r w:rsidRPr="00D860F4">
        <w:rPr>
          <w:lang w:val="en-US"/>
        </w:rPr>
        <w:t>Accessed  August 14, 2018.</w:t>
      </w:r>
    </w:p>
    <w:p w:rsidR="00D860F4" w:rsidRPr="00D860F4" w:rsidRDefault="00D860F4" w:rsidP="00D860F4">
      <w:pPr>
        <w:numPr>
          <w:ilvl w:val="0"/>
          <w:numId w:val="1"/>
        </w:numPr>
      </w:pPr>
      <w:r w:rsidRPr="00D860F4">
        <w:rPr>
          <w:lang w:val="nl-NL"/>
        </w:rPr>
        <w:t xml:space="preserve">Smit LA, Hooiveld M, van der </w:t>
      </w:r>
      <w:proofErr w:type="spellStart"/>
      <w:r w:rsidRPr="00D860F4">
        <w:rPr>
          <w:lang w:val="nl-NL"/>
        </w:rPr>
        <w:t>Sman</w:t>
      </w:r>
      <w:proofErr w:type="spellEnd"/>
      <w:r w:rsidRPr="00D860F4">
        <w:rPr>
          <w:lang w:val="nl-NL"/>
        </w:rPr>
        <w:t xml:space="preserve">-de Beer F, Opstal-van Winden AW, Beekhuizen J, Wouters IM, et al. </w:t>
      </w:r>
      <w:r w:rsidRPr="00D860F4">
        <w:t xml:space="preserve">Air pollution from livestock farms, and asthma, allergic rhinitis and COPD among neighbouring residents. </w:t>
      </w:r>
      <w:proofErr w:type="spellStart"/>
      <w:r w:rsidRPr="00D860F4">
        <w:rPr>
          <w:i/>
        </w:rPr>
        <w:t>Occup</w:t>
      </w:r>
      <w:proofErr w:type="spellEnd"/>
      <w:r w:rsidRPr="00D860F4">
        <w:rPr>
          <w:i/>
        </w:rPr>
        <w:t xml:space="preserve"> Environ Med</w:t>
      </w:r>
      <w:r w:rsidRPr="00D860F4">
        <w:t>. 2014;71:134-140.</w:t>
      </w:r>
    </w:p>
    <w:p w:rsidR="00D860F4" w:rsidRPr="00D860F4" w:rsidRDefault="00D860F4" w:rsidP="00D860F4">
      <w:pPr>
        <w:numPr>
          <w:ilvl w:val="0"/>
          <w:numId w:val="1"/>
        </w:numPr>
      </w:pPr>
      <w:proofErr w:type="spellStart"/>
      <w:r w:rsidRPr="00D860F4">
        <w:t>Freidl</w:t>
      </w:r>
      <w:proofErr w:type="spellEnd"/>
      <w:r w:rsidRPr="00D860F4">
        <w:t xml:space="preserve"> GS, </w:t>
      </w:r>
      <w:proofErr w:type="spellStart"/>
      <w:r w:rsidRPr="00D860F4">
        <w:t>Spruijt</w:t>
      </w:r>
      <w:proofErr w:type="spellEnd"/>
      <w:r w:rsidRPr="00D860F4">
        <w:t xml:space="preserve"> IT, </w:t>
      </w:r>
      <w:proofErr w:type="spellStart"/>
      <w:r w:rsidRPr="00D860F4">
        <w:t>Borlee</w:t>
      </w:r>
      <w:proofErr w:type="spellEnd"/>
      <w:r w:rsidRPr="00D860F4">
        <w:t xml:space="preserve"> F, Smit LA, van Gageldonk-</w:t>
      </w:r>
      <w:proofErr w:type="spellStart"/>
      <w:r w:rsidRPr="00D860F4">
        <w:t>Lafeber</w:t>
      </w:r>
      <w:proofErr w:type="spellEnd"/>
      <w:r w:rsidRPr="00D860F4">
        <w:t xml:space="preserve"> AB, Heederik DJ, et al. Livestock-associated risk factors for pneumonia in an area of intensive animal farming in the Netherlands. </w:t>
      </w:r>
      <w:proofErr w:type="spellStart"/>
      <w:r w:rsidRPr="00D860F4">
        <w:rPr>
          <w:i/>
        </w:rPr>
        <w:t>PLoS</w:t>
      </w:r>
      <w:proofErr w:type="spellEnd"/>
      <w:r w:rsidRPr="00D860F4">
        <w:rPr>
          <w:i/>
        </w:rPr>
        <w:t xml:space="preserve"> One</w:t>
      </w:r>
      <w:r w:rsidRPr="00D860F4">
        <w:t>. 2017;12:e0174796.</w:t>
      </w:r>
    </w:p>
    <w:p w:rsidR="00571779" w:rsidRDefault="00571779">
      <w:r>
        <w:br w:type="page"/>
      </w:r>
    </w:p>
    <w:p w:rsidR="001367CD" w:rsidRPr="00673FB0" w:rsidRDefault="001367CD">
      <w:r>
        <w:rPr>
          <w:b/>
          <w:lang w:val="en-US"/>
        </w:rPr>
        <w:lastRenderedPageBreak/>
        <w:t>Supplementary table</w:t>
      </w:r>
    </w:p>
    <w:p w:rsidR="001367CD" w:rsidRDefault="001367CD" w:rsidP="001367CD">
      <w:pPr>
        <w:pStyle w:val="Caption"/>
        <w:keepNext/>
      </w:pPr>
      <w:r>
        <w:t xml:space="preserve">Table S1. Associations between the attitude-score </w:t>
      </w:r>
      <w:r w:rsidRPr="00575B8C">
        <w:t xml:space="preserve">and </w:t>
      </w:r>
      <w:r>
        <w:t>determinants of livestock farm exposure</w:t>
      </w:r>
      <w:r w:rsidRPr="00575B8C">
        <w:t>.</w:t>
      </w:r>
    </w:p>
    <w:tbl>
      <w:tblPr>
        <w:tblStyle w:val="TableGrid1"/>
        <w:tblW w:w="9815" w:type="dxa"/>
        <w:tblLayout w:type="fixed"/>
        <w:tblLook w:val="04A0" w:firstRow="1" w:lastRow="0" w:firstColumn="1" w:lastColumn="0" w:noHBand="0" w:noVBand="1"/>
      </w:tblPr>
      <w:tblGrid>
        <w:gridCol w:w="3227"/>
        <w:gridCol w:w="1701"/>
        <w:gridCol w:w="1701"/>
        <w:gridCol w:w="1559"/>
        <w:gridCol w:w="1627"/>
      </w:tblGrid>
      <w:tr w:rsidR="001367CD" w:rsidRPr="00C83F55" w:rsidTr="008F498E">
        <w:trPr>
          <w:trHeight w:val="227"/>
        </w:trPr>
        <w:tc>
          <w:tcPr>
            <w:tcW w:w="3227" w:type="dxa"/>
            <w:shd w:val="clear" w:color="auto" w:fill="auto"/>
            <w:noWrap/>
          </w:tcPr>
          <w:p w:rsidR="001367CD" w:rsidRPr="00575B8C" w:rsidRDefault="001367CD" w:rsidP="008F498E">
            <w:pPr>
              <w:rPr>
                <w:sz w:val="18"/>
                <w:szCs w:val="18"/>
              </w:rPr>
            </w:pPr>
          </w:p>
        </w:tc>
        <w:tc>
          <w:tcPr>
            <w:tcW w:w="1701" w:type="dxa"/>
            <w:shd w:val="clear" w:color="auto" w:fill="auto"/>
            <w:noWrap/>
          </w:tcPr>
          <w:p w:rsidR="001367CD" w:rsidRPr="00575B8C" w:rsidRDefault="001367CD" w:rsidP="008F498E">
            <w:pPr>
              <w:rPr>
                <w:b/>
                <w:bCs/>
                <w:sz w:val="18"/>
                <w:szCs w:val="18"/>
              </w:rPr>
            </w:pPr>
            <w:r w:rsidRPr="00575B8C">
              <w:rPr>
                <w:b/>
                <w:bCs/>
                <w:sz w:val="18"/>
                <w:szCs w:val="18"/>
              </w:rPr>
              <w:t>Mean (SD) or n (%)</w:t>
            </w:r>
          </w:p>
        </w:tc>
        <w:tc>
          <w:tcPr>
            <w:tcW w:w="1701" w:type="dxa"/>
            <w:shd w:val="clear" w:color="auto" w:fill="auto"/>
            <w:noWrap/>
          </w:tcPr>
          <w:p w:rsidR="001367CD" w:rsidRPr="00575B8C" w:rsidRDefault="001367CD" w:rsidP="008F498E">
            <w:pPr>
              <w:rPr>
                <w:b/>
                <w:bCs/>
                <w:sz w:val="18"/>
                <w:szCs w:val="18"/>
              </w:rPr>
            </w:pPr>
            <w:r w:rsidRPr="00575B8C">
              <w:rPr>
                <w:b/>
                <w:bCs/>
                <w:sz w:val="18"/>
                <w:szCs w:val="18"/>
              </w:rPr>
              <w:t>Unadjusted</w:t>
            </w:r>
          </w:p>
          <w:p w:rsidR="001367CD" w:rsidRPr="00575B8C" w:rsidRDefault="001367CD" w:rsidP="008F498E">
            <w:pPr>
              <w:rPr>
                <w:b/>
                <w:bCs/>
                <w:sz w:val="18"/>
                <w:szCs w:val="18"/>
              </w:rPr>
            </w:pPr>
            <w:r w:rsidRPr="00575B8C">
              <w:rPr>
                <w:b/>
                <w:bCs/>
                <w:sz w:val="18"/>
                <w:szCs w:val="18"/>
              </w:rPr>
              <w:t>β (95%CI)</w:t>
            </w:r>
          </w:p>
        </w:tc>
        <w:tc>
          <w:tcPr>
            <w:tcW w:w="1559" w:type="dxa"/>
            <w:shd w:val="clear" w:color="auto" w:fill="auto"/>
            <w:noWrap/>
          </w:tcPr>
          <w:p w:rsidR="001367CD" w:rsidRPr="003E208B" w:rsidRDefault="001367CD" w:rsidP="008F498E">
            <w:pPr>
              <w:rPr>
                <w:b/>
                <w:bCs/>
                <w:sz w:val="18"/>
                <w:szCs w:val="18"/>
                <w:vertAlign w:val="superscript"/>
                <w:lang w:val="es-ES"/>
              </w:rPr>
            </w:pPr>
            <w:proofErr w:type="spellStart"/>
            <w:r w:rsidRPr="004011D5">
              <w:rPr>
                <w:b/>
                <w:bCs/>
                <w:sz w:val="18"/>
                <w:szCs w:val="18"/>
                <w:lang w:val="es-ES"/>
              </w:rPr>
              <w:t>Model</w:t>
            </w:r>
            <w:proofErr w:type="spellEnd"/>
            <w:r w:rsidRPr="004011D5">
              <w:rPr>
                <w:b/>
                <w:bCs/>
                <w:sz w:val="18"/>
                <w:szCs w:val="18"/>
                <w:lang w:val="es-ES"/>
              </w:rPr>
              <w:t xml:space="preserve"> </w:t>
            </w:r>
            <w:proofErr w:type="spellStart"/>
            <w:r w:rsidRPr="004011D5">
              <w:rPr>
                <w:b/>
                <w:bCs/>
                <w:sz w:val="18"/>
                <w:szCs w:val="18"/>
                <w:lang w:val="es-ES"/>
              </w:rPr>
              <w:t>A</w:t>
            </w:r>
            <w:r w:rsidR="00551C2E" w:rsidRPr="003E208B">
              <w:rPr>
                <w:b/>
                <w:bCs/>
                <w:sz w:val="18"/>
                <w:szCs w:val="18"/>
                <w:vertAlign w:val="superscript"/>
                <w:lang w:val="es-ES"/>
              </w:rPr>
              <w:t>a</w:t>
            </w:r>
            <w:proofErr w:type="spellEnd"/>
          </w:p>
          <w:p w:rsidR="001367CD" w:rsidRPr="004011D5" w:rsidRDefault="001367CD" w:rsidP="008F498E">
            <w:pPr>
              <w:rPr>
                <w:b/>
                <w:bCs/>
                <w:sz w:val="18"/>
                <w:szCs w:val="18"/>
                <w:lang w:val="es-ES"/>
              </w:rPr>
            </w:pPr>
            <w:proofErr w:type="spellStart"/>
            <w:r w:rsidRPr="004011D5">
              <w:rPr>
                <w:b/>
                <w:bCs/>
                <w:sz w:val="18"/>
                <w:szCs w:val="18"/>
                <w:lang w:val="es-ES"/>
              </w:rPr>
              <w:t>Adjusted</w:t>
            </w:r>
            <w:proofErr w:type="spellEnd"/>
          </w:p>
          <w:p w:rsidR="001367CD" w:rsidRPr="004011D5" w:rsidRDefault="001367CD" w:rsidP="008F498E">
            <w:pPr>
              <w:rPr>
                <w:b/>
                <w:bCs/>
                <w:sz w:val="18"/>
                <w:szCs w:val="18"/>
                <w:lang w:val="es-ES"/>
              </w:rPr>
            </w:pPr>
            <w:r w:rsidRPr="00575B8C">
              <w:rPr>
                <w:b/>
                <w:bCs/>
                <w:sz w:val="18"/>
                <w:szCs w:val="18"/>
              </w:rPr>
              <w:t>β</w:t>
            </w:r>
            <w:r w:rsidRPr="004011D5">
              <w:rPr>
                <w:b/>
                <w:bCs/>
                <w:sz w:val="18"/>
                <w:szCs w:val="18"/>
                <w:lang w:val="es-ES"/>
              </w:rPr>
              <w:t xml:space="preserve"> (95%CI)</w:t>
            </w:r>
          </w:p>
        </w:tc>
        <w:tc>
          <w:tcPr>
            <w:tcW w:w="1627" w:type="dxa"/>
            <w:shd w:val="clear" w:color="auto" w:fill="auto"/>
          </w:tcPr>
          <w:p w:rsidR="001367CD" w:rsidRPr="004011D5" w:rsidRDefault="001367CD" w:rsidP="008F498E">
            <w:pPr>
              <w:rPr>
                <w:b/>
                <w:bCs/>
                <w:sz w:val="18"/>
                <w:szCs w:val="18"/>
                <w:lang w:val="es-ES"/>
              </w:rPr>
            </w:pPr>
            <w:proofErr w:type="spellStart"/>
            <w:r w:rsidRPr="004011D5">
              <w:rPr>
                <w:b/>
                <w:bCs/>
                <w:sz w:val="18"/>
                <w:szCs w:val="18"/>
                <w:lang w:val="es-ES"/>
              </w:rPr>
              <w:t>Model</w:t>
            </w:r>
            <w:proofErr w:type="spellEnd"/>
            <w:r w:rsidRPr="004011D5">
              <w:rPr>
                <w:b/>
                <w:bCs/>
                <w:sz w:val="18"/>
                <w:szCs w:val="18"/>
                <w:lang w:val="es-ES"/>
              </w:rPr>
              <w:t xml:space="preserve"> B</w:t>
            </w:r>
            <w:r w:rsidR="00551C2E" w:rsidRPr="003E208B">
              <w:rPr>
                <w:b/>
                <w:bCs/>
                <w:sz w:val="18"/>
                <w:szCs w:val="18"/>
                <w:vertAlign w:val="superscript"/>
                <w:lang w:val="es-ES"/>
              </w:rPr>
              <w:t>a</w:t>
            </w:r>
          </w:p>
          <w:p w:rsidR="001367CD" w:rsidRPr="004011D5" w:rsidRDefault="001367CD" w:rsidP="008F498E">
            <w:pPr>
              <w:rPr>
                <w:b/>
                <w:bCs/>
                <w:sz w:val="18"/>
                <w:szCs w:val="18"/>
                <w:lang w:val="es-ES"/>
              </w:rPr>
            </w:pPr>
            <w:proofErr w:type="spellStart"/>
            <w:r w:rsidRPr="004011D5">
              <w:rPr>
                <w:b/>
                <w:bCs/>
                <w:sz w:val="18"/>
                <w:szCs w:val="18"/>
                <w:lang w:val="es-ES"/>
              </w:rPr>
              <w:t>Adjusted</w:t>
            </w:r>
            <w:proofErr w:type="spellEnd"/>
            <w:r w:rsidRPr="004011D5">
              <w:rPr>
                <w:b/>
                <w:bCs/>
                <w:sz w:val="18"/>
                <w:szCs w:val="18"/>
                <w:lang w:val="es-ES"/>
              </w:rPr>
              <w:t xml:space="preserve"> </w:t>
            </w:r>
          </w:p>
          <w:p w:rsidR="001367CD" w:rsidRPr="004011D5" w:rsidRDefault="001367CD" w:rsidP="008F498E">
            <w:pPr>
              <w:rPr>
                <w:b/>
                <w:bCs/>
                <w:sz w:val="18"/>
                <w:szCs w:val="18"/>
                <w:lang w:val="es-ES"/>
              </w:rPr>
            </w:pPr>
            <w:r w:rsidRPr="00575B8C">
              <w:rPr>
                <w:b/>
                <w:bCs/>
                <w:sz w:val="18"/>
                <w:szCs w:val="18"/>
              </w:rPr>
              <w:t>β</w:t>
            </w:r>
            <w:r w:rsidRPr="004011D5">
              <w:rPr>
                <w:b/>
                <w:bCs/>
                <w:sz w:val="18"/>
                <w:szCs w:val="18"/>
                <w:lang w:val="es-ES"/>
              </w:rPr>
              <w:t xml:space="preserve"> (95%CI)</w:t>
            </w:r>
          </w:p>
        </w:tc>
      </w:tr>
      <w:tr w:rsidR="001367CD" w:rsidRPr="00E732A2" w:rsidTr="008F498E">
        <w:trPr>
          <w:trHeight w:val="227"/>
        </w:trPr>
        <w:tc>
          <w:tcPr>
            <w:tcW w:w="9815" w:type="dxa"/>
            <w:gridSpan w:val="5"/>
            <w:shd w:val="clear" w:color="auto" w:fill="auto"/>
            <w:noWrap/>
          </w:tcPr>
          <w:p w:rsidR="001367CD" w:rsidRPr="00575B8C" w:rsidRDefault="001367CD" w:rsidP="008F498E">
            <w:pPr>
              <w:rPr>
                <w:rFonts w:ascii="Calibri" w:hAnsi="Calibri"/>
                <w:b/>
                <w:bCs/>
                <w:color w:val="000000"/>
                <w:sz w:val="18"/>
                <w:szCs w:val="18"/>
              </w:rPr>
            </w:pPr>
            <w:r w:rsidRPr="00575B8C">
              <w:rPr>
                <w:b/>
                <w:sz w:val="18"/>
                <w:szCs w:val="18"/>
              </w:rPr>
              <w:t>Number of livestock farms, mean (SD)</w:t>
            </w:r>
          </w:p>
        </w:tc>
      </w:tr>
      <w:tr w:rsidR="001367CD" w:rsidRPr="00E732A2" w:rsidTr="008F498E">
        <w:trPr>
          <w:trHeight w:val="227"/>
        </w:trPr>
        <w:tc>
          <w:tcPr>
            <w:tcW w:w="3227" w:type="dxa"/>
            <w:shd w:val="clear" w:color="auto" w:fill="auto"/>
            <w:noWrap/>
          </w:tcPr>
          <w:p w:rsidR="001367CD" w:rsidRPr="00575B8C" w:rsidRDefault="001367CD" w:rsidP="008F498E">
            <w:pPr>
              <w:rPr>
                <w:sz w:val="18"/>
                <w:szCs w:val="18"/>
              </w:rPr>
            </w:pPr>
            <w:proofErr w:type="spellStart"/>
            <w:r w:rsidRPr="00575B8C">
              <w:rPr>
                <w:sz w:val="18"/>
                <w:szCs w:val="18"/>
              </w:rPr>
              <w:t>Nr</w:t>
            </w:r>
            <w:proofErr w:type="spellEnd"/>
            <w:r w:rsidRPr="00575B8C">
              <w:rPr>
                <w:sz w:val="18"/>
                <w:szCs w:val="18"/>
              </w:rPr>
              <w:t xml:space="preserve"> of farms within 500 m</w:t>
            </w:r>
          </w:p>
        </w:tc>
        <w:tc>
          <w:tcPr>
            <w:tcW w:w="1701" w:type="dxa"/>
            <w:shd w:val="clear" w:color="auto" w:fill="auto"/>
            <w:noWrap/>
          </w:tcPr>
          <w:p w:rsidR="001367CD" w:rsidRPr="00575B8C" w:rsidRDefault="001367CD" w:rsidP="008F498E">
            <w:pPr>
              <w:rPr>
                <w:sz w:val="18"/>
                <w:szCs w:val="18"/>
              </w:rPr>
            </w:pPr>
            <w:r w:rsidRPr="00575B8C">
              <w:rPr>
                <w:sz w:val="18"/>
                <w:szCs w:val="18"/>
              </w:rPr>
              <w:t>1.8 (2.1)</w:t>
            </w:r>
          </w:p>
        </w:tc>
        <w:tc>
          <w:tcPr>
            <w:tcW w:w="1701" w:type="dxa"/>
            <w:shd w:val="clear" w:color="auto" w:fill="auto"/>
            <w:noWrap/>
          </w:tcPr>
          <w:p w:rsidR="001367CD" w:rsidRPr="00674A26" w:rsidRDefault="00A85A7F" w:rsidP="008F498E">
            <w:pPr>
              <w:rPr>
                <w:sz w:val="18"/>
                <w:szCs w:val="18"/>
              </w:rPr>
            </w:pPr>
            <w:r w:rsidRPr="00551C2E">
              <w:rPr>
                <w:sz w:val="18"/>
                <w:szCs w:val="18"/>
              </w:rPr>
              <w:t>−0</w:t>
            </w:r>
            <w:r w:rsidR="001367CD" w:rsidRPr="00551C2E">
              <w:rPr>
                <w:sz w:val="18"/>
                <w:szCs w:val="18"/>
              </w:rPr>
              <w:t>.01 (</w:t>
            </w:r>
            <w:r w:rsidRPr="00551C2E">
              <w:rPr>
                <w:sz w:val="18"/>
                <w:szCs w:val="18"/>
              </w:rPr>
              <w:t>−0</w:t>
            </w:r>
            <w:r w:rsidR="001367CD" w:rsidRPr="00551C2E">
              <w:rPr>
                <w:sz w:val="18"/>
                <w:szCs w:val="18"/>
              </w:rPr>
              <w:t>.02</w:t>
            </w:r>
            <w:r w:rsidR="00947BA0" w:rsidRPr="00551C2E">
              <w:rPr>
                <w:sz w:val="18"/>
                <w:szCs w:val="18"/>
              </w:rPr>
              <w:t xml:space="preserve">, </w:t>
            </w:r>
            <w:r w:rsidR="001367CD" w:rsidRPr="00674A26">
              <w:rPr>
                <w:sz w:val="18"/>
                <w:szCs w:val="18"/>
              </w:rPr>
              <w:t>0.01)</w:t>
            </w:r>
          </w:p>
        </w:tc>
        <w:tc>
          <w:tcPr>
            <w:tcW w:w="1559" w:type="dxa"/>
            <w:shd w:val="clear" w:color="auto" w:fill="auto"/>
            <w:noWrap/>
          </w:tcPr>
          <w:p w:rsidR="001367CD" w:rsidRPr="00A85A7F" w:rsidRDefault="00A85A7F" w:rsidP="008F498E">
            <w:pPr>
              <w:rPr>
                <w:sz w:val="18"/>
                <w:szCs w:val="18"/>
              </w:rPr>
            </w:pPr>
            <w:r w:rsidRPr="00674A26">
              <w:rPr>
                <w:sz w:val="18"/>
                <w:szCs w:val="18"/>
              </w:rPr>
              <w:t>−0</w:t>
            </w:r>
            <w:r w:rsidR="001367CD" w:rsidRPr="00674A26">
              <w:rPr>
                <w:sz w:val="18"/>
                <w:szCs w:val="18"/>
              </w:rPr>
              <w:t>.01 (</w:t>
            </w:r>
            <w:r w:rsidRPr="00674A26">
              <w:rPr>
                <w:sz w:val="18"/>
                <w:szCs w:val="18"/>
              </w:rPr>
              <w:t>−0</w:t>
            </w:r>
            <w:r w:rsidR="001367CD" w:rsidRPr="00674A26">
              <w:rPr>
                <w:sz w:val="18"/>
                <w:szCs w:val="18"/>
              </w:rPr>
              <w:t>.03</w:t>
            </w:r>
            <w:r w:rsidR="00947BA0" w:rsidRPr="00674A26">
              <w:rPr>
                <w:sz w:val="18"/>
                <w:szCs w:val="18"/>
              </w:rPr>
              <w:t xml:space="preserve">, </w:t>
            </w:r>
            <w:r w:rsidR="001367CD" w:rsidRPr="00A85A7F">
              <w:rPr>
                <w:sz w:val="18"/>
                <w:szCs w:val="18"/>
              </w:rPr>
              <w:t>0.01)</w:t>
            </w:r>
          </w:p>
        </w:tc>
        <w:tc>
          <w:tcPr>
            <w:tcW w:w="1627" w:type="dxa"/>
            <w:shd w:val="clear" w:color="auto" w:fill="auto"/>
          </w:tcPr>
          <w:p w:rsidR="001367CD" w:rsidRPr="003E208B" w:rsidRDefault="00A85A7F" w:rsidP="008F498E">
            <w:pPr>
              <w:rPr>
                <w:rFonts w:ascii="Calibri" w:hAnsi="Calibri"/>
                <w:bCs/>
                <w:color w:val="000000"/>
                <w:sz w:val="18"/>
                <w:szCs w:val="18"/>
              </w:rPr>
            </w:pPr>
            <w:r w:rsidRPr="003E208B">
              <w:rPr>
                <w:rFonts w:ascii="Calibri" w:hAnsi="Calibri"/>
                <w:bCs/>
                <w:color w:val="000000"/>
                <w:sz w:val="18"/>
                <w:szCs w:val="18"/>
              </w:rPr>
              <w:t>−0</w:t>
            </w:r>
            <w:r w:rsidR="001367CD" w:rsidRPr="003E208B">
              <w:rPr>
                <w:rFonts w:ascii="Calibri" w:hAnsi="Calibri"/>
                <w:bCs/>
                <w:color w:val="000000"/>
                <w:sz w:val="18"/>
                <w:szCs w:val="18"/>
              </w:rPr>
              <w:t>.02 (</w:t>
            </w:r>
            <w:r w:rsidRPr="003E208B">
              <w:rPr>
                <w:rFonts w:ascii="Calibri" w:hAnsi="Calibri"/>
                <w:bCs/>
                <w:color w:val="000000"/>
                <w:sz w:val="18"/>
                <w:szCs w:val="18"/>
              </w:rPr>
              <w:t>−0</w:t>
            </w:r>
            <w:r w:rsidR="001367CD" w:rsidRPr="003E208B">
              <w:rPr>
                <w:rFonts w:ascii="Calibri" w:hAnsi="Calibri"/>
                <w:bCs/>
                <w:color w:val="000000"/>
                <w:sz w:val="18"/>
                <w:szCs w:val="18"/>
              </w:rPr>
              <w:t>.04</w:t>
            </w:r>
            <w:r w:rsidR="00947BA0" w:rsidRPr="003E208B">
              <w:rPr>
                <w:rFonts w:ascii="Calibri" w:hAnsi="Calibri"/>
                <w:bCs/>
                <w:color w:val="000000"/>
                <w:sz w:val="18"/>
                <w:szCs w:val="18"/>
              </w:rPr>
              <w:t xml:space="preserve">, </w:t>
            </w:r>
            <w:r w:rsidR="001367CD" w:rsidRPr="003E208B">
              <w:rPr>
                <w:rFonts w:ascii="Calibri" w:hAnsi="Calibri"/>
                <w:bCs/>
                <w:color w:val="000000"/>
                <w:sz w:val="18"/>
                <w:szCs w:val="18"/>
              </w:rPr>
              <w:t>0.00)</w:t>
            </w:r>
          </w:p>
        </w:tc>
      </w:tr>
      <w:tr w:rsidR="001367CD" w:rsidRPr="00E732A2" w:rsidTr="008F498E">
        <w:trPr>
          <w:trHeight w:val="227"/>
        </w:trPr>
        <w:tc>
          <w:tcPr>
            <w:tcW w:w="3227" w:type="dxa"/>
            <w:shd w:val="clear" w:color="auto" w:fill="auto"/>
            <w:noWrap/>
            <w:hideMark/>
          </w:tcPr>
          <w:p w:rsidR="001367CD" w:rsidRPr="00575B8C" w:rsidRDefault="001367CD" w:rsidP="008F498E">
            <w:pPr>
              <w:rPr>
                <w:sz w:val="18"/>
                <w:szCs w:val="18"/>
              </w:rPr>
            </w:pPr>
            <w:proofErr w:type="spellStart"/>
            <w:r w:rsidRPr="00575B8C">
              <w:rPr>
                <w:sz w:val="18"/>
                <w:szCs w:val="18"/>
              </w:rPr>
              <w:t>Nr</w:t>
            </w:r>
            <w:proofErr w:type="spellEnd"/>
            <w:r w:rsidRPr="00575B8C">
              <w:rPr>
                <w:sz w:val="18"/>
                <w:szCs w:val="18"/>
              </w:rPr>
              <w:t xml:space="preserve"> of farms within 1000 m</w:t>
            </w:r>
          </w:p>
        </w:tc>
        <w:tc>
          <w:tcPr>
            <w:tcW w:w="1701" w:type="dxa"/>
            <w:shd w:val="clear" w:color="auto" w:fill="auto"/>
            <w:noWrap/>
            <w:hideMark/>
          </w:tcPr>
          <w:p w:rsidR="001367CD" w:rsidRPr="00575B8C" w:rsidRDefault="001367CD" w:rsidP="008F498E">
            <w:pPr>
              <w:rPr>
                <w:sz w:val="18"/>
                <w:szCs w:val="18"/>
              </w:rPr>
            </w:pPr>
            <w:r w:rsidRPr="00575B8C">
              <w:rPr>
                <w:sz w:val="18"/>
                <w:szCs w:val="18"/>
              </w:rPr>
              <w:t>9.3 (5.9)</w:t>
            </w:r>
          </w:p>
        </w:tc>
        <w:tc>
          <w:tcPr>
            <w:tcW w:w="1701" w:type="dxa"/>
            <w:shd w:val="clear" w:color="auto" w:fill="auto"/>
            <w:noWrap/>
            <w:hideMark/>
          </w:tcPr>
          <w:p w:rsidR="001367CD" w:rsidRPr="00674A26" w:rsidRDefault="00A85A7F" w:rsidP="008F498E">
            <w:pPr>
              <w:rPr>
                <w:sz w:val="18"/>
                <w:szCs w:val="18"/>
              </w:rPr>
            </w:pPr>
            <w:r w:rsidRPr="00551C2E">
              <w:rPr>
                <w:sz w:val="18"/>
                <w:szCs w:val="18"/>
              </w:rPr>
              <w:t>−0</w:t>
            </w:r>
            <w:r w:rsidR="001367CD" w:rsidRPr="00551C2E">
              <w:rPr>
                <w:sz w:val="18"/>
                <w:szCs w:val="18"/>
              </w:rPr>
              <w:t>.01 (</w:t>
            </w:r>
            <w:r w:rsidRPr="00551C2E">
              <w:rPr>
                <w:sz w:val="18"/>
                <w:szCs w:val="18"/>
              </w:rPr>
              <w:t>−0</w:t>
            </w:r>
            <w:r w:rsidR="001367CD" w:rsidRPr="00551C2E">
              <w:rPr>
                <w:sz w:val="18"/>
                <w:szCs w:val="18"/>
              </w:rPr>
              <w:t>.01</w:t>
            </w:r>
            <w:r w:rsidR="00947BA0" w:rsidRPr="00551C2E">
              <w:rPr>
                <w:sz w:val="18"/>
                <w:szCs w:val="18"/>
              </w:rPr>
              <w:t xml:space="preserve">, </w:t>
            </w:r>
            <w:r w:rsidR="001367CD" w:rsidRPr="00674A26">
              <w:rPr>
                <w:sz w:val="18"/>
                <w:szCs w:val="18"/>
              </w:rPr>
              <w:t>0.00)</w:t>
            </w:r>
          </w:p>
        </w:tc>
        <w:tc>
          <w:tcPr>
            <w:tcW w:w="1559" w:type="dxa"/>
            <w:shd w:val="clear" w:color="auto" w:fill="auto"/>
            <w:noWrap/>
            <w:hideMark/>
          </w:tcPr>
          <w:p w:rsidR="001367CD" w:rsidRPr="003E208B" w:rsidRDefault="00A85A7F" w:rsidP="008F498E">
            <w:pPr>
              <w:rPr>
                <w:bCs/>
                <w:sz w:val="18"/>
                <w:szCs w:val="18"/>
              </w:rPr>
            </w:pPr>
            <w:r w:rsidRPr="003E208B">
              <w:rPr>
                <w:bCs/>
                <w:sz w:val="18"/>
                <w:szCs w:val="18"/>
              </w:rPr>
              <w:t>−0</w:t>
            </w:r>
            <w:r w:rsidR="001367CD" w:rsidRPr="003E208B">
              <w:rPr>
                <w:bCs/>
                <w:sz w:val="18"/>
                <w:szCs w:val="18"/>
              </w:rPr>
              <w:t>.01 (</w:t>
            </w:r>
            <w:r w:rsidRPr="003E208B">
              <w:rPr>
                <w:bCs/>
                <w:sz w:val="18"/>
                <w:szCs w:val="18"/>
              </w:rPr>
              <w:t>−0</w:t>
            </w:r>
            <w:r w:rsidR="001367CD" w:rsidRPr="003E208B">
              <w:rPr>
                <w:bCs/>
                <w:sz w:val="18"/>
                <w:szCs w:val="18"/>
              </w:rPr>
              <w:t>.01</w:t>
            </w:r>
            <w:r w:rsidR="00947BA0" w:rsidRPr="003E208B">
              <w:rPr>
                <w:bCs/>
                <w:sz w:val="18"/>
                <w:szCs w:val="18"/>
              </w:rPr>
              <w:t xml:space="preserve">, </w:t>
            </w:r>
            <w:r w:rsidR="001367CD" w:rsidRPr="003E208B">
              <w:rPr>
                <w:bCs/>
                <w:sz w:val="18"/>
                <w:szCs w:val="18"/>
              </w:rPr>
              <w:t>0.00)</w:t>
            </w:r>
          </w:p>
        </w:tc>
        <w:tc>
          <w:tcPr>
            <w:tcW w:w="1627" w:type="dxa"/>
            <w:shd w:val="clear" w:color="auto" w:fill="auto"/>
          </w:tcPr>
          <w:p w:rsidR="001367CD" w:rsidRPr="003E208B" w:rsidRDefault="00A85A7F" w:rsidP="008F498E">
            <w:pPr>
              <w:rPr>
                <w:rFonts w:ascii="Calibri" w:hAnsi="Calibri"/>
                <w:bCs/>
                <w:color w:val="000000"/>
                <w:sz w:val="18"/>
                <w:szCs w:val="18"/>
              </w:rPr>
            </w:pPr>
            <w:r w:rsidRPr="003E208B">
              <w:rPr>
                <w:rFonts w:ascii="Calibri" w:hAnsi="Calibri"/>
                <w:bCs/>
                <w:color w:val="000000"/>
                <w:sz w:val="18"/>
                <w:szCs w:val="18"/>
              </w:rPr>
              <w:t>−0</w:t>
            </w:r>
            <w:r w:rsidR="001367CD" w:rsidRPr="003E208B">
              <w:rPr>
                <w:rFonts w:ascii="Calibri" w:hAnsi="Calibri"/>
                <w:bCs/>
                <w:color w:val="000000"/>
                <w:sz w:val="18"/>
                <w:szCs w:val="18"/>
              </w:rPr>
              <w:t>.01 (</w:t>
            </w:r>
            <w:r w:rsidRPr="003E208B">
              <w:rPr>
                <w:rFonts w:ascii="Calibri" w:hAnsi="Calibri"/>
                <w:bCs/>
                <w:color w:val="000000"/>
                <w:sz w:val="18"/>
                <w:szCs w:val="18"/>
              </w:rPr>
              <w:t>−0</w:t>
            </w:r>
            <w:r w:rsidR="001367CD" w:rsidRPr="003E208B">
              <w:rPr>
                <w:rFonts w:ascii="Calibri" w:hAnsi="Calibri"/>
                <w:bCs/>
                <w:color w:val="000000"/>
                <w:sz w:val="18"/>
                <w:szCs w:val="18"/>
              </w:rPr>
              <w:t>.02</w:t>
            </w:r>
            <w:r w:rsidR="00947BA0" w:rsidRPr="003E208B">
              <w:rPr>
                <w:rFonts w:ascii="Calibri" w:hAnsi="Calibri"/>
                <w:bCs/>
                <w:color w:val="000000"/>
                <w:sz w:val="18"/>
                <w:szCs w:val="18"/>
              </w:rPr>
              <w:t xml:space="preserve">, </w:t>
            </w:r>
            <w:r w:rsidRPr="003E208B">
              <w:rPr>
                <w:rFonts w:ascii="Calibri" w:hAnsi="Calibri"/>
                <w:bCs/>
                <w:color w:val="000000"/>
                <w:sz w:val="18"/>
                <w:szCs w:val="18"/>
              </w:rPr>
              <w:t>−0</w:t>
            </w:r>
            <w:r w:rsidR="001367CD" w:rsidRPr="003E208B">
              <w:rPr>
                <w:rFonts w:ascii="Calibri" w:hAnsi="Calibri"/>
                <w:bCs/>
                <w:color w:val="000000"/>
                <w:sz w:val="18"/>
                <w:szCs w:val="18"/>
              </w:rPr>
              <w:t>.01)</w:t>
            </w:r>
          </w:p>
        </w:tc>
      </w:tr>
      <w:tr w:rsidR="001367CD" w:rsidTr="008F498E">
        <w:trPr>
          <w:trHeight w:val="227"/>
        </w:trPr>
        <w:tc>
          <w:tcPr>
            <w:tcW w:w="9815" w:type="dxa"/>
            <w:gridSpan w:val="5"/>
            <w:shd w:val="clear" w:color="auto" w:fill="auto"/>
            <w:noWrap/>
            <w:hideMark/>
          </w:tcPr>
          <w:p w:rsidR="001367CD" w:rsidRPr="003E208B" w:rsidRDefault="001367CD" w:rsidP="008F498E">
            <w:pPr>
              <w:rPr>
                <w:bCs/>
                <w:sz w:val="18"/>
                <w:szCs w:val="18"/>
              </w:rPr>
            </w:pPr>
            <w:r w:rsidRPr="003E208B">
              <w:rPr>
                <w:bCs/>
                <w:sz w:val="18"/>
                <w:szCs w:val="18"/>
              </w:rPr>
              <w:t>Presence of farms within 1000 m per animal category, n (%)</w:t>
            </w:r>
          </w:p>
        </w:tc>
      </w:tr>
      <w:tr w:rsidR="001367CD" w:rsidRPr="00C6763F" w:rsidTr="008F498E">
        <w:trPr>
          <w:trHeight w:val="227"/>
        </w:trPr>
        <w:tc>
          <w:tcPr>
            <w:tcW w:w="3227" w:type="dxa"/>
            <w:shd w:val="clear" w:color="auto" w:fill="auto"/>
            <w:noWrap/>
          </w:tcPr>
          <w:p w:rsidR="001367CD" w:rsidRPr="00575B8C" w:rsidRDefault="001367CD" w:rsidP="008F498E">
            <w:pPr>
              <w:rPr>
                <w:sz w:val="18"/>
                <w:szCs w:val="18"/>
              </w:rPr>
            </w:pPr>
            <w:r>
              <w:rPr>
                <w:sz w:val="18"/>
                <w:szCs w:val="18"/>
              </w:rPr>
              <w:t>Any</w:t>
            </w:r>
            <w:r w:rsidRPr="00575B8C">
              <w:rPr>
                <w:sz w:val="18"/>
                <w:szCs w:val="18"/>
              </w:rPr>
              <w:t xml:space="preserve"> farm </w:t>
            </w:r>
          </w:p>
        </w:tc>
        <w:tc>
          <w:tcPr>
            <w:tcW w:w="1701" w:type="dxa"/>
            <w:shd w:val="clear" w:color="auto" w:fill="auto"/>
            <w:noWrap/>
          </w:tcPr>
          <w:p w:rsidR="001367CD" w:rsidRPr="00575B8C" w:rsidRDefault="001367CD" w:rsidP="008F498E">
            <w:pPr>
              <w:rPr>
                <w:sz w:val="18"/>
                <w:szCs w:val="18"/>
              </w:rPr>
            </w:pPr>
            <w:r w:rsidRPr="00575B8C">
              <w:rPr>
                <w:sz w:val="18"/>
                <w:szCs w:val="18"/>
              </w:rPr>
              <w:t>2357 (95.9)</w:t>
            </w:r>
          </w:p>
        </w:tc>
        <w:tc>
          <w:tcPr>
            <w:tcW w:w="1701" w:type="dxa"/>
            <w:shd w:val="clear" w:color="auto" w:fill="auto"/>
            <w:noWrap/>
          </w:tcPr>
          <w:p w:rsidR="001367CD" w:rsidRPr="00551C2E" w:rsidRDefault="001367CD" w:rsidP="008F498E">
            <w:pPr>
              <w:rPr>
                <w:rFonts w:ascii="Calibri" w:hAnsi="Calibri"/>
                <w:color w:val="000000"/>
                <w:sz w:val="18"/>
                <w:szCs w:val="18"/>
              </w:rPr>
            </w:pPr>
            <w:r w:rsidRPr="00A85A7F">
              <w:rPr>
                <w:rFonts w:ascii="Calibri" w:hAnsi="Calibri"/>
                <w:color w:val="000000"/>
                <w:sz w:val="18"/>
                <w:szCs w:val="18"/>
              </w:rPr>
              <w:t>0.09 (</w:t>
            </w:r>
            <w:r w:rsidR="00A85A7F" w:rsidRPr="00551C2E">
              <w:rPr>
                <w:rFonts w:ascii="Calibri" w:hAnsi="Calibri"/>
                <w:color w:val="000000"/>
                <w:sz w:val="18"/>
                <w:szCs w:val="18"/>
              </w:rPr>
              <w:t>−0</w:t>
            </w:r>
            <w:r w:rsidRPr="00551C2E">
              <w:rPr>
                <w:rFonts w:ascii="Calibri" w:hAnsi="Calibri"/>
                <w:color w:val="000000"/>
                <w:sz w:val="18"/>
                <w:szCs w:val="18"/>
              </w:rPr>
              <w:t>.10</w:t>
            </w:r>
            <w:r w:rsidR="00947BA0" w:rsidRPr="00551C2E">
              <w:rPr>
                <w:rFonts w:ascii="Calibri" w:hAnsi="Calibri"/>
                <w:color w:val="000000"/>
                <w:sz w:val="18"/>
                <w:szCs w:val="18"/>
              </w:rPr>
              <w:t xml:space="preserve">, </w:t>
            </w:r>
            <w:r w:rsidRPr="00551C2E">
              <w:rPr>
                <w:rFonts w:ascii="Calibri" w:hAnsi="Calibri"/>
                <w:color w:val="000000"/>
                <w:sz w:val="18"/>
                <w:szCs w:val="18"/>
              </w:rPr>
              <w:t>0.28)</w:t>
            </w:r>
          </w:p>
        </w:tc>
        <w:tc>
          <w:tcPr>
            <w:tcW w:w="1559" w:type="dxa"/>
            <w:shd w:val="clear" w:color="auto" w:fill="auto"/>
            <w:noWrap/>
          </w:tcPr>
          <w:p w:rsidR="001367CD" w:rsidRPr="00674A26" w:rsidRDefault="001367CD" w:rsidP="008F498E">
            <w:pPr>
              <w:rPr>
                <w:rFonts w:ascii="Calibri" w:hAnsi="Calibri"/>
                <w:color w:val="000000"/>
                <w:sz w:val="18"/>
                <w:szCs w:val="18"/>
              </w:rPr>
            </w:pPr>
            <w:r w:rsidRPr="00674A26">
              <w:rPr>
                <w:rFonts w:ascii="Calibri" w:hAnsi="Calibri"/>
                <w:color w:val="000000"/>
                <w:sz w:val="18"/>
                <w:szCs w:val="18"/>
              </w:rPr>
              <w:t>0.07 (</w:t>
            </w:r>
            <w:r w:rsidR="00A85A7F" w:rsidRPr="00674A26">
              <w:rPr>
                <w:rFonts w:ascii="Calibri" w:hAnsi="Calibri"/>
                <w:color w:val="000000"/>
                <w:sz w:val="18"/>
                <w:szCs w:val="18"/>
              </w:rPr>
              <w:t>−0</w:t>
            </w:r>
            <w:r w:rsidRPr="00674A26">
              <w:rPr>
                <w:rFonts w:ascii="Calibri" w:hAnsi="Calibri"/>
                <w:color w:val="000000"/>
                <w:sz w:val="18"/>
                <w:szCs w:val="18"/>
              </w:rPr>
              <w:t>.11</w:t>
            </w:r>
            <w:r w:rsidR="00947BA0" w:rsidRPr="00674A26">
              <w:rPr>
                <w:rFonts w:ascii="Calibri" w:hAnsi="Calibri"/>
                <w:color w:val="000000"/>
                <w:sz w:val="18"/>
                <w:szCs w:val="18"/>
              </w:rPr>
              <w:t xml:space="preserve">, </w:t>
            </w:r>
            <w:r w:rsidRPr="00674A26">
              <w:rPr>
                <w:rFonts w:ascii="Calibri" w:hAnsi="Calibri"/>
                <w:color w:val="000000"/>
                <w:sz w:val="18"/>
                <w:szCs w:val="18"/>
              </w:rPr>
              <w:t>0.26)</w:t>
            </w:r>
          </w:p>
        </w:tc>
        <w:tc>
          <w:tcPr>
            <w:tcW w:w="1627" w:type="dxa"/>
            <w:shd w:val="clear" w:color="auto" w:fill="auto"/>
          </w:tcPr>
          <w:p w:rsidR="001367CD" w:rsidRPr="00A85A7F" w:rsidRDefault="001367CD" w:rsidP="008F498E">
            <w:pPr>
              <w:rPr>
                <w:rFonts w:ascii="Calibri" w:hAnsi="Calibri"/>
                <w:color w:val="000000"/>
                <w:sz w:val="18"/>
                <w:szCs w:val="18"/>
              </w:rPr>
            </w:pPr>
            <w:r w:rsidRPr="00674A26">
              <w:rPr>
                <w:rFonts w:ascii="Calibri" w:hAnsi="Calibri"/>
                <w:color w:val="000000"/>
                <w:sz w:val="18"/>
                <w:szCs w:val="18"/>
              </w:rPr>
              <w:t>0.02 (</w:t>
            </w:r>
            <w:r w:rsidR="00A85A7F" w:rsidRPr="00A85A7F">
              <w:rPr>
                <w:rFonts w:ascii="Calibri" w:hAnsi="Calibri"/>
                <w:color w:val="000000"/>
                <w:sz w:val="18"/>
                <w:szCs w:val="18"/>
              </w:rPr>
              <w:t>−0</w:t>
            </w:r>
            <w:r w:rsidRPr="00A85A7F">
              <w:rPr>
                <w:rFonts w:ascii="Calibri" w:hAnsi="Calibri"/>
                <w:color w:val="000000"/>
                <w:sz w:val="18"/>
                <w:szCs w:val="18"/>
              </w:rPr>
              <w:t>.17</w:t>
            </w:r>
            <w:r w:rsidR="00947BA0" w:rsidRPr="00A85A7F">
              <w:rPr>
                <w:rFonts w:ascii="Calibri" w:hAnsi="Calibri"/>
                <w:color w:val="000000"/>
                <w:sz w:val="18"/>
                <w:szCs w:val="18"/>
              </w:rPr>
              <w:t xml:space="preserve">, </w:t>
            </w:r>
            <w:r w:rsidRPr="00A85A7F">
              <w:rPr>
                <w:rFonts w:ascii="Calibri" w:hAnsi="Calibri"/>
                <w:color w:val="000000"/>
                <w:sz w:val="18"/>
                <w:szCs w:val="18"/>
              </w:rPr>
              <w:t>0.21)</w:t>
            </w:r>
          </w:p>
        </w:tc>
      </w:tr>
      <w:tr w:rsidR="001367CD" w:rsidRPr="00E732A2" w:rsidTr="008F498E">
        <w:trPr>
          <w:trHeight w:val="227"/>
        </w:trPr>
        <w:tc>
          <w:tcPr>
            <w:tcW w:w="3227" w:type="dxa"/>
            <w:shd w:val="clear" w:color="auto" w:fill="auto"/>
            <w:noWrap/>
          </w:tcPr>
          <w:p w:rsidR="001367CD" w:rsidRPr="00575B8C" w:rsidRDefault="001367CD" w:rsidP="008F498E">
            <w:pPr>
              <w:rPr>
                <w:sz w:val="18"/>
                <w:szCs w:val="18"/>
              </w:rPr>
            </w:pPr>
            <w:r w:rsidRPr="00575B8C">
              <w:rPr>
                <w:sz w:val="18"/>
                <w:szCs w:val="18"/>
              </w:rPr>
              <w:t>Pig farm</w:t>
            </w:r>
          </w:p>
        </w:tc>
        <w:tc>
          <w:tcPr>
            <w:tcW w:w="1701" w:type="dxa"/>
            <w:shd w:val="clear" w:color="auto" w:fill="auto"/>
            <w:noWrap/>
          </w:tcPr>
          <w:p w:rsidR="001367CD" w:rsidRPr="00575B8C" w:rsidRDefault="001367CD" w:rsidP="008F498E">
            <w:pPr>
              <w:rPr>
                <w:sz w:val="18"/>
                <w:szCs w:val="18"/>
              </w:rPr>
            </w:pPr>
            <w:r w:rsidRPr="00575B8C">
              <w:rPr>
                <w:sz w:val="18"/>
                <w:szCs w:val="18"/>
              </w:rPr>
              <w:t>1949 (79.3)</w:t>
            </w:r>
          </w:p>
        </w:tc>
        <w:tc>
          <w:tcPr>
            <w:tcW w:w="1701" w:type="dxa"/>
            <w:shd w:val="clear" w:color="auto" w:fill="auto"/>
            <w:noWrap/>
          </w:tcPr>
          <w:p w:rsidR="001367CD" w:rsidRPr="00674A26" w:rsidRDefault="00A85A7F" w:rsidP="008F498E">
            <w:pPr>
              <w:rPr>
                <w:sz w:val="18"/>
                <w:szCs w:val="18"/>
              </w:rPr>
            </w:pPr>
            <w:r w:rsidRPr="00551C2E">
              <w:rPr>
                <w:sz w:val="18"/>
                <w:szCs w:val="18"/>
              </w:rPr>
              <w:t>−0</w:t>
            </w:r>
            <w:r w:rsidR="001367CD" w:rsidRPr="00551C2E">
              <w:rPr>
                <w:sz w:val="18"/>
                <w:szCs w:val="18"/>
              </w:rPr>
              <w:t>.08 (</w:t>
            </w:r>
            <w:r w:rsidRPr="00551C2E">
              <w:rPr>
                <w:sz w:val="18"/>
                <w:szCs w:val="18"/>
              </w:rPr>
              <w:t>−0</w:t>
            </w:r>
            <w:r w:rsidR="001367CD" w:rsidRPr="00551C2E">
              <w:rPr>
                <w:sz w:val="18"/>
                <w:szCs w:val="18"/>
              </w:rPr>
              <w:t>.18</w:t>
            </w:r>
            <w:r w:rsidR="00947BA0" w:rsidRPr="00551C2E">
              <w:rPr>
                <w:sz w:val="18"/>
                <w:szCs w:val="18"/>
              </w:rPr>
              <w:t xml:space="preserve">, </w:t>
            </w:r>
            <w:r w:rsidR="001367CD" w:rsidRPr="00674A26">
              <w:rPr>
                <w:sz w:val="18"/>
                <w:szCs w:val="18"/>
              </w:rPr>
              <w:t>0.01)</w:t>
            </w:r>
          </w:p>
        </w:tc>
        <w:tc>
          <w:tcPr>
            <w:tcW w:w="1559" w:type="dxa"/>
            <w:shd w:val="clear" w:color="auto" w:fill="auto"/>
            <w:noWrap/>
          </w:tcPr>
          <w:p w:rsidR="001367CD" w:rsidRPr="003E208B" w:rsidRDefault="00A85A7F" w:rsidP="008F498E">
            <w:pPr>
              <w:rPr>
                <w:bCs/>
                <w:sz w:val="18"/>
                <w:szCs w:val="18"/>
              </w:rPr>
            </w:pPr>
            <w:r w:rsidRPr="003E208B">
              <w:rPr>
                <w:bCs/>
                <w:sz w:val="18"/>
                <w:szCs w:val="18"/>
              </w:rPr>
              <w:t>−0</w:t>
            </w:r>
            <w:r w:rsidR="001367CD" w:rsidRPr="003E208B">
              <w:rPr>
                <w:bCs/>
                <w:sz w:val="18"/>
                <w:szCs w:val="18"/>
              </w:rPr>
              <w:t>.09 (</w:t>
            </w:r>
            <w:r w:rsidRPr="003E208B">
              <w:rPr>
                <w:bCs/>
                <w:sz w:val="18"/>
                <w:szCs w:val="18"/>
              </w:rPr>
              <w:t>−0</w:t>
            </w:r>
            <w:r w:rsidR="001367CD" w:rsidRPr="003E208B">
              <w:rPr>
                <w:bCs/>
                <w:sz w:val="18"/>
                <w:szCs w:val="18"/>
              </w:rPr>
              <w:t>.18</w:t>
            </w:r>
            <w:r w:rsidR="00947BA0" w:rsidRPr="003E208B">
              <w:rPr>
                <w:bCs/>
                <w:sz w:val="18"/>
                <w:szCs w:val="18"/>
              </w:rPr>
              <w:t xml:space="preserve">, </w:t>
            </w:r>
            <w:r w:rsidR="001367CD" w:rsidRPr="003E208B">
              <w:rPr>
                <w:bCs/>
                <w:sz w:val="18"/>
                <w:szCs w:val="18"/>
              </w:rPr>
              <w:t>0.00)</w:t>
            </w:r>
          </w:p>
        </w:tc>
        <w:tc>
          <w:tcPr>
            <w:tcW w:w="1627" w:type="dxa"/>
            <w:shd w:val="clear" w:color="auto" w:fill="auto"/>
          </w:tcPr>
          <w:p w:rsidR="001367CD" w:rsidRPr="003E208B" w:rsidRDefault="00A85A7F" w:rsidP="008F498E">
            <w:pPr>
              <w:rPr>
                <w:rFonts w:ascii="Calibri" w:hAnsi="Calibri"/>
                <w:bCs/>
                <w:color w:val="000000"/>
                <w:sz w:val="18"/>
                <w:szCs w:val="18"/>
              </w:rPr>
            </w:pPr>
            <w:r w:rsidRPr="003E208B">
              <w:rPr>
                <w:rFonts w:ascii="Calibri" w:hAnsi="Calibri"/>
                <w:bCs/>
                <w:color w:val="000000"/>
                <w:sz w:val="18"/>
                <w:szCs w:val="18"/>
              </w:rPr>
              <w:t>−0</w:t>
            </w:r>
            <w:r w:rsidR="001367CD" w:rsidRPr="003E208B">
              <w:rPr>
                <w:rFonts w:ascii="Calibri" w:hAnsi="Calibri"/>
                <w:bCs/>
                <w:color w:val="000000"/>
                <w:sz w:val="18"/>
                <w:szCs w:val="18"/>
              </w:rPr>
              <w:t>.13 (</w:t>
            </w:r>
            <w:r w:rsidRPr="003E208B">
              <w:rPr>
                <w:rFonts w:ascii="Calibri" w:hAnsi="Calibri"/>
                <w:bCs/>
                <w:color w:val="000000"/>
                <w:sz w:val="18"/>
                <w:szCs w:val="18"/>
              </w:rPr>
              <w:t>−0</w:t>
            </w:r>
            <w:r w:rsidR="001367CD" w:rsidRPr="003E208B">
              <w:rPr>
                <w:rFonts w:ascii="Calibri" w:hAnsi="Calibri"/>
                <w:bCs/>
                <w:color w:val="000000"/>
                <w:sz w:val="18"/>
                <w:szCs w:val="18"/>
              </w:rPr>
              <w:t>.22</w:t>
            </w:r>
            <w:r w:rsidR="00947BA0" w:rsidRPr="003E208B">
              <w:rPr>
                <w:rFonts w:ascii="Calibri" w:hAnsi="Calibri"/>
                <w:bCs/>
                <w:color w:val="000000"/>
                <w:sz w:val="18"/>
                <w:szCs w:val="18"/>
              </w:rPr>
              <w:t xml:space="preserve">, </w:t>
            </w:r>
            <w:r w:rsidRPr="003E208B">
              <w:rPr>
                <w:rFonts w:ascii="Calibri" w:hAnsi="Calibri"/>
                <w:bCs/>
                <w:color w:val="000000"/>
                <w:sz w:val="18"/>
                <w:szCs w:val="18"/>
              </w:rPr>
              <w:t>−0</w:t>
            </w:r>
            <w:r w:rsidR="001367CD" w:rsidRPr="003E208B">
              <w:rPr>
                <w:rFonts w:ascii="Calibri" w:hAnsi="Calibri"/>
                <w:bCs/>
                <w:color w:val="000000"/>
                <w:sz w:val="18"/>
                <w:szCs w:val="18"/>
              </w:rPr>
              <w:t>.04)</w:t>
            </w:r>
          </w:p>
        </w:tc>
      </w:tr>
      <w:tr w:rsidR="001367CD" w:rsidRPr="00E732A2" w:rsidTr="008F498E">
        <w:trPr>
          <w:trHeight w:val="227"/>
        </w:trPr>
        <w:tc>
          <w:tcPr>
            <w:tcW w:w="3227" w:type="dxa"/>
            <w:shd w:val="clear" w:color="auto" w:fill="auto"/>
            <w:noWrap/>
          </w:tcPr>
          <w:p w:rsidR="001367CD" w:rsidRPr="00575B8C" w:rsidRDefault="001367CD" w:rsidP="008F498E">
            <w:pPr>
              <w:rPr>
                <w:sz w:val="18"/>
                <w:szCs w:val="18"/>
              </w:rPr>
            </w:pPr>
            <w:r w:rsidRPr="00575B8C">
              <w:rPr>
                <w:sz w:val="18"/>
                <w:szCs w:val="18"/>
              </w:rPr>
              <w:t>Poultry farm</w:t>
            </w:r>
          </w:p>
        </w:tc>
        <w:tc>
          <w:tcPr>
            <w:tcW w:w="1701" w:type="dxa"/>
            <w:shd w:val="clear" w:color="auto" w:fill="auto"/>
            <w:noWrap/>
          </w:tcPr>
          <w:p w:rsidR="001367CD" w:rsidRPr="00575B8C" w:rsidRDefault="001367CD" w:rsidP="008F498E">
            <w:pPr>
              <w:rPr>
                <w:sz w:val="18"/>
                <w:szCs w:val="18"/>
              </w:rPr>
            </w:pPr>
            <w:r w:rsidRPr="00575B8C">
              <w:rPr>
                <w:sz w:val="18"/>
                <w:szCs w:val="18"/>
              </w:rPr>
              <w:t>1356 (55.2)</w:t>
            </w:r>
          </w:p>
        </w:tc>
        <w:tc>
          <w:tcPr>
            <w:tcW w:w="1701" w:type="dxa"/>
            <w:shd w:val="clear" w:color="auto" w:fill="auto"/>
            <w:noWrap/>
          </w:tcPr>
          <w:p w:rsidR="001367CD" w:rsidRPr="00551C2E" w:rsidRDefault="001367CD" w:rsidP="008F498E">
            <w:pPr>
              <w:rPr>
                <w:sz w:val="18"/>
                <w:szCs w:val="18"/>
              </w:rPr>
            </w:pPr>
            <w:r w:rsidRPr="00A85A7F">
              <w:rPr>
                <w:sz w:val="18"/>
                <w:szCs w:val="18"/>
              </w:rPr>
              <w:t>0.07 (0.00</w:t>
            </w:r>
            <w:r w:rsidR="00947BA0" w:rsidRPr="00551C2E">
              <w:rPr>
                <w:sz w:val="18"/>
                <w:szCs w:val="18"/>
              </w:rPr>
              <w:t xml:space="preserve">, </w:t>
            </w:r>
            <w:r w:rsidRPr="00551C2E">
              <w:rPr>
                <w:sz w:val="18"/>
                <w:szCs w:val="18"/>
              </w:rPr>
              <w:t>0.15)</w:t>
            </w:r>
          </w:p>
        </w:tc>
        <w:tc>
          <w:tcPr>
            <w:tcW w:w="1559" w:type="dxa"/>
            <w:shd w:val="clear" w:color="auto" w:fill="auto"/>
            <w:noWrap/>
          </w:tcPr>
          <w:p w:rsidR="001367CD" w:rsidRPr="00674A26" w:rsidRDefault="001367CD" w:rsidP="008F498E">
            <w:pPr>
              <w:rPr>
                <w:sz w:val="18"/>
                <w:szCs w:val="18"/>
              </w:rPr>
            </w:pPr>
            <w:r w:rsidRPr="00674A26">
              <w:rPr>
                <w:sz w:val="18"/>
                <w:szCs w:val="18"/>
              </w:rPr>
              <w:t>0.06 (</w:t>
            </w:r>
            <w:r w:rsidR="00A85A7F" w:rsidRPr="00674A26">
              <w:rPr>
                <w:sz w:val="18"/>
                <w:szCs w:val="18"/>
              </w:rPr>
              <w:t>−0</w:t>
            </w:r>
            <w:r w:rsidRPr="00674A26">
              <w:rPr>
                <w:sz w:val="18"/>
                <w:szCs w:val="18"/>
              </w:rPr>
              <w:t>.02</w:t>
            </w:r>
            <w:r w:rsidR="00947BA0" w:rsidRPr="00674A26">
              <w:rPr>
                <w:sz w:val="18"/>
                <w:szCs w:val="18"/>
              </w:rPr>
              <w:t xml:space="preserve">, </w:t>
            </w:r>
            <w:r w:rsidRPr="00674A26">
              <w:rPr>
                <w:sz w:val="18"/>
                <w:szCs w:val="18"/>
              </w:rPr>
              <w:t>0.13)</w:t>
            </w:r>
          </w:p>
        </w:tc>
        <w:tc>
          <w:tcPr>
            <w:tcW w:w="1627" w:type="dxa"/>
            <w:shd w:val="clear" w:color="auto" w:fill="auto"/>
          </w:tcPr>
          <w:p w:rsidR="001367CD" w:rsidRPr="00A85A7F" w:rsidRDefault="001367CD" w:rsidP="008F498E">
            <w:pPr>
              <w:rPr>
                <w:rFonts w:ascii="Calibri" w:hAnsi="Calibri"/>
                <w:color w:val="000000"/>
                <w:sz w:val="18"/>
                <w:szCs w:val="18"/>
              </w:rPr>
            </w:pPr>
            <w:r w:rsidRPr="00674A26">
              <w:rPr>
                <w:rFonts w:ascii="Calibri" w:hAnsi="Calibri"/>
                <w:color w:val="000000"/>
                <w:sz w:val="18"/>
                <w:szCs w:val="18"/>
              </w:rPr>
              <w:t>0.01 (</w:t>
            </w:r>
            <w:r w:rsidR="00A85A7F" w:rsidRPr="00674A26">
              <w:rPr>
                <w:rFonts w:ascii="Calibri" w:hAnsi="Calibri"/>
                <w:color w:val="000000"/>
                <w:sz w:val="18"/>
                <w:szCs w:val="18"/>
              </w:rPr>
              <w:t>−</w:t>
            </w:r>
            <w:r w:rsidR="00A85A7F" w:rsidRPr="00A85A7F">
              <w:rPr>
                <w:rFonts w:ascii="Calibri" w:hAnsi="Calibri"/>
                <w:color w:val="000000"/>
                <w:sz w:val="18"/>
                <w:szCs w:val="18"/>
              </w:rPr>
              <w:t>0</w:t>
            </w:r>
            <w:r w:rsidRPr="00A85A7F">
              <w:rPr>
                <w:rFonts w:ascii="Calibri" w:hAnsi="Calibri"/>
                <w:color w:val="000000"/>
                <w:sz w:val="18"/>
                <w:szCs w:val="18"/>
              </w:rPr>
              <w:t>.07</w:t>
            </w:r>
            <w:r w:rsidR="00947BA0" w:rsidRPr="00A85A7F">
              <w:rPr>
                <w:rFonts w:ascii="Calibri" w:hAnsi="Calibri"/>
                <w:color w:val="000000"/>
                <w:sz w:val="18"/>
                <w:szCs w:val="18"/>
              </w:rPr>
              <w:t xml:space="preserve">, </w:t>
            </w:r>
            <w:r w:rsidRPr="00A85A7F">
              <w:rPr>
                <w:rFonts w:ascii="Calibri" w:hAnsi="Calibri"/>
                <w:color w:val="000000"/>
                <w:sz w:val="18"/>
                <w:szCs w:val="18"/>
              </w:rPr>
              <w:t>0.08)</w:t>
            </w:r>
          </w:p>
        </w:tc>
      </w:tr>
      <w:tr w:rsidR="001367CD" w:rsidRPr="00E732A2" w:rsidTr="008F498E">
        <w:trPr>
          <w:trHeight w:val="227"/>
        </w:trPr>
        <w:tc>
          <w:tcPr>
            <w:tcW w:w="3227" w:type="dxa"/>
            <w:shd w:val="clear" w:color="auto" w:fill="auto"/>
            <w:noWrap/>
          </w:tcPr>
          <w:p w:rsidR="001367CD" w:rsidRPr="00575B8C" w:rsidRDefault="001367CD" w:rsidP="008F498E">
            <w:pPr>
              <w:rPr>
                <w:sz w:val="18"/>
                <w:szCs w:val="18"/>
              </w:rPr>
            </w:pPr>
            <w:r w:rsidRPr="00575B8C">
              <w:rPr>
                <w:sz w:val="18"/>
                <w:szCs w:val="18"/>
              </w:rPr>
              <w:t>Cattle farm</w:t>
            </w:r>
          </w:p>
        </w:tc>
        <w:tc>
          <w:tcPr>
            <w:tcW w:w="1701" w:type="dxa"/>
            <w:shd w:val="clear" w:color="auto" w:fill="auto"/>
            <w:noWrap/>
          </w:tcPr>
          <w:p w:rsidR="001367CD" w:rsidRPr="00575B8C" w:rsidRDefault="001367CD" w:rsidP="008F498E">
            <w:pPr>
              <w:rPr>
                <w:sz w:val="18"/>
                <w:szCs w:val="18"/>
              </w:rPr>
            </w:pPr>
            <w:r w:rsidRPr="00575B8C">
              <w:rPr>
                <w:sz w:val="18"/>
                <w:szCs w:val="18"/>
              </w:rPr>
              <w:t>2314 (94.2)</w:t>
            </w:r>
          </w:p>
        </w:tc>
        <w:tc>
          <w:tcPr>
            <w:tcW w:w="1701" w:type="dxa"/>
            <w:shd w:val="clear" w:color="auto" w:fill="auto"/>
            <w:noWrap/>
          </w:tcPr>
          <w:p w:rsidR="001367CD" w:rsidRPr="00551C2E" w:rsidRDefault="001367CD" w:rsidP="008F498E">
            <w:pPr>
              <w:rPr>
                <w:sz w:val="18"/>
                <w:szCs w:val="18"/>
              </w:rPr>
            </w:pPr>
            <w:r w:rsidRPr="00A85A7F">
              <w:rPr>
                <w:sz w:val="18"/>
                <w:szCs w:val="18"/>
              </w:rPr>
              <w:t>0.05 (</w:t>
            </w:r>
            <w:r w:rsidR="00A85A7F" w:rsidRPr="00551C2E">
              <w:rPr>
                <w:sz w:val="18"/>
                <w:szCs w:val="18"/>
              </w:rPr>
              <w:t>−0</w:t>
            </w:r>
            <w:r w:rsidRPr="00551C2E">
              <w:rPr>
                <w:sz w:val="18"/>
                <w:szCs w:val="18"/>
              </w:rPr>
              <w:t>.11</w:t>
            </w:r>
            <w:r w:rsidR="00947BA0" w:rsidRPr="00551C2E">
              <w:rPr>
                <w:sz w:val="18"/>
                <w:szCs w:val="18"/>
              </w:rPr>
              <w:t xml:space="preserve">, </w:t>
            </w:r>
            <w:r w:rsidRPr="00551C2E">
              <w:rPr>
                <w:sz w:val="18"/>
                <w:szCs w:val="18"/>
              </w:rPr>
              <w:t>0.21)</w:t>
            </w:r>
          </w:p>
        </w:tc>
        <w:tc>
          <w:tcPr>
            <w:tcW w:w="1559" w:type="dxa"/>
            <w:shd w:val="clear" w:color="auto" w:fill="auto"/>
            <w:noWrap/>
          </w:tcPr>
          <w:p w:rsidR="001367CD" w:rsidRPr="00674A26" w:rsidRDefault="001367CD" w:rsidP="008F498E">
            <w:pPr>
              <w:rPr>
                <w:sz w:val="18"/>
                <w:szCs w:val="18"/>
              </w:rPr>
            </w:pPr>
            <w:r w:rsidRPr="00674A26">
              <w:rPr>
                <w:sz w:val="18"/>
                <w:szCs w:val="18"/>
              </w:rPr>
              <w:t>0.04 (</w:t>
            </w:r>
            <w:r w:rsidR="00A85A7F" w:rsidRPr="00674A26">
              <w:rPr>
                <w:sz w:val="18"/>
                <w:szCs w:val="18"/>
              </w:rPr>
              <w:t>−0</w:t>
            </w:r>
            <w:r w:rsidRPr="00674A26">
              <w:rPr>
                <w:sz w:val="18"/>
                <w:szCs w:val="18"/>
              </w:rPr>
              <w:t>.12</w:t>
            </w:r>
            <w:r w:rsidR="00947BA0" w:rsidRPr="00674A26">
              <w:rPr>
                <w:sz w:val="18"/>
                <w:szCs w:val="18"/>
              </w:rPr>
              <w:t xml:space="preserve">, </w:t>
            </w:r>
            <w:r w:rsidRPr="00674A26">
              <w:rPr>
                <w:sz w:val="18"/>
                <w:szCs w:val="18"/>
              </w:rPr>
              <w:t>0.20)</w:t>
            </w:r>
          </w:p>
        </w:tc>
        <w:tc>
          <w:tcPr>
            <w:tcW w:w="1627" w:type="dxa"/>
            <w:shd w:val="clear" w:color="auto" w:fill="auto"/>
          </w:tcPr>
          <w:p w:rsidR="001367CD" w:rsidRPr="00A85A7F" w:rsidRDefault="001367CD" w:rsidP="008F498E">
            <w:pPr>
              <w:rPr>
                <w:rFonts w:ascii="Calibri" w:hAnsi="Calibri"/>
                <w:color w:val="000000"/>
                <w:sz w:val="18"/>
                <w:szCs w:val="18"/>
              </w:rPr>
            </w:pPr>
            <w:r w:rsidRPr="00674A26">
              <w:rPr>
                <w:rFonts w:ascii="Calibri" w:hAnsi="Calibri"/>
                <w:color w:val="000000"/>
                <w:sz w:val="18"/>
                <w:szCs w:val="18"/>
              </w:rPr>
              <w:t>0.01 (</w:t>
            </w:r>
            <w:r w:rsidR="00A85A7F" w:rsidRPr="00A85A7F">
              <w:rPr>
                <w:rFonts w:ascii="Calibri" w:hAnsi="Calibri"/>
                <w:color w:val="000000"/>
                <w:sz w:val="18"/>
                <w:szCs w:val="18"/>
              </w:rPr>
              <w:t>−0</w:t>
            </w:r>
            <w:r w:rsidRPr="00A85A7F">
              <w:rPr>
                <w:rFonts w:ascii="Calibri" w:hAnsi="Calibri"/>
                <w:color w:val="000000"/>
                <w:sz w:val="18"/>
                <w:szCs w:val="18"/>
              </w:rPr>
              <w:t>.15</w:t>
            </w:r>
            <w:r w:rsidR="00947BA0" w:rsidRPr="00A85A7F">
              <w:rPr>
                <w:rFonts w:ascii="Calibri" w:hAnsi="Calibri"/>
                <w:color w:val="000000"/>
                <w:sz w:val="18"/>
                <w:szCs w:val="18"/>
              </w:rPr>
              <w:t xml:space="preserve">, </w:t>
            </w:r>
            <w:r w:rsidRPr="00A85A7F">
              <w:rPr>
                <w:rFonts w:ascii="Calibri" w:hAnsi="Calibri"/>
                <w:color w:val="000000"/>
                <w:sz w:val="18"/>
                <w:szCs w:val="18"/>
              </w:rPr>
              <w:t>0.17)</w:t>
            </w:r>
          </w:p>
        </w:tc>
      </w:tr>
      <w:tr w:rsidR="001367CD" w:rsidRPr="00E732A2" w:rsidTr="008F498E">
        <w:trPr>
          <w:trHeight w:val="227"/>
        </w:trPr>
        <w:tc>
          <w:tcPr>
            <w:tcW w:w="3227" w:type="dxa"/>
            <w:shd w:val="clear" w:color="auto" w:fill="auto"/>
            <w:noWrap/>
          </w:tcPr>
          <w:p w:rsidR="001367CD" w:rsidRPr="00575B8C" w:rsidRDefault="001367CD" w:rsidP="008F498E">
            <w:pPr>
              <w:rPr>
                <w:sz w:val="18"/>
                <w:szCs w:val="18"/>
              </w:rPr>
            </w:pPr>
            <w:r w:rsidRPr="00575B8C">
              <w:rPr>
                <w:sz w:val="18"/>
                <w:szCs w:val="18"/>
              </w:rPr>
              <w:t>Goat farm</w:t>
            </w:r>
          </w:p>
        </w:tc>
        <w:tc>
          <w:tcPr>
            <w:tcW w:w="1701" w:type="dxa"/>
            <w:shd w:val="clear" w:color="auto" w:fill="auto"/>
            <w:noWrap/>
          </w:tcPr>
          <w:p w:rsidR="001367CD" w:rsidRPr="00575B8C" w:rsidRDefault="001367CD" w:rsidP="008F498E">
            <w:pPr>
              <w:rPr>
                <w:sz w:val="18"/>
                <w:szCs w:val="18"/>
              </w:rPr>
            </w:pPr>
            <w:r w:rsidRPr="00575B8C">
              <w:rPr>
                <w:sz w:val="18"/>
                <w:szCs w:val="18"/>
              </w:rPr>
              <w:t>266 (10.8)</w:t>
            </w:r>
          </w:p>
        </w:tc>
        <w:tc>
          <w:tcPr>
            <w:tcW w:w="1701" w:type="dxa"/>
            <w:shd w:val="clear" w:color="auto" w:fill="auto"/>
            <w:noWrap/>
          </w:tcPr>
          <w:p w:rsidR="001367CD" w:rsidRPr="003E208B" w:rsidRDefault="00A85A7F" w:rsidP="008F498E">
            <w:pPr>
              <w:rPr>
                <w:bCs/>
                <w:sz w:val="18"/>
                <w:szCs w:val="18"/>
              </w:rPr>
            </w:pPr>
            <w:r w:rsidRPr="003E208B">
              <w:rPr>
                <w:bCs/>
                <w:sz w:val="18"/>
                <w:szCs w:val="18"/>
              </w:rPr>
              <w:t>−0</w:t>
            </w:r>
            <w:r w:rsidR="001367CD" w:rsidRPr="003E208B">
              <w:rPr>
                <w:bCs/>
                <w:sz w:val="18"/>
                <w:szCs w:val="18"/>
              </w:rPr>
              <w:t>.12 (</w:t>
            </w:r>
            <w:r w:rsidRPr="003E208B">
              <w:rPr>
                <w:bCs/>
                <w:sz w:val="18"/>
                <w:szCs w:val="18"/>
              </w:rPr>
              <w:t>−0</w:t>
            </w:r>
            <w:r w:rsidR="001367CD" w:rsidRPr="003E208B">
              <w:rPr>
                <w:bCs/>
                <w:sz w:val="18"/>
                <w:szCs w:val="18"/>
              </w:rPr>
              <w:t>.25</w:t>
            </w:r>
            <w:r w:rsidR="00947BA0" w:rsidRPr="003E208B">
              <w:rPr>
                <w:bCs/>
                <w:sz w:val="18"/>
                <w:szCs w:val="18"/>
              </w:rPr>
              <w:t xml:space="preserve">, </w:t>
            </w:r>
            <w:r w:rsidR="001367CD" w:rsidRPr="003E208B">
              <w:rPr>
                <w:bCs/>
                <w:sz w:val="18"/>
                <w:szCs w:val="18"/>
              </w:rPr>
              <w:t>0.00)</w:t>
            </w:r>
          </w:p>
        </w:tc>
        <w:tc>
          <w:tcPr>
            <w:tcW w:w="1559" w:type="dxa"/>
            <w:shd w:val="clear" w:color="auto" w:fill="auto"/>
            <w:noWrap/>
          </w:tcPr>
          <w:p w:rsidR="001367CD" w:rsidRPr="003E208B" w:rsidRDefault="00A85A7F" w:rsidP="008F498E">
            <w:pPr>
              <w:rPr>
                <w:bCs/>
                <w:sz w:val="18"/>
                <w:szCs w:val="18"/>
              </w:rPr>
            </w:pPr>
            <w:r w:rsidRPr="003E208B">
              <w:rPr>
                <w:bCs/>
                <w:sz w:val="18"/>
                <w:szCs w:val="18"/>
              </w:rPr>
              <w:t>−0</w:t>
            </w:r>
            <w:r w:rsidR="001367CD" w:rsidRPr="003E208B">
              <w:rPr>
                <w:bCs/>
                <w:sz w:val="18"/>
                <w:szCs w:val="18"/>
              </w:rPr>
              <w:t>.16 (</w:t>
            </w:r>
            <w:r w:rsidRPr="003E208B">
              <w:rPr>
                <w:bCs/>
                <w:sz w:val="18"/>
                <w:szCs w:val="18"/>
              </w:rPr>
              <w:t>−0</w:t>
            </w:r>
            <w:r w:rsidR="001367CD" w:rsidRPr="003E208B">
              <w:rPr>
                <w:bCs/>
                <w:sz w:val="18"/>
                <w:szCs w:val="18"/>
              </w:rPr>
              <w:t>.28</w:t>
            </w:r>
            <w:r w:rsidR="00947BA0" w:rsidRPr="003E208B">
              <w:rPr>
                <w:bCs/>
                <w:sz w:val="18"/>
                <w:szCs w:val="18"/>
              </w:rPr>
              <w:t xml:space="preserve">, </w:t>
            </w:r>
            <w:r w:rsidRPr="003E208B">
              <w:rPr>
                <w:bCs/>
                <w:sz w:val="18"/>
                <w:szCs w:val="18"/>
              </w:rPr>
              <w:t>−0</w:t>
            </w:r>
            <w:r w:rsidR="001367CD" w:rsidRPr="003E208B">
              <w:rPr>
                <w:bCs/>
                <w:sz w:val="18"/>
                <w:szCs w:val="18"/>
              </w:rPr>
              <w:t>.04)</w:t>
            </w:r>
          </w:p>
        </w:tc>
        <w:tc>
          <w:tcPr>
            <w:tcW w:w="1627" w:type="dxa"/>
            <w:shd w:val="clear" w:color="auto" w:fill="auto"/>
          </w:tcPr>
          <w:p w:rsidR="001367CD" w:rsidRPr="003E208B" w:rsidRDefault="00A85A7F" w:rsidP="008F498E">
            <w:pPr>
              <w:rPr>
                <w:rFonts w:ascii="Calibri" w:hAnsi="Calibri"/>
                <w:bCs/>
                <w:color w:val="000000"/>
                <w:sz w:val="18"/>
                <w:szCs w:val="18"/>
              </w:rPr>
            </w:pPr>
            <w:r w:rsidRPr="003E208B">
              <w:rPr>
                <w:rFonts w:ascii="Calibri" w:hAnsi="Calibri"/>
                <w:bCs/>
                <w:color w:val="000000"/>
                <w:sz w:val="18"/>
                <w:szCs w:val="18"/>
              </w:rPr>
              <w:t>−0</w:t>
            </w:r>
            <w:r w:rsidR="001367CD" w:rsidRPr="003E208B">
              <w:rPr>
                <w:rFonts w:ascii="Calibri" w:hAnsi="Calibri"/>
                <w:bCs/>
                <w:color w:val="000000"/>
                <w:sz w:val="18"/>
                <w:szCs w:val="18"/>
              </w:rPr>
              <w:t>.19 (</w:t>
            </w:r>
            <w:r w:rsidRPr="003E208B">
              <w:rPr>
                <w:rFonts w:ascii="Calibri" w:hAnsi="Calibri"/>
                <w:bCs/>
                <w:color w:val="000000"/>
                <w:sz w:val="18"/>
                <w:szCs w:val="18"/>
              </w:rPr>
              <w:t>−0</w:t>
            </w:r>
            <w:r w:rsidR="001367CD" w:rsidRPr="003E208B">
              <w:rPr>
                <w:rFonts w:ascii="Calibri" w:hAnsi="Calibri"/>
                <w:bCs/>
                <w:color w:val="000000"/>
                <w:sz w:val="18"/>
                <w:szCs w:val="18"/>
              </w:rPr>
              <w:t>.31</w:t>
            </w:r>
            <w:r w:rsidR="00947BA0" w:rsidRPr="003E208B">
              <w:rPr>
                <w:rFonts w:ascii="Calibri" w:hAnsi="Calibri"/>
                <w:bCs/>
                <w:color w:val="000000"/>
                <w:sz w:val="18"/>
                <w:szCs w:val="18"/>
              </w:rPr>
              <w:t xml:space="preserve">, </w:t>
            </w:r>
            <w:r w:rsidRPr="003E208B">
              <w:rPr>
                <w:rFonts w:ascii="Calibri" w:hAnsi="Calibri"/>
                <w:bCs/>
                <w:color w:val="000000"/>
                <w:sz w:val="18"/>
                <w:szCs w:val="18"/>
              </w:rPr>
              <w:t>−0</w:t>
            </w:r>
            <w:r w:rsidR="001367CD" w:rsidRPr="003E208B">
              <w:rPr>
                <w:rFonts w:ascii="Calibri" w:hAnsi="Calibri"/>
                <w:bCs/>
                <w:color w:val="000000"/>
                <w:sz w:val="18"/>
                <w:szCs w:val="18"/>
              </w:rPr>
              <w:t>.08)</w:t>
            </w:r>
          </w:p>
        </w:tc>
      </w:tr>
      <w:tr w:rsidR="001367CD" w:rsidRPr="00E732A2" w:rsidTr="008F498E">
        <w:trPr>
          <w:trHeight w:val="227"/>
        </w:trPr>
        <w:tc>
          <w:tcPr>
            <w:tcW w:w="3227" w:type="dxa"/>
            <w:shd w:val="clear" w:color="auto" w:fill="auto"/>
            <w:noWrap/>
          </w:tcPr>
          <w:p w:rsidR="001367CD" w:rsidRPr="00575B8C" w:rsidRDefault="001367CD" w:rsidP="008F498E">
            <w:pPr>
              <w:rPr>
                <w:sz w:val="18"/>
                <w:szCs w:val="18"/>
              </w:rPr>
            </w:pPr>
            <w:r w:rsidRPr="00575B8C">
              <w:rPr>
                <w:sz w:val="18"/>
                <w:szCs w:val="18"/>
              </w:rPr>
              <w:t>Sheep farm</w:t>
            </w:r>
          </w:p>
        </w:tc>
        <w:tc>
          <w:tcPr>
            <w:tcW w:w="1701" w:type="dxa"/>
            <w:shd w:val="clear" w:color="auto" w:fill="auto"/>
            <w:noWrap/>
          </w:tcPr>
          <w:p w:rsidR="001367CD" w:rsidRPr="00575B8C" w:rsidRDefault="001367CD" w:rsidP="008F498E">
            <w:pPr>
              <w:rPr>
                <w:sz w:val="18"/>
                <w:szCs w:val="18"/>
              </w:rPr>
            </w:pPr>
            <w:r w:rsidRPr="00575B8C">
              <w:rPr>
                <w:sz w:val="18"/>
                <w:szCs w:val="18"/>
              </w:rPr>
              <w:t>771 (31.4)</w:t>
            </w:r>
          </w:p>
        </w:tc>
        <w:tc>
          <w:tcPr>
            <w:tcW w:w="1701" w:type="dxa"/>
            <w:shd w:val="clear" w:color="auto" w:fill="auto"/>
            <w:noWrap/>
          </w:tcPr>
          <w:p w:rsidR="001367CD" w:rsidRPr="00674A26" w:rsidRDefault="00A85A7F" w:rsidP="008F498E">
            <w:pPr>
              <w:rPr>
                <w:sz w:val="18"/>
                <w:szCs w:val="18"/>
              </w:rPr>
            </w:pPr>
            <w:r w:rsidRPr="00551C2E">
              <w:rPr>
                <w:sz w:val="18"/>
                <w:szCs w:val="18"/>
              </w:rPr>
              <w:t>−0</w:t>
            </w:r>
            <w:r w:rsidR="001367CD" w:rsidRPr="00551C2E">
              <w:rPr>
                <w:sz w:val="18"/>
                <w:szCs w:val="18"/>
              </w:rPr>
              <w:t>.01 (</w:t>
            </w:r>
            <w:r w:rsidRPr="00551C2E">
              <w:rPr>
                <w:sz w:val="18"/>
                <w:szCs w:val="18"/>
              </w:rPr>
              <w:t>−0</w:t>
            </w:r>
            <w:r w:rsidR="001367CD" w:rsidRPr="00551C2E">
              <w:rPr>
                <w:sz w:val="18"/>
                <w:szCs w:val="18"/>
              </w:rPr>
              <w:t>.09</w:t>
            </w:r>
            <w:r w:rsidR="00947BA0" w:rsidRPr="00551C2E">
              <w:rPr>
                <w:sz w:val="18"/>
                <w:szCs w:val="18"/>
              </w:rPr>
              <w:t xml:space="preserve">, </w:t>
            </w:r>
            <w:r w:rsidR="001367CD" w:rsidRPr="00674A26">
              <w:rPr>
                <w:sz w:val="18"/>
                <w:szCs w:val="18"/>
              </w:rPr>
              <w:t>0.07)</w:t>
            </w:r>
          </w:p>
        </w:tc>
        <w:tc>
          <w:tcPr>
            <w:tcW w:w="1559" w:type="dxa"/>
            <w:shd w:val="clear" w:color="auto" w:fill="auto"/>
            <w:noWrap/>
          </w:tcPr>
          <w:p w:rsidR="001367CD" w:rsidRPr="00A85A7F" w:rsidRDefault="00A85A7F" w:rsidP="008F498E">
            <w:pPr>
              <w:rPr>
                <w:sz w:val="18"/>
                <w:szCs w:val="18"/>
              </w:rPr>
            </w:pPr>
            <w:r w:rsidRPr="00674A26">
              <w:rPr>
                <w:sz w:val="18"/>
                <w:szCs w:val="18"/>
              </w:rPr>
              <w:t>−0</w:t>
            </w:r>
            <w:r w:rsidR="001367CD" w:rsidRPr="00674A26">
              <w:rPr>
                <w:sz w:val="18"/>
                <w:szCs w:val="18"/>
              </w:rPr>
              <w:t>.02 (</w:t>
            </w:r>
            <w:r w:rsidRPr="00674A26">
              <w:rPr>
                <w:sz w:val="18"/>
                <w:szCs w:val="18"/>
              </w:rPr>
              <w:t>−0</w:t>
            </w:r>
            <w:r w:rsidR="001367CD" w:rsidRPr="00674A26">
              <w:rPr>
                <w:sz w:val="18"/>
                <w:szCs w:val="18"/>
              </w:rPr>
              <w:t>.10</w:t>
            </w:r>
            <w:r w:rsidR="00947BA0" w:rsidRPr="00674A26">
              <w:rPr>
                <w:sz w:val="18"/>
                <w:szCs w:val="18"/>
              </w:rPr>
              <w:t xml:space="preserve">, </w:t>
            </w:r>
            <w:r w:rsidR="001367CD" w:rsidRPr="00A85A7F">
              <w:rPr>
                <w:sz w:val="18"/>
                <w:szCs w:val="18"/>
              </w:rPr>
              <w:t>0.06)</w:t>
            </w:r>
          </w:p>
        </w:tc>
        <w:tc>
          <w:tcPr>
            <w:tcW w:w="1627" w:type="dxa"/>
            <w:shd w:val="clear" w:color="auto" w:fill="auto"/>
          </w:tcPr>
          <w:p w:rsidR="001367CD" w:rsidRPr="00A85A7F" w:rsidRDefault="00A85A7F" w:rsidP="008F498E">
            <w:pPr>
              <w:rPr>
                <w:rFonts w:ascii="Calibri" w:hAnsi="Calibri"/>
                <w:color w:val="000000"/>
                <w:sz w:val="18"/>
                <w:szCs w:val="18"/>
              </w:rPr>
            </w:pPr>
            <w:r w:rsidRPr="00A85A7F">
              <w:rPr>
                <w:rFonts w:ascii="Calibri" w:hAnsi="Calibri"/>
                <w:color w:val="000000"/>
                <w:sz w:val="18"/>
                <w:szCs w:val="18"/>
              </w:rPr>
              <w:t>−0</w:t>
            </w:r>
            <w:r w:rsidR="001367CD" w:rsidRPr="00A85A7F">
              <w:rPr>
                <w:rFonts w:ascii="Calibri" w:hAnsi="Calibri"/>
                <w:color w:val="000000"/>
                <w:sz w:val="18"/>
                <w:szCs w:val="18"/>
              </w:rPr>
              <w:t>.04 (</w:t>
            </w:r>
            <w:r w:rsidRPr="00A85A7F">
              <w:rPr>
                <w:rFonts w:ascii="Calibri" w:hAnsi="Calibri"/>
                <w:color w:val="000000"/>
                <w:sz w:val="18"/>
                <w:szCs w:val="18"/>
              </w:rPr>
              <w:t>−0</w:t>
            </w:r>
            <w:r w:rsidR="001367CD" w:rsidRPr="00A85A7F">
              <w:rPr>
                <w:rFonts w:ascii="Calibri" w:hAnsi="Calibri"/>
                <w:color w:val="000000"/>
                <w:sz w:val="18"/>
                <w:szCs w:val="18"/>
              </w:rPr>
              <w:t>.12</w:t>
            </w:r>
            <w:r w:rsidR="00947BA0" w:rsidRPr="00A85A7F">
              <w:rPr>
                <w:rFonts w:ascii="Calibri" w:hAnsi="Calibri"/>
                <w:color w:val="000000"/>
                <w:sz w:val="18"/>
                <w:szCs w:val="18"/>
              </w:rPr>
              <w:t xml:space="preserve">, </w:t>
            </w:r>
            <w:r w:rsidR="001367CD" w:rsidRPr="00A85A7F">
              <w:rPr>
                <w:rFonts w:ascii="Calibri" w:hAnsi="Calibri"/>
                <w:color w:val="000000"/>
                <w:sz w:val="18"/>
                <w:szCs w:val="18"/>
              </w:rPr>
              <w:t>0.04)</w:t>
            </w:r>
          </w:p>
        </w:tc>
      </w:tr>
      <w:tr w:rsidR="001367CD" w:rsidRPr="00575B8C" w:rsidTr="008F498E">
        <w:trPr>
          <w:trHeight w:val="227"/>
        </w:trPr>
        <w:tc>
          <w:tcPr>
            <w:tcW w:w="3227" w:type="dxa"/>
            <w:shd w:val="clear" w:color="auto" w:fill="auto"/>
            <w:noWrap/>
          </w:tcPr>
          <w:p w:rsidR="001367CD" w:rsidRPr="00575B8C" w:rsidRDefault="001367CD" w:rsidP="008F498E">
            <w:pPr>
              <w:rPr>
                <w:sz w:val="18"/>
                <w:szCs w:val="18"/>
              </w:rPr>
            </w:pPr>
            <w:r w:rsidRPr="00575B8C">
              <w:rPr>
                <w:sz w:val="18"/>
                <w:szCs w:val="18"/>
              </w:rPr>
              <w:t>Horse farm</w:t>
            </w:r>
          </w:p>
        </w:tc>
        <w:tc>
          <w:tcPr>
            <w:tcW w:w="1701" w:type="dxa"/>
            <w:shd w:val="clear" w:color="auto" w:fill="auto"/>
            <w:noWrap/>
          </w:tcPr>
          <w:p w:rsidR="001367CD" w:rsidRPr="00575B8C" w:rsidRDefault="001367CD" w:rsidP="008F498E">
            <w:pPr>
              <w:rPr>
                <w:sz w:val="18"/>
                <w:szCs w:val="18"/>
              </w:rPr>
            </w:pPr>
            <w:r w:rsidRPr="00575B8C">
              <w:rPr>
                <w:sz w:val="18"/>
                <w:szCs w:val="18"/>
              </w:rPr>
              <w:t>1763 (71.8)</w:t>
            </w:r>
          </w:p>
        </w:tc>
        <w:tc>
          <w:tcPr>
            <w:tcW w:w="1701" w:type="dxa"/>
            <w:shd w:val="clear" w:color="auto" w:fill="auto"/>
            <w:noWrap/>
          </w:tcPr>
          <w:p w:rsidR="001367CD" w:rsidRPr="00551C2E" w:rsidRDefault="001367CD" w:rsidP="008F498E">
            <w:pPr>
              <w:rPr>
                <w:sz w:val="18"/>
                <w:szCs w:val="18"/>
              </w:rPr>
            </w:pPr>
            <w:r w:rsidRPr="00A85A7F">
              <w:rPr>
                <w:sz w:val="18"/>
                <w:szCs w:val="18"/>
              </w:rPr>
              <w:t>0.04 (</w:t>
            </w:r>
            <w:r w:rsidR="00A85A7F" w:rsidRPr="00551C2E">
              <w:rPr>
                <w:sz w:val="18"/>
                <w:szCs w:val="18"/>
              </w:rPr>
              <w:t>−0</w:t>
            </w:r>
            <w:r w:rsidRPr="00551C2E">
              <w:rPr>
                <w:sz w:val="18"/>
                <w:szCs w:val="18"/>
              </w:rPr>
              <w:t>.05</w:t>
            </w:r>
            <w:r w:rsidR="00947BA0" w:rsidRPr="00551C2E">
              <w:rPr>
                <w:sz w:val="18"/>
                <w:szCs w:val="18"/>
              </w:rPr>
              <w:t xml:space="preserve">, </w:t>
            </w:r>
            <w:r w:rsidRPr="00551C2E">
              <w:rPr>
                <w:sz w:val="18"/>
                <w:szCs w:val="18"/>
              </w:rPr>
              <w:t>0.12)</w:t>
            </w:r>
          </w:p>
        </w:tc>
        <w:tc>
          <w:tcPr>
            <w:tcW w:w="1559" w:type="dxa"/>
            <w:shd w:val="clear" w:color="auto" w:fill="auto"/>
            <w:noWrap/>
          </w:tcPr>
          <w:p w:rsidR="001367CD" w:rsidRPr="00674A26" w:rsidRDefault="001367CD" w:rsidP="008F498E">
            <w:pPr>
              <w:rPr>
                <w:sz w:val="18"/>
                <w:szCs w:val="18"/>
              </w:rPr>
            </w:pPr>
            <w:r w:rsidRPr="00674A26">
              <w:rPr>
                <w:sz w:val="18"/>
                <w:szCs w:val="18"/>
              </w:rPr>
              <w:t>0.04 (</w:t>
            </w:r>
            <w:r w:rsidR="00A85A7F" w:rsidRPr="00674A26">
              <w:rPr>
                <w:sz w:val="18"/>
                <w:szCs w:val="18"/>
              </w:rPr>
              <w:t>−0</w:t>
            </w:r>
            <w:r w:rsidRPr="00674A26">
              <w:rPr>
                <w:sz w:val="18"/>
                <w:szCs w:val="18"/>
              </w:rPr>
              <w:t>.04</w:t>
            </w:r>
            <w:r w:rsidR="00947BA0" w:rsidRPr="00674A26">
              <w:rPr>
                <w:sz w:val="18"/>
                <w:szCs w:val="18"/>
              </w:rPr>
              <w:t xml:space="preserve">, </w:t>
            </w:r>
            <w:r w:rsidRPr="00674A26">
              <w:rPr>
                <w:sz w:val="18"/>
                <w:szCs w:val="18"/>
              </w:rPr>
              <w:t>0.12)</w:t>
            </w:r>
          </w:p>
        </w:tc>
        <w:tc>
          <w:tcPr>
            <w:tcW w:w="1627" w:type="dxa"/>
            <w:shd w:val="clear" w:color="auto" w:fill="auto"/>
          </w:tcPr>
          <w:p w:rsidR="001367CD" w:rsidRPr="00A85A7F" w:rsidRDefault="001367CD" w:rsidP="008F498E">
            <w:pPr>
              <w:rPr>
                <w:rFonts w:ascii="Calibri" w:hAnsi="Calibri"/>
                <w:color w:val="000000"/>
                <w:sz w:val="18"/>
                <w:szCs w:val="18"/>
              </w:rPr>
            </w:pPr>
            <w:r w:rsidRPr="00674A26">
              <w:rPr>
                <w:rFonts w:ascii="Calibri" w:hAnsi="Calibri"/>
                <w:color w:val="000000"/>
                <w:sz w:val="18"/>
                <w:szCs w:val="18"/>
              </w:rPr>
              <w:t>0.02 (</w:t>
            </w:r>
            <w:r w:rsidR="00A85A7F" w:rsidRPr="00674A26">
              <w:rPr>
                <w:rFonts w:ascii="Calibri" w:hAnsi="Calibri"/>
                <w:color w:val="000000"/>
                <w:sz w:val="18"/>
                <w:szCs w:val="18"/>
              </w:rPr>
              <w:t>−</w:t>
            </w:r>
            <w:r w:rsidR="00A85A7F" w:rsidRPr="00A85A7F">
              <w:rPr>
                <w:rFonts w:ascii="Calibri" w:hAnsi="Calibri"/>
                <w:color w:val="000000"/>
                <w:sz w:val="18"/>
                <w:szCs w:val="18"/>
              </w:rPr>
              <w:t>0</w:t>
            </w:r>
            <w:r w:rsidRPr="00A85A7F">
              <w:rPr>
                <w:rFonts w:ascii="Calibri" w:hAnsi="Calibri"/>
                <w:color w:val="000000"/>
                <w:sz w:val="18"/>
                <w:szCs w:val="18"/>
              </w:rPr>
              <w:t>.06</w:t>
            </w:r>
            <w:r w:rsidR="00947BA0" w:rsidRPr="00A85A7F">
              <w:rPr>
                <w:rFonts w:ascii="Calibri" w:hAnsi="Calibri"/>
                <w:color w:val="000000"/>
                <w:sz w:val="18"/>
                <w:szCs w:val="18"/>
              </w:rPr>
              <w:t xml:space="preserve">, </w:t>
            </w:r>
            <w:r w:rsidRPr="00A85A7F">
              <w:rPr>
                <w:rFonts w:ascii="Calibri" w:hAnsi="Calibri"/>
                <w:color w:val="000000"/>
                <w:sz w:val="18"/>
                <w:szCs w:val="18"/>
              </w:rPr>
              <w:t>0.10)</w:t>
            </w:r>
          </w:p>
        </w:tc>
      </w:tr>
    </w:tbl>
    <w:p w:rsidR="004B7ED0" w:rsidRPr="00D860F4" w:rsidRDefault="001367CD" w:rsidP="004B7ED0">
      <w:pPr>
        <w:rPr>
          <w:b/>
          <w:bCs/>
          <w:sz w:val="18"/>
          <w:szCs w:val="18"/>
          <w:lang w:val="en-US"/>
        </w:rPr>
      </w:pPr>
      <w:r w:rsidRPr="00575B8C">
        <w:rPr>
          <w:bCs/>
          <w:sz w:val="18"/>
          <w:szCs w:val="18"/>
        </w:rPr>
        <w:t>Associations between the ‘</w:t>
      </w:r>
      <w:r>
        <w:rPr>
          <w:bCs/>
          <w:sz w:val="18"/>
          <w:szCs w:val="18"/>
        </w:rPr>
        <w:t xml:space="preserve">attitude-score </w:t>
      </w:r>
      <w:r w:rsidRPr="00575B8C">
        <w:rPr>
          <w:bCs/>
          <w:sz w:val="18"/>
          <w:szCs w:val="18"/>
        </w:rPr>
        <w:t xml:space="preserve">’ (z-score obtained from factor analysis) and determinants of livestock farm exposure were </w:t>
      </w:r>
      <w:proofErr w:type="spellStart"/>
      <w:r w:rsidRPr="00575B8C">
        <w:rPr>
          <w:bCs/>
          <w:sz w:val="18"/>
          <w:szCs w:val="18"/>
        </w:rPr>
        <w:t>analyzed</w:t>
      </w:r>
      <w:proofErr w:type="spellEnd"/>
      <w:r w:rsidRPr="00575B8C">
        <w:rPr>
          <w:bCs/>
          <w:sz w:val="18"/>
          <w:szCs w:val="18"/>
        </w:rPr>
        <w:t xml:space="preserve"> with linear regression analysis. Regression coefficients display a change in the </w:t>
      </w:r>
      <w:r>
        <w:rPr>
          <w:bCs/>
          <w:sz w:val="18"/>
          <w:szCs w:val="18"/>
        </w:rPr>
        <w:t xml:space="preserve">attitude-score </w:t>
      </w:r>
      <w:r w:rsidRPr="00575B8C">
        <w:rPr>
          <w:bCs/>
          <w:sz w:val="18"/>
          <w:szCs w:val="18"/>
        </w:rPr>
        <w:t xml:space="preserve">for a difference in determinants as indicated in the table. A negative association means that the determinant is associated with a more negative attitude towards farming and a positive association means that the determinant is associated with a more positive attitude towards farming. </w:t>
      </w:r>
      <w:r w:rsidRPr="00575B8C">
        <w:rPr>
          <w:bCs/>
          <w:sz w:val="18"/>
          <w:szCs w:val="18"/>
        </w:rPr>
        <w:br/>
      </w:r>
      <w:r w:rsidR="00551C2E" w:rsidRPr="003E208B">
        <w:rPr>
          <w:bCs/>
          <w:sz w:val="18"/>
          <w:szCs w:val="18"/>
          <w:vertAlign w:val="superscript"/>
        </w:rPr>
        <w:t xml:space="preserve">a </w:t>
      </w:r>
      <w:r w:rsidRPr="00575B8C">
        <w:rPr>
          <w:bCs/>
          <w:sz w:val="18"/>
          <w:szCs w:val="18"/>
        </w:rPr>
        <w:t>Model A was adjusted for age and gender, model B was adjusted for: age, gender, born in study area, childhood on a farm, BMI ≥ 30 (BMI: body mass index = mass (kg)/ height (m)</w:t>
      </w:r>
      <w:r w:rsidRPr="00575B8C">
        <w:rPr>
          <w:bCs/>
          <w:sz w:val="18"/>
          <w:szCs w:val="18"/>
          <w:vertAlign w:val="superscript"/>
        </w:rPr>
        <w:t>2</w:t>
      </w:r>
      <w:r w:rsidRPr="00575B8C">
        <w:rPr>
          <w:bCs/>
          <w:sz w:val="18"/>
          <w:szCs w:val="18"/>
        </w:rPr>
        <w:t xml:space="preserve">), visited a farm last 12 months, high </w:t>
      </w:r>
      <w:r w:rsidRPr="00D860F4">
        <w:rPr>
          <w:bCs/>
          <w:sz w:val="18"/>
          <w:szCs w:val="18"/>
        </w:rPr>
        <w:t>education</w:t>
      </w:r>
    </w:p>
    <w:sectPr w:rsidR="004B7ED0" w:rsidRPr="00D860F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D9E" w:rsidRDefault="00A96D9E" w:rsidP="004B7ED0">
      <w:pPr>
        <w:spacing w:after="0" w:line="240" w:lineRule="auto"/>
      </w:pPr>
      <w:r>
        <w:separator/>
      </w:r>
    </w:p>
  </w:endnote>
  <w:endnote w:type="continuationSeparator" w:id="0">
    <w:p w:rsidR="00A96D9E" w:rsidRDefault="00A96D9E" w:rsidP="004B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213594"/>
      <w:docPartObj>
        <w:docPartGallery w:val="Page Numbers (Bottom of Page)"/>
        <w:docPartUnique/>
      </w:docPartObj>
    </w:sdtPr>
    <w:sdtEndPr>
      <w:rPr>
        <w:noProof/>
      </w:rPr>
    </w:sdtEndPr>
    <w:sdtContent>
      <w:p w:rsidR="009C7941" w:rsidRDefault="009C794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20825" w:rsidRDefault="00A20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D9E" w:rsidRDefault="00A96D9E" w:rsidP="004B7ED0">
      <w:pPr>
        <w:spacing w:after="0" w:line="240" w:lineRule="auto"/>
      </w:pPr>
      <w:r>
        <w:separator/>
      </w:r>
    </w:p>
  </w:footnote>
  <w:footnote w:type="continuationSeparator" w:id="0">
    <w:p w:rsidR="00A96D9E" w:rsidRDefault="00A96D9E" w:rsidP="004B7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D0" w:rsidRPr="004B7ED0" w:rsidRDefault="001A5EC1">
    <w:pPr>
      <w:pStyle w:val="Header"/>
      <w:rPr>
        <w:i/>
        <w:lang w:val="en-US"/>
      </w:rPr>
    </w:pPr>
    <w:r>
      <w:rPr>
        <w:i/>
        <w:lang w:val="en-US"/>
      </w:rPr>
      <w:t>Supplementary 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C630C"/>
    <w:multiLevelType w:val="hybridMultilevel"/>
    <w:tmpl w:val="3F2859A4"/>
    <w:lvl w:ilvl="0" w:tplc="0409000F">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7A9"/>
    <w:rsid w:val="000029C8"/>
    <w:rsid w:val="00006367"/>
    <w:rsid w:val="00007982"/>
    <w:rsid w:val="00010BB8"/>
    <w:rsid w:val="00011077"/>
    <w:rsid w:val="00016579"/>
    <w:rsid w:val="0002703C"/>
    <w:rsid w:val="00042444"/>
    <w:rsid w:val="000569D7"/>
    <w:rsid w:val="000812F2"/>
    <w:rsid w:val="000840AF"/>
    <w:rsid w:val="00090895"/>
    <w:rsid w:val="0009118A"/>
    <w:rsid w:val="000B613A"/>
    <w:rsid w:val="000C3B9D"/>
    <w:rsid w:val="000D1A93"/>
    <w:rsid w:val="000D5E36"/>
    <w:rsid w:val="000E2B14"/>
    <w:rsid w:val="000F776A"/>
    <w:rsid w:val="00102C3B"/>
    <w:rsid w:val="00103BD0"/>
    <w:rsid w:val="00111578"/>
    <w:rsid w:val="0011445A"/>
    <w:rsid w:val="001367CD"/>
    <w:rsid w:val="0013749A"/>
    <w:rsid w:val="00165F8E"/>
    <w:rsid w:val="0017445B"/>
    <w:rsid w:val="00194F94"/>
    <w:rsid w:val="00196D0A"/>
    <w:rsid w:val="001A5EC1"/>
    <w:rsid w:val="001B2D83"/>
    <w:rsid w:val="001B774C"/>
    <w:rsid w:val="001D5B98"/>
    <w:rsid w:val="00202298"/>
    <w:rsid w:val="002031A9"/>
    <w:rsid w:val="002211FE"/>
    <w:rsid w:val="00223479"/>
    <w:rsid w:val="002245F4"/>
    <w:rsid w:val="002428B2"/>
    <w:rsid w:val="00244DF2"/>
    <w:rsid w:val="0025433F"/>
    <w:rsid w:val="002572AB"/>
    <w:rsid w:val="00273539"/>
    <w:rsid w:val="002748E4"/>
    <w:rsid w:val="00280D46"/>
    <w:rsid w:val="00284006"/>
    <w:rsid w:val="00286C78"/>
    <w:rsid w:val="00291203"/>
    <w:rsid w:val="0029524E"/>
    <w:rsid w:val="0029781D"/>
    <w:rsid w:val="002A466F"/>
    <w:rsid w:val="002A5094"/>
    <w:rsid w:val="002C56F3"/>
    <w:rsid w:val="002C6DB7"/>
    <w:rsid w:val="002D2556"/>
    <w:rsid w:val="002D5009"/>
    <w:rsid w:val="002D5C6E"/>
    <w:rsid w:val="002F1B27"/>
    <w:rsid w:val="002F55BA"/>
    <w:rsid w:val="00305F8C"/>
    <w:rsid w:val="003069CA"/>
    <w:rsid w:val="00331839"/>
    <w:rsid w:val="00333F55"/>
    <w:rsid w:val="00351870"/>
    <w:rsid w:val="00354B6D"/>
    <w:rsid w:val="00360FE0"/>
    <w:rsid w:val="0038229B"/>
    <w:rsid w:val="0038499E"/>
    <w:rsid w:val="003944AC"/>
    <w:rsid w:val="003A1A54"/>
    <w:rsid w:val="003A799D"/>
    <w:rsid w:val="003B0F9D"/>
    <w:rsid w:val="003C474C"/>
    <w:rsid w:val="003E05F7"/>
    <w:rsid w:val="003E116A"/>
    <w:rsid w:val="003E208B"/>
    <w:rsid w:val="003E5313"/>
    <w:rsid w:val="003F04A4"/>
    <w:rsid w:val="003F4F4A"/>
    <w:rsid w:val="00405448"/>
    <w:rsid w:val="00405833"/>
    <w:rsid w:val="00405B40"/>
    <w:rsid w:val="00410C48"/>
    <w:rsid w:val="00446CA0"/>
    <w:rsid w:val="00466E76"/>
    <w:rsid w:val="00475D84"/>
    <w:rsid w:val="004A09AF"/>
    <w:rsid w:val="004A118A"/>
    <w:rsid w:val="004A781C"/>
    <w:rsid w:val="004B7ED0"/>
    <w:rsid w:val="004D10EA"/>
    <w:rsid w:val="004E3082"/>
    <w:rsid w:val="00546DA5"/>
    <w:rsid w:val="00551C2E"/>
    <w:rsid w:val="005525A5"/>
    <w:rsid w:val="00571779"/>
    <w:rsid w:val="0057534D"/>
    <w:rsid w:val="00596EFE"/>
    <w:rsid w:val="005A05D0"/>
    <w:rsid w:val="005B50C6"/>
    <w:rsid w:val="005D273E"/>
    <w:rsid w:val="005D4276"/>
    <w:rsid w:val="005E727E"/>
    <w:rsid w:val="005E7741"/>
    <w:rsid w:val="005F1F7F"/>
    <w:rsid w:val="005F31D2"/>
    <w:rsid w:val="00604A1B"/>
    <w:rsid w:val="006072DC"/>
    <w:rsid w:val="00627A40"/>
    <w:rsid w:val="00637D47"/>
    <w:rsid w:val="00637FC9"/>
    <w:rsid w:val="00647416"/>
    <w:rsid w:val="006613FF"/>
    <w:rsid w:val="006627BB"/>
    <w:rsid w:val="00664F5B"/>
    <w:rsid w:val="00673FB0"/>
    <w:rsid w:val="00674A26"/>
    <w:rsid w:val="00692D34"/>
    <w:rsid w:val="00694411"/>
    <w:rsid w:val="006963CD"/>
    <w:rsid w:val="00696D47"/>
    <w:rsid w:val="006A5FCF"/>
    <w:rsid w:val="006B64E8"/>
    <w:rsid w:val="006C517D"/>
    <w:rsid w:val="006F0350"/>
    <w:rsid w:val="006F1CAF"/>
    <w:rsid w:val="007067F4"/>
    <w:rsid w:val="007124A9"/>
    <w:rsid w:val="00712B8F"/>
    <w:rsid w:val="00712C78"/>
    <w:rsid w:val="00717503"/>
    <w:rsid w:val="00730E90"/>
    <w:rsid w:val="007374B2"/>
    <w:rsid w:val="0074194F"/>
    <w:rsid w:val="00745AD8"/>
    <w:rsid w:val="00754BC9"/>
    <w:rsid w:val="007604A0"/>
    <w:rsid w:val="00763BC8"/>
    <w:rsid w:val="00786220"/>
    <w:rsid w:val="007A5634"/>
    <w:rsid w:val="007B10E1"/>
    <w:rsid w:val="007B3CA2"/>
    <w:rsid w:val="007B5C24"/>
    <w:rsid w:val="007B6DD7"/>
    <w:rsid w:val="007C3D6A"/>
    <w:rsid w:val="007C795D"/>
    <w:rsid w:val="007E351E"/>
    <w:rsid w:val="007E3B39"/>
    <w:rsid w:val="0080079E"/>
    <w:rsid w:val="00801FF7"/>
    <w:rsid w:val="008145D5"/>
    <w:rsid w:val="00814DBD"/>
    <w:rsid w:val="0081600F"/>
    <w:rsid w:val="0082463A"/>
    <w:rsid w:val="00830FE6"/>
    <w:rsid w:val="0083466D"/>
    <w:rsid w:val="008354A3"/>
    <w:rsid w:val="00840057"/>
    <w:rsid w:val="00840DE5"/>
    <w:rsid w:val="00852E0A"/>
    <w:rsid w:val="00860370"/>
    <w:rsid w:val="00860883"/>
    <w:rsid w:val="008B2D41"/>
    <w:rsid w:val="008B7F1A"/>
    <w:rsid w:val="008E33F1"/>
    <w:rsid w:val="008F58A5"/>
    <w:rsid w:val="009003F9"/>
    <w:rsid w:val="00914C77"/>
    <w:rsid w:val="009175BC"/>
    <w:rsid w:val="0092450B"/>
    <w:rsid w:val="00931D8C"/>
    <w:rsid w:val="00932E7F"/>
    <w:rsid w:val="00934166"/>
    <w:rsid w:val="00944227"/>
    <w:rsid w:val="00947BA0"/>
    <w:rsid w:val="00956AA4"/>
    <w:rsid w:val="00967E96"/>
    <w:rsid w:val="00974A41"/>
    <w:rsid w:val="00983ADE"/>
    <w:rsid w:val="009A58BE"/>
    <w:rsid w:val="009A6CCC"/>
    <w:rsid w:val="009A7270"/>
    <w:rsid w:val="009B238B"/>
    <w:rsid w:val="009B6FD0"/>
    <w:rsid w:val="009C4202"/>
    <w:rsid w:val="009C6F33"/>
    <w:rsid w:val="009C7941"/>
    <w:rsid w:val="009D3E98"/>
    <w:rsid w:val="009E060C"/>
    <w:rsid w:val="009E4A8E"/>
    <w:rsid w:val="009E6674"/>
    <w:rsid w:val="009F5B02"/>
    <w:rsid w:val="00A0015A"/>
    <w:rsid w:val="00A07EFC"/>
    <w:rsid w:val="00A125F2"/>
    <w:rsid w:val="00A13918"/>
    <w:rsid w:val="00A142B5"/>
    <w:rsid w:val="00A20825"/>
    <w:rsid w:val="00A22FB5"/>
    <w:rsid w:val="00A42796"/>
    <w:rsid w:val="00A52DF8"/>
    <w:rsid w:val="00A543E1"/>
    <w:rsid w:val="00A645E6"/>
    <w:rsid w:val="00A6728A"/>
    <w:rsid w:val="00A85A7F"/>
    <w:rsid w:val="00A87A40"/>
    <w:rsid w:val="00A87AF8"/>
    <w:rsid w:val="00A92688"/>
    <w:rsid w:val="00A96D9E"/>
    <w:rsid w:val="00A97568"/>
    <w:rsid w:val="00AA1000"/>
    <w:rsid w:val="00AA25A5"/>
    <w:rsid w:val="00AB2BB3"/>
    <w:rsid w:val="00AB3C99"/>
    <w:rsid w:val="00AB5EF7"/>
    <w:rsid w:val="00AD02AB"/>
    <w:rsid w:val="00AD1030"/>
    <w:rsid w:val="00AF671A"/>
    <w:rsid w:val="00B04B22"/>
    <w:rsid w:val="00B218A1"/>
    <w:rsid w:val="00B255BD"/>
    <w:rsid w:val="00B34683"/>
    <w:rsid w:val="00B4511A"/>
    <w:rsid w:val="00B57DED"/>
    <w:rsid w:val="00B64899"/>
    <w:rsid w:val="00B662E3"/>
    <w:rsid w:val="00B71127"/>
    <w:rsid w:val="00B7647B"/>
    <w:rsid w:val="00B768A0"/>
    <w:rsid w:val="00B852E2"/>
    <w:rsid w:val="00B876A5"/>
    <w:rsid w:val="00B920F2"/>
    <w:rsid w:val="00B93068"/>
    <w:rsid w:val="00B97112"/>
    <w:rsid w:val="00BA4270"/>
    <w:rsid w:val="00BA79C8"/>
    <w:rsid w:val="00BE412C"/>
    <w:rsid w:val="00BF184B"/>
    <w:rsid w:val="00BF762B"/>
    <w:rsid w:val="00C02EF6"/>
    <w:rsid w:val="00C11D60"/>
    <w:rsid w:val="00C133CF"/>
    <w:rsid w:val="00C22E39"/>
    <w:rsid w:val="00C24B4D"/>
    <w:rsid w:val="00C41628"/>
    <w:rsid w:val="00C67BF4"/>
    <w:rsid w:val="00C83F55"/>
    <w:rsid w:val="00C87DAE"/>
    <w:rsid w:val="00C930EE"/>
    <w:rsid w:val="00CA47A9"/>
    <w:rsid w:val="00CA721E"/>
    <w:rsid w:val="00CB3C0F"/>
    <w:rsid w:val="00CC2AA3"/>
    <w:rsid w:val="00CC3DBB"/>
    <w:rsid w:val="00CE4768"/>
    <w:rsid w:val="00CE50CF"/>
    <w:rsid w:val="00CE685F"/>
    <w:rsid w:val="00CF4ECD"/>
    <w:rsid w:val="00D00E2E"/>
    <w:rsid w:val="00D02936"/>
    <w:rsid w:val="00D21583"/>
    <w:rsid w:val="00D21996"/>
    <w:rsid w:val="00D2260A"/>
    <w:rsid w:val="00D43310"/>
    <w:rsid w:val="00D437B3"/>
    <w:rsid w:val="00D46DBE"/>
    <w:rsid w:val="00D61912"/>
    <w:rsid w:val="00D63E97"/>
    <w:rsid w:val="00D64B98"/>
    <w:rsid w:val="00D705D7"/>
    <w:rsid w:val="00D85D9B"/>
    <w:rsid w:val="00D860F4"/>
    <w:rsid w:val="00D949ED"/>
    <w:rsid w:val="00DA04D7"/>
    <w:rsid w:val="00DA3026"/>
    <w:rsid w:val="00DA4DDC"/>
    <w:rsid w:val="00DB453C"/>
    <w:rsid w:val="00DC0FF4"/>
    <w:rsid w:val="00DC303F"/>
    <w:rsid w:val="00DD17FF"/>
    <w:rsid w:val="00DE254A"/>
    <w:rsid w:val="00DF28A4"/>
    <w:rsid w:val="00DF769F"/>
    <w:rsid w:val="00E0323B"/>
    <w:rsid w:val="00E11722"/>
    <w:rsid w:val="00E20F03"/>
    <w:rsid w:val="00E34805"/>
    <w:rsid w:val="00E508B6"/>
    <w:rsid w:val="00E66735"/>
    <w:rsid w:val="00E71977"/>
    <w:rsid w:val="00E83BFE"/>
    <w:rsid w:val="00E910D4"/>
    <w:rsid w:val="00E92446"/>
    <w:rsid w:val="00E945AA"/>
    <w:rsid w:val="00EB6B04"/>
    <w:rsid w:val="00EC32BF"/>
    <w:rsid w:val="00ED1BC0"/>
    <w:rsid w:val="00ED39A9"/>
    <w:rsid w:val="00ED5188"/>
    <w:rsid w:val="00EE1700"/>
    <w:rsid w:val="00EE196E"/>
    <w:rsid w:val="00EF37D4"/>
    <w:rsid w:val="00F014C4"/>
    <w:rsid w:val="00F2074D"/>
    <w:rsid w:val="00F20E7D"/>
    <w:rsid w:val="00F32D0A"/>
    <w:rsid w:val="00F350B0"/>
    <w:rsid w:val="00F37A7B"/>
    <w:rsid w:val="00F44748"/>
    <w:rsid w:val="00F56B52"/>
    <w:rsid w:val="00F64C89"/>
    <w:rsid w:val="00F710E2"/>
    <w:rsid w:val="00F732E9"/>
    <w:rsid w:val="00F749B5"/>
    <w:rsid w:val="00F774CE"/>
    <w:rsid w:val="00F7792E"/>
    <w:rsid w:val="00F86BE2"/>
    <w:rsid w:val="00FA403B"/>
    <w:rsid w:val="00FA4EEF"/>
    <w:rsid w:val="00FA5853"/>
    <w:rsid w:val="00FD3ECC"/>
    <w:rsid w:val="00FD4B7D"/>
    <w:rsid w:val="00FD4E5C"/>
    <w:rsid w:val="00FD7C6C"/>
    <w:rsid w:val="00FE0692"/>
    <w:rsid w:val="00FE0817"/>
    <w:rsid w:val="00FE53EE"/>
    <w:rsid w:val="00FF252B"/>
    <w:rsid w:val="00FF4189"/>
    <w:rsid w:val="00FF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1520C-F785-4308-931C-735A84BF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71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AF671A"/>
    <w:rPr>
      <w:color w:val="0000FF"/>
      <w:u w:val="single"/>
    </w:rPr>
  </w:style>
  <w:style w:type="character" w:styleId="CommentReference">
    <w:name w:val="annotation reference"/>
    <w:basedOn w:val="DefaultParagraphFont"/>
    <w:uiPriority w:val="99"/>
    <w:semiHidden/>
    <w:unhideWhenUsed/>
    <w:rsid w:val="004B7ED0"/>
    <w:rPr>
      <w:sz w:val="16"/>
      <w:szCs w:val="16"/>
    </w:rPr>
  </w:style>
  <w:style w:type="paragraph" w:styleId="CommentText">
    <w:name w:val="annotation text"/>
    <w:basedOn w:val="Normal"/>
    <w:link w:val="CommentTextChar"/>
    <w:uiPriority w:val="99"/>
    <w:semiHidden/>
    <w:unhideWhenUsed/>
    <w:rsid w:val="004B7ED0"/>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B7ED0"/>
    <w:rPr>
      <w:sz w:val="20"/>
      <w:szCs w:val="20"/>
      <w:lang w:val="en-US"/>
    </w:rPr>
  </w:style>
  <w:style w:type="paragraph" w:styleId="Caption">
    <w:name w:val="caption"/>
    <w:basedOn w:val="Normal"/>
    <w:next w:val="Normal"/>
    <w:uiPriority w:val="35"/>
    <w:unhideWhenUsed/>
    <w:qFormat/>
    <w:rsid w:val="004B7ED0"/>
    <w:pPr>
      <w:spacing w:line="240" w:lineRule="auto"/>
    </w:pPr>
    <w:rPr>
      <w:b/>
      <w:bCs/>
      <w:color w:val="4F81BD" w:themeColor="accent1"/>
      <w:sz w:val="18"/>
      <w:szCs w:val="18"/>
      <w:lang w:val="en-US"/>
    </w:rPr>
  </w:style>
  <w:style w:type="table" w:customStyle="1" w:styleId="TableGrid4">
    <w:name w:val="Table Grid4"/>
    <w:basedOn w:val="TableNormal"/>
    <w:next w:val="TableGrid"/>
    <w:uiPriority w:val="59"/>
    <w:rsid w:val="004B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B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7ED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4B7ED0"/>
    <w:rPr>
      <w:rFonts w:ascii="Tahoma" w:hAnsi="Tahoma" w:cs="Tahoma"/>
      <w:sz w:val="16"/>
      <w:szCs w:val="16"/>
      <w:lang w:val="en-US"/>
    </w:rPr>
  </w:style>
  <w:style w:type="table" w:customStyle="1" w:styleId="TableGrid1">
    <w:name w:val="Table Grid1"/>
    <w:basedOn w:val="TableNormal"/>
    <w:next w:val="TableGrid"/>
    <w:uiPriority w:val="59"/>
    <w:rsid w:val="004B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E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7ED0"/>
  </w:style>
  <w:style w:type="paragraph" w:styleId="Footer">
    <w:name w:val="footer"/>
    <w:basedOn w:val="Normal"/>
    <w:link w:val="FooterChar"/>
    <w:uiPriority w:val="99"/>
    <w:unhideWhenUsed/>
    <w:rsid w:val="004B7E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7ED0"/>
  </w:style>
  <w:style w:type="table" w:customStyle="1" w:styleId="TableGrid6">
    <w:name w:val="Table Grid6"/>
    <w:basedOn w:val="TableNormal"/>
    <w:next w:val="TableGrid"/>
    <w:uiPriority w:val="59"/>
    <w:rsid w:val="003B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08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5729">
      <w:bodyDiv w:val="1"/>
      <w:marLeft w:val="0"/>
      <w:marRight w:val="0"/>
      <w:marTop w:val="0"/>
      <w:marBottom w:val="0"/>
      <w:divBdr>
        <w:top w:val="none" w:sz="0" w:space="0" w:color="auto"/>
        <w:left w:val="none" w:sz="0" w:space="0" w:color="auto"/>
        <w:bottom w:val="none" w:sz="0" w:space="0" w:color="auto"/>
        <w:right w:val="none" w:sz="0" w:space="0" w:color="auto"/>
      </w:divBdr>
    </w:div>
    <w:div w:id="77992242">
      <w:bodyDiv w:val="1"/>
      <w:marLeft w:val="0"/>
      <w:marRight w:val="0"/>
      <w:marTop w:val="0"/>
      <w:marBottom w:val="0"/>
      <w:divBdr>
        <w:top w:val="none" w:sz="0" w:space="0" w:color="auto"/>
        <w:left w:val="none" w:sz="0" w:space="0" w:color="auto"/>
        <w:bottom w:val="none" w:sz="0" w:space="0" w:color="auto"/>
        <w:right w:val="none" w:sz="0" w:space="0" w:color="auto"/>
      </w:divBdr>
    </w:div>
    <w:div w:id="159738634">
      <w:bodyDiv w:val="1"/>
      <w:marLeft w:val="0"/>
      <w:marRight w:val="0"/>
      <w:marTop w:val="0"/>
      <w:marBottom w:val="0"/>
      <w:divBdr>
        <w:top w:val="none" w:sz="0" w:space="0" w:color="auto"/>
        <w:left w:val="none" w:sz="0" w:space="0" w:color="auto"/>
        <w:bottom w:val="none" w:sz="0" w:space="0" w:color="auto"/>
        <w:right w:val="none" w:sz="0" w:space="0" w:color="auto"/>
      </w:divBdr>
    </w:div>
    <w:div w:id="225722101">
      <w:bodyDiv w:val="1"/>
      <w:marLeft w:val="0"/>
      <w:marRight w:val="0"/>
      <w:marTop w:val="0"/>
      <w:marBottom w:val="0"/>
      <w:divBdr>
        <w:top w:val="none" w:sz="0" w:space="0" w:color="auto"/>
        <w:left w:val="none" w:sz="0" w:space="0" w:color="auto"/>
        <w:bottom w:val="none" w:sz="0" w:space="0" w:color="auto"/>
        <w:right w:val="none" w:sz="0" w:space="0" w:color="auto"/>
      </w:divBdr>
    </w:div>
    <w:div w:id="1046491968">
      <w:bodyDiv w:val="1"/>
      <w:marLeft w:val="0"/>
      <w:marRight w:val="0"/>
      <w:marTop w:val="0"/>
      <w:marBottom w:val="0"/>
      <w:divBdr>
        <w:top w:val="none" w:sz="0" w:space="0" w:color="auto"/>
        <w:left w:val="none" w:sz="0" w:space="0" w:color="auto"/>
        <w:bottom w:val="none" w:sz="0" w:space="0" w:color="auto"/>
        <w:right w:val="none" w:sz="0" w:space="0" w:color="auto"/>
      </w:divBdr>
    </w:div>
    <w:div w:id="1301880645">
      <w:bodyDiv w:val="1"/>
      <w:marLeft w:val="0"/>
      <w:marRight w:val="0"/>
      <w:marTop w:val="0"/>
      <w:marBottom w:val="0"/>
      <w:divBdr>
        <w:top w:val="none" w:sz="0" w:space="0" w:color="auto"/>
        <w:left w:val="none" w:sz="0" w:space="0" w:color="auto"/>
        <w:bottom w:val="none" w:sz="0" w:space="0" w:color="auto"/>
        <w:right w:val="none" w:sz="0" w:space="0" w:color="auto"/>
      </w:divBdr>
    </w:div>
    <w:div w:id="1470051551">
      <w:bodyDiv w:val="1"/>
      <w:marLeft w:val="0"/>
      <w:marRight w:val="0"/>
      <w:marTop w:val="0"/>
      <w:marBottom w:val="0"/>
      <w:divBdr>
        <w:top w:val="none" w:sz="0" w:space="0" w:color="auto"/>
        <w:left w:val="none" w:sz="0" w:space="0" w:color="auto"/>
        <w:bottom w:val="none" w:sz="0" w:space="0" w:color="auto"/>
        <w:right w:val="none" w:sz="0" w:space="0" w:color="auto"/>
      </w:divBdr>
    </w:div>
    <w:div w:id="1786583895">
      <w:bodyDiv w:val="1"/>
      <w:marLeft w:val="0"/>
      <w:marRight w:val="0"/>
      <w:marTop w:val="0"/>
      <w:marBottom w:val="0"/>
      <w:divBdr>
        <w:top w:val="none" w:sz="0" w:space="0" w:color="auto"/>
        <w:left w:val="none" w:sz="0" w:space="0" w:color="auto"/>
        <w:bottom w:val="none" w:sz="0" w:space="0" w:color="auto"/>
        <w:right w:val="none" w:sz="0" w:space="0" w:color="auto"/>
      </w:divBdr>
    </w:div>
    <w:div w:id="1925457197">
      <w:bodyDiv w:val="1"/>
      <w:marLeft w:val="0"/>
      <w:marRight w:val="0"/>
      <w:marTop w:val="0"/>
      <w:marBottom w:val="0"/>
      <w:divBdr>
        <w:top w:val="none" w:sz="0" w:space="0" w:color="auto"/>
        <w:left w:val="none" w:sz="0" w:space="0" w:color="auto"/>
        <w:bottom w:val="none" w:sz="0" w:space="0" w:color="auto"/>
        <w:right w:val="none" w:sz="0" w:space="0" w:color="auto"/>
      </w:divBdr>
    </w:div>
    <w:div w:id="209493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rhs.org" TargetMode="External"/><Relationship Id="rId3" Type="http://schemas.openxmlformats.org/officeDocument/2006/relationships/settings" Target="settings.xml"/><Relationship Id="rId7" Type="http://schemas.openxmlformats.org/officeDocument/2006/relationships/hyperlink" Target="http://edepot.wur.nl/1681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90FF0390</Template>
  <TotalTime>0</TotalTime>
  <Pages>4</Pages>
  <Words>1667</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_</vt:lpstr>
    </vt:vector>
  </TitlesOfParts>
  <Company>Utrecht University</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Borlée, F. (Floor)</dc:creator>
  <cp:lastModifiedBy>Smit, L.A. (Lidwien)</cp:lastModifiedBy>
  <cp:revision>2</cp:revision>
  <cp:lastPrinted>2017-09-29T11:00:00Z</cp:lastPrinted>
  <dcterms:created xsi:type="dcterms:W3CDTF">2018-12-11T14:35:00Z</dcterms:created>
  <dcterms:modified xsi:type="dcterms:W3CDTF">2018-12-11T14:35:00Z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13272</vt:lpwstr>
  </property>
  <property fmtid="{D5CDD505-2E9C-101B-9397-08002B2CF9AE}" pid="3" name="WnCSubscriberId">
    <vt:lpwstr>3815</vt:lpwstr>
  </property>
  <property fmtid="{D5CDD505-2E9C-101B-9397-08002B2CF9AE}" pid="4" name="WnCOutputStyleId">
    <vt:lpwstr>165</vt:lpwstr>
  </property>
  <property fmtid="{D5CDD505-2E9C-101B-9397-08002B2CF9AE}" pid="5" name="RWProductId">
    <vt:lpwstr>WnC</vt:lpwstr>
  </property>
  <property fmtid="{D5CDD505-2E9C-101B-9397-08002B2CF9AE}" pid="6" name="WnC4Folder">
    <vt:lpwstr>Documents///Supplementary file 03082018</vt:lpwstr>
  </property>
</Properties>
</file>