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FF9" w:rsidRDefault="000D2FF9" w:rsidP="000D2FF9">
      <w:pPr>
        <w:spacing w:line="480" w:lineRule="auto"/>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eAppendix</w:t>
      </w:r>
      <w:proofErr w:type="spellEnd"/>
      <w:proofErr w:type="gramEnd"/>
    </w:p>
    <w:p w:rsidR="00C605F3" w:rsidRPr="001C008F" w:rsidRDefault="00C605F3" w:rsidP="00C605F3">
      <w:pPr>
        <w:spacing w:line="480" w:lineRule="auto"/>
        <w:rPr>
          <w:rFonts w:ascii="Times New Roman" w:hAnsi="Times New Roman" w:cs="Times New Roman"/>
          <w:b/>
          <w:sz w:val="24"/>
          <w:szCs w:val="24"/>
        </w:rPr>
      </w:pPr>
      <w:r>
        <w:rPr>
          <w:rFonts w:ascii="Times New Roman" w:hAnsi="Times New Roman" w:cs="Times New Roman"/>
          <w:b/>
          <w:sz w:val="24"/>
          <w:szCs w:val="24"/>
        </w:rPr>
        <w:t>T</w:t>
      </w:r>
      <w:r w:rsidRPr="001C008F">
        <w:rPr>
          <w:rFonts w:ascii="Times New Roman" w:hAnsi="Times New Roman" w:cs="Times New Roman"/>
          <w:b/>
          <w:sz w:val="24"/>
          <w:szCs w:val="24"/>
        </w:rPr>
        <w:t>he impact of measurement error</w:t>
      </w:r>
      <w:r>
        <w:rPr>
          <w:rFonts w:ascii="Times New Roman" w:hAnsi="Times New Roman" w:cs="Times New Roman"/>
          <w:b/>
          <w:sz w:val="24"/>
          <w:szCs w:val="24"/>
        </w:rPr>
        <w:t xml:space="preserve"> in modelled ambient particles exposures </w:t>
      </w:r>
      <w:r w:rsidRPr="001C008F">
        <w:rPr>
          <w:rFonts w:ascii="Times New Roman" w:hAnsi="Times New Roman" w:cs="Times New Roman"/>
          <w:b/>
          <w:sz w:val="24"/>
          <w:szCs w:val="24"/>
        </w:rPr>
        <w:t>on health effect estimates in multi-level analysis: a simulation study.</w:t>
      </w:r>
    </w:p>
    <w:p w:rsidR="00A62149" w:rsidRPr="001C008F" w:rsidRDefault="00A62149" w:rsidP="00A62149">
      <w:pPr>
        <w:autoSpaceDE w:val="0"/>
        <w:autoSpaceDN w:val="0"/>
        <w:adjustRightInd w:val="0"/>
        <w:spacing w:after="0" w:line="480" w:lineRule="auto"/>
        <w:rPr>
          <w:rFonts w:ascii="Times New Roman" w:hAnsi="Times New Roman" w:cs="Times New Roman"/>
          <w:sz w:val="24"/>
          <w:szCs w:val="24"/>
        </w:rPr>
      </w:pPr>
      <w:proofErr w:type="spellStart"/>
      <w:r w:rsidRPr="001C008F">
        <w:rPr>
          <w:rFonts w:ascii="Times New Roman" w:hAnsi="Times New Roman" w:cs="Times New Roman"/>
          <w:sz w:val="24"/>
          <w:szCs w:val="24"/>
        </w:rPr>
        <w:t>Evangelia</w:t>
      </w:r>
      <w:proofErr w:type="spellEnd"/>
      <w:r w:rsidRPr="001C008F">
        <w:rPr>
          <w:rFonts w:ascii="Times New Roman" w:hAnsi="Times New Roman" w:cs="Times New Roman"/>
          <w:sz w:val="24"/>
          <w:szCs w:val="24"/>
        </w:rPr>
        <w:t xml:space="preserve"> Samoli</w:t>
      </w:r>
      <w:r w:rsidRPr="001C008F">
        <w:rPr>
          <w:rFonts w:ascii="Times New Roman" w:hAnsi="Times New Roman" w:cs="Times New Roman"/>
          <w:sz w:val="24"/>
          <w:szCs w:val="24"/>
          <w:vertAlign w:val="superscript"/>
        </w:rPr>
        <w:t>1</w:t>
      </w:r>
      <w:r w:rsidRPr="001C008F">
        <w:rPr>
          <w:rFonts w:ascii="Times New Roman" w:hAnsi="Times New Roman" w:cs="Times New Roman"/>
          <w:sz w:val="24"/>
          <w:szCs w:val="24"/>
        </w:rPr>
        <w:t>, Barbara K. Butland</w:t>
      </w:r>
      <w:r w:rsidRPr="001C008F">
        <w:rPr>
          <w:rFonts w:ascii="Times New Roman" w:hAnsi="Times New Roman" w:cs="Times New Roman"/>
          <w:sz w:val="24"/>
          <w:szCs w:val="24"/>
          <w:vertAlign w:val="superscript"/>
        </w:rPr>
        <w:t>2</w:t>
      </w:r>
      <w:r w:rsidR="00A117CE">
        <w:rPr>
          <w:rFonts w:ascii="Times New Roman" w:hAnsi="Times New Roman" w:cs="Times New Roman"/>
          <w:sz w:val="24"/>
          <w:szCs w:val="24"/>
        </w:rPr>
        <w:t>, Sophia Rodopoulou</w:t>
      </w:r>
      <w:r w:rsidRPr="001C008F">
        <w:rPr>
          <w:rFonts w:ascii="Times New Roman" w:hAnsi="Times New Roman" w:cs="Times New Roman"/>
          <w:sz w:val="24"/>
          <w:szCs w:val="24"/>
          <w:vertAlign w:val="superscript"/>
        </w:rPr>
        <w:t>1</w:t>
      </w:r>
      <w:r w:rsidRPr="001C008F">
        <w:rPr>
          <w:rFonts w:ascii="Times New Roman" w:hAnsi="Times New Roman" w:cs="Times New Roman"/>
          <w:sz w:val="24"/>
          <w:szCs w:val="24"/>
        </w:rPr>
        <w:t>, Richard W Atkinson</w:t>
      </w:r>
      <w:r w:rsidRPr="001C008F">
        <w:rPr>
          <w:rFonts w:ascii="Times New Roman" w:hAnsi="Times New Roman" w:cs="Times New Roman"/>
          <w:sz w:val="24"/>
          <w:szCs w:val="24"/>
          <w:vertAlign w:val="superscript"/>
        </w:rPr>
        <w:t>2</w:t>
      </w:r>
      <w:r w:rsidRPr="001C008F">
        <w:rPr>
          <w:rFonts w:ascii="Times New Roman" w:hAnsi="Times New Roman" w:cs="Times New Roman"/>
          <w:sz w:val="24"/>
          <w:szCs w:val="24"/>
        </w:rPr>
        <w:t>, Benjamin Barratt</w:t>
      </w:r>
      <w:r w:rsidRPr="001C008F">
        <w:rPr>
          <w:rFonts w:ascii="Times New Roman" w:hAnsi="Times New Roman" w:cs="Times New Roman"/>
          <w:sz w:val="24"/>
          <w:szCs w:val="24"/>
          <w:vertAlign w:val="superscript"/>
        </w:rPr>
        <w:t>3,4</w:t>
      </w:r>
      <w:r w:rsidRPr="001C008F">
        <w:rPr>
          <w:rFonts w:ascii="Times New Roman" w:hAnsi="Times New Roman" w:cs="Times New Roman"/>
          <w:sz w:val="24"/>
          <w:szCs w:val="24"/>
        </w:rPr>
        <w:t>, Sean D Beevers</w:t>
      </w:r>
      <w:r w:rsidRPr="001C008F">
        <w:rPr>
          <w:rFonts w:ascii="Times New Roman" w:hAnsi="Times New Roman" w:cs="Times New Roman"/>
          <w:sz w:val="24"/>
          <w:szCs w:val="24"/>
          <w:vertAlign w:val="superscript"/>
        </w:rPr>
        <w:t>3</w:t>
      </w:r>
      <w:r w:rsidRPr="001C008F">
        <w:rPr>
          <w:rFonts w:ascii="Times New Roman" w:hAnsi="Times New Roman" w:cs="Times New Roman"/>
          <w:sz w:val="24"/>
          <w:szCs w:val="24"/>
        </w:rPr>
        <w:t xml:space="preserve">,  </w:t>
      </w:r>
      <w:r>
        <w:rPr>
          <w:rFonts w:ascii="Times New Roman" w:hAnsi="Times New Roman" w:cs="Times New Roman"/>
          <w:sz w:val="24"/>
          <w:szCs w:val="24"/>
        </w:rPr>
        <w:t>Andrew Beddows</w:t>
      </w:r>
      <w:r w:rsidRPr="006C6315">
        <w:rPr>
          <w:rFonts w:ascii="Times New Roman" w:hAnsi="Times New Roman" w:cs="Times New Roman"/>
          <w:sz w:val="24"/>
          <w:szCs w:val="24"/>
          <w:vertAlign w:val="superscript"/>
        </w:rPr>
        <w:t>3</w:t>
      </w:r>
      <w:r>
        <w:rPr>
          <w:rFonts w:ascii="Times New Roman" w:hAnsi="Times New Roman" w:cs="Times New Roman"/>
          <w:sz w:val="24"/>
          <w:szCs w:val="24"/>
        </w:rPr>
        <w:t xml:space="preserve">, </w:t>
      </w:r>
      <w:proofErr w:type="spellStart"/>
      <w:r w:rsidRPr="001C008F">
        <w:rPr>
          <w:rFonts w:ascii="Times New Roman" w:hAnsi="Times New Roman" w:cs="Times New Roman"/>
          <w:sz w:val="24"/>
          <w:szCs w:val="24"/>
        </w:rPr>
        <w:t>Konstantina</w:t>
      </w:r>
      <w:proofErr w:type="spellEnd"/>
      <w:r w:rsidRPr="001C008F">
        <w:rPr>
          <w:rFonts w:ascii="Times New Roman" w:hAnsi="Times New Roman" w:cs="Times New Roman"/>
          <w:sz w:val="24"/>
          <w:szCs w:val="24"/>
        </w:rPr>
        <w:t xml:space="preserve"> Dimakopoulou</w:t>
      </w:r>
      <w:r w:rsidRPr="001C008F">
        <w:rPr>
          <w:rFonts w:ascii="Times New Roman" w:hAnsi="Times New Roman" w:cs="Times New Roman"/>
          <w:sz w:val="24"/>
          <w:szCs w:val="24"/>
          <w:vertAlign w:val="superscript"/>
        </w:rPr>
        <w:t>1</w:t>
      </w:r>
      <w:r>
        <w:rPr>
          <w:rFonts w:ascii="Times New Roman" w:hAnsi="Times New Roman" w:cs="Times New Roman"/>
          <w:sz w:val="24"/>
          <w:szCs w:val="24"/>
        </w:rPr>
        <w:t>,</w:t>
      </w:r>
      <w:r w:rsidRPr="001C008F">
        <w:rPr>
          <w:rFonts w:ascii="Times New Roman" w:hAnsi="Times New Roman" w:cs="Times New Roman"/>
          <w:sz w:val="24"/>
          <w:szCs w:val="24"/>
        </w:rPr>
        <w:t>Joel D S</w:t>
      </w:r>
      <w:r>
        <w:rPr>
          <w:rFonts w:ascii="Times New Roman" w:hAnsi="Times New Roman" w:cs="Times New Roman"/>
          <w:sz w:val="24"/>
          <w:szCs w:val="24"/>
        </w:rPr>
        <w:t>ch</w:t>
      </w:r>
      <w:r w:rsidRPr="001C008F">
        <w:rPr>
          <w:rFonts w:ascii="Times New Roman" w:hAnsi="Times New Roman" w:cs="Times New Roman"/>
          <w:sz w:val="24"/>
          <w:szCs w:val="24"/>
        </w:rPr>
        <w:t>wartz</w:t>
      </w:r>
      <w:r>
        <w:rPr>
          <w:rFonts w:ascii="Times New Roman" w:hAnsi="Times New Roman" w:cs="Times New Roman"/>
          <w:sz w:val="24"/>
          <w:szCs w:val="24"/>
          <w:vertAlign w:val="superscript"/>
        </w:rPr>
        <w:t>5,6</w:t>
      </w:r>
      <w:r w:rsidRPr="001C008F">
        <w:rPr>
          <w:rFonts w:ascii="Times New Roman" w:hAnsi="Times New Roman" w:cs="Times New Roman"/>
          <w:sz w:val="24"/>
          <w:szCs w:val="24"/>
        </w:rPr>
        <w:t xml:space="preserve">, </w:t>
      </w:r>
      <w:proofErr w:type="spellStart"/>
      <w:r>
        <w:rPr>
          <w:rFonts w:ascii="Times New Roman" w:hAnsi="Times New Roman" w:cs="Times New Roman"/>
          <w:sz w:val="24"/>
          <w:szCs w:val="24"/>
        </w:rPr>
        <w:t>MahdiehDanesh</w:t>
      </w:r>
      <w:proofErr w:type="spellEnd"/>
      <w:r>
        <w:rPr>
          <w:rFonts w:ascii="Times New Roman" w:hAnsi="Times New Roman" w:cs="Times New Roman"/>
          <w:sz w:val="24"/>
          <w:szCs w:val="24"/>
        </w:rPr>
        <w:t xml:space="preserve"> Yazdi</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proofErr w:type="spellStart"/>
      <w:r w:rsidRPr="001C008F">
        <w:rPr>
          <w:rFonts w:ascii="Times New Roman" w:hAnsi="Times New Roman" w:cs="Times New Roman"/>
          <w:sz w:val="24"/>
          <w:szCs w:val="24"/>
        </w:rPr>
        <w:t>Klea</w:t>
      </w:r>
      <w:proofErr w:type="spellEnd"/>
      <w:r w:rsidRPr="001C008F">
        <w:rPr>
          <w:rFonts w:ascii="Times New Roman" w:hAnsi="Times New Roman" w:cs="Times New Roman"/>
          <w:sz w:val="24"/>
          <w:szCs w:val="24"/>
        </w:rPr>
        <w:t xml:space="preserve"> Katsouyanni</w:t>
      </w:r>
      <w:r>
        <w:rPr>
          <w:rFonts w:ascii="Times New Roman" w:hAnsi="Times New Roman" w:cs="Times New Roman"/>
          <w:sz w:val="24"/>
          <w:szCs w:val="24"/>
          <w:vertAlign w:val="superscript"/>
        </w:rPr>
        <w:t>1,4,7</w:t>
      </w:r>
    </w:p>
    <w:p w:rsidR="00A62149" w:rsidRPr="001C008F" w:rsidRDefault="00A62149" w:rsidP="00A62149">
      <w:pPr>
        <w:spacing w:line="480" w:lineRule="auto"/>
        <w:rPr>
          <w:rFonts w:ascii="Times New Roman" w:hAnsi="Times New Roman" w:cs="Times New Roman"/>
          <w:sz w:val="24"/>
          <w:szCs w:val="24"/>
        </w:rPr>
      </w:pPr>
    </w:p>
    <w:p w:rsidR="00A62149" w:rsidRPr="001C008F" w:rsidRDefault="00A62149" w:rsidP="00A62149">
      <w:pPr>
        <w:spacing w:line="480" w:lineRule="auto"/>
        <w:rPr>
          <w:rFonts w:ascii="Times New Roman" w:hAnsi="Times New Roman" w:cs="Times New Roman"/>
          <w:sz w:val="24"/>
          <w:szCs w:val="24"/>
        </w:rPr>
      </w:pPr>
      <w:r w:rsidRPr="001C008F">
        <w:rPr>
          <w:rFonts w:ascii="Times New Roman" w:hAnsi="Times New Roman" w:cs="Times New Roman"/>
          <w:sz w:val="24"/>
          <w:szCs w:val="24"/>
        </w:rPr>
        <w:t xml:space="preserve">1. Department of Hygiene, Epidemiology and Medical Statistics, Medical School, National and </w:t>
      </w:r>
      <w:proofErr w:type="spellStart"/>
      <w:r w:rsidRPr="001C008F">
        <w:rPr>
          <w:rFonts w:ascii="Times New Roman" w:hAnsi="Times New Roman" w:cs="Times New Roman"/>
          <w:sz w:val="24"/>
          <w:szCs w:val="24"/>
        </w:rPr>
        <w:t>Kapodistrian</w:t>
      </w:r>
      <w:proofErr w:type="spellEnd"/>
      <w:r w:rsidRPr="001C008F">
        <w:rPr>
          <w:rFonts w:ascii="Times New Roman" w:hAnsi="Times New Roman" w:cs="Times New Roman"/>
          <w:sz w:val="24"/>
          <w:szCs w:val="24"/>
        </w:rPr>
        <w:t xml:space="preserve"> University of Athens, Athens, Greece.</w:t>
      </w:r>
    </w:p>
    <w:p w:rsidR="00A62149" w:rsidRPr="001C008F" w:rsidRDefault="00A62149" w:rsidP="00A62149">
      <w:pPr>
        <w:spacing w:line="480" w:lineRule="auto"/>
        <w:rPr>
          <w:rFonts w:ascii="Times New Roman" w:hAnsi="Times New Roman" w:cs="Times New Roman"/>
          <w:sz w:val="24"/>
          <w:szCs w:val="24"/>
        </w:rPr>
      </w:pPr>
      <w:r w:rsidRPr="001C008F">
        <w:rPr>
          <w:rFonts w:ascii="Times New Roman" w:hAnsi="Times New Roman" w:cs="Times New Roman"/>
          <w:sz w:val="24"/>
          <w:szCs w:val="24"/>
        </w:rPr>
        <w:t>2. Population Health Research Institute, St George’s, University of London, London, UK.</w:t>
      </w:r>
    </w:p>
    <w:p w:rsidR="00A62149" w:rsidRPr="001C008F" w:rsidRDefault="00A62149" w:rsidP="00A62149">
      <w:pPr>
        <w:spacing w:line="480" w:lineRule="auto"/>
        <w:rPr>
          <w:rFonts w:ascii="Times New Roman" w:hAnsi="Times New Roman" w:cs="Times New Roman"/>
          <w:sz w:val="24"/>
          <w:szCs w:val="24"/>
        </w:rPr>
      </w:pPr>
      <w:r w:rsidRPr="001C008F">
        <w:rPr>
          <w:rFonts w:ascii="Times New Roman" w:hAnsi="Times New Roman" w:cs="Times New Roman"/>
          <w:sz w:val="24"/>
          <w:szCs w:val="24"/>
        </w:rPr>
        <w:lastRenderedPageBreak/>
        <w:t>3. MRC Centre for Environment and Health, King’s College London, London, UK.</w:t>
      </w:r>
    </w:p>
    <w:p w:rsidR="00A62149" w:rsidRDefault="00A62149" w:rsidP="00A62149">
      <w:pPr>
        <w:spacing w:line="480" w:lineRule="auto"/>
        <w:rPr>
          <w:rFonts w:ascii="Times New Roman" w:hAnsi="Times New Roman" w:cs="Times New Roman"/>
          <w:sz w:val="24"/>
          <w:szCs w:val="24"/>
        </w:rPr>
      </w:pPr>
      <w:r w:rsidRPr="001C008F">
        <w:rPr>
          <w:rFonts w:ascii="Times New Roman" w:hAnsi="Times New Roman" w:cs="Times New Roman"/>
          <w:sz w:val="24"/>
          <w:szCs w:val="24"/>
        </w:rPr>
        <w:t>4. National Institute for Health Research Health Protection Research Unit (NIHR HPRU) in Health Impact of Environmental Hazards, King’s College London, London, UK.</w:t>
      </w:r>
    </w:p>
    <w:p w:rsidR="00A62149" w:rsidRDefault="00A62149" w:rsidP="00A62149">
      <w:pPr>
        <w:spacing w:line="480" w:lineRule="auto"/>
        <w:rPr>
          <w:rFonts w:ascii="Times New Roman" w:hAnsi="Times New Roman" w:cs="Times New Roman"/>
          <w:sz w:val="24"/>
          <w:szCs w:val="24"/>
        </w:rPr>
      </w:pPr>
      <w:r>
        <w:rPr>
          <w:rFonts w:ascii="Times New Roman" w:hAnsi="Times New Roman" w:cs="Times New Roman"/>
          <w:sz w:val="24"/>
          <w:szCs w:val="24"/>
        </w:rPr>
        <w:t>5</w:t>
      </w:r>
      <w:r w:rsidRPr="001C008F">
        <w:rPr>
          <w:rFonts w:ascii="Times New Roman" w:hAnsi="Times New Roman" w:cs="Times New Roman"/>
          <w:sz w:val="24"/>
          <w:szCs w:val="24"/>
        </w:rPr>
        <w:t>. Department of Environmental Health, Harvard School of Public Health, Boston, Massachusetts, USA.</w:t>
      </w:r>
    </w:p>
    <w:p w:rsidR="00A62149" w:rsidRPr="001C008F" w:rsidRDefault="00A62149" w:rsidP="00A62149">
      <w:pPr>
        <w:spacing w:line="480" w:lineRule="auto"/>
        <w:rPr>
          <w:rFonts w:ascii="Times New Roman" w:hAnsi="Times New Roman" w:cs="Times New Roman"/>
          <w:sz w:val="24"/>
          <w:szCs w:val="24"/>
        </w:rPr>
      </w:pPr>
      <w:r>
        <w:rPr>
          <w:rFonts w:ascii="Times New Roman" w:hAnsi="Times New Roman" w:cs="Times New Roman"/>
          <w:sz w:val="24"/>
          <w:szCs w:val="24"/>
        </w:rPr>
        <w:t>6. Department of Epidemiology, Harvard School of Public Health, Boston, Massachusetts, USA.</w:t>
      </w:r>
    </w:p>
    <w:p w:rsidR="00A62149" w:rsidRPr="001C008F" w:rsidRDefault="00A62149" w:rsidP="00A62149">
      <w:pPr>
        <w:spacing w:line="480" w:lineRule="auto"/>
        <w:rPr>
          <w:rFonts w:ascii="Times New Roman" w:hAnsi="Times New Roman" w:cs="Times New Roman"/>
          <w:sz w:val="24"/>
          <w:szCs w:val="24"/>
        </w:rPr>
      </w:pPr>
      <w:r>
        <w:rPr>
          <w:rFonts w:ascii="Times New Roman" w:hAnsi="Times New Roman" w:cs="Times New Roman"/>
          <w:sz w:val="24"/>
          <w:szCs w:val="24"/>
        </w:rPr>
        <w:t>7</w:t>
      </w:r>
      <w:r w:rsidRPr="001C008F">
        <w:rPr>
          <w:rFonts w:ascii="Times New Roman" w:hAnsi="Times New Roman" w:cs="Times New Roman"/>
          <w:sz w:val="24"/>
          <w:szCs w:val="24"/>
        </w:rPr>
        <w:t>. School of Population Health and Environmental Sciences and MRC Centre for Environment and Health, King’s College London, London, UK.</w:t>
      </w:r>
    </w:p>
    <w:p w:rsidR="00A62149" w:rsidRPr="001C008F" w:rsidRDefault="00A62149" w:rsidP="00A62149">
      <w:pPr>
        <w:spacing w:line="480" w:lineRule="auto"/>
        <w:rPr>
          <w:rFonts w:ascii="Times New Roman" w:hAnsi="Times New Roman" w:cs="Times New Roman"/>
          <w:sz w:val="24"/>
          <w:szCs w:val="24"/>
        </w:rPr>
      </w:pPr>
    </w:p>
    <w:p w:rsidR="000D2FF9" w:rsidRDefault="000D2FF9">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D2FF9" w:rsidRDefault="000D2FF9" w:rsidP="000D2FF9">
      <w:pPr>
        <w:spacing w:line="480" w:lineRule="auto"/>
        <w:rPr>
          <w:rFonts w:ascii="Times New Roman" w:eastAsiaTheme="minorEastAsia" w:hAnsi="Times New Roman" w:cs="Times New Roman"/>
          <w:sz w:val="24"/>
          <w:szCs w:val="24"/>
        </w:rPr>
      </w:pPr>
      <w:r w:rsidRPr="00CA3582">
        <w:rPr>
          <w:rFonts w:ascii="Times New Roman" w:hAnsi="Times New Roman" w:cs="Times New Roman"/>
          <w:b/>
          <w:sz w:val="24"/>
          <w:szCs w:val="24"/>
        </w:rPr>
        <w:lastRenderedPageBreak/>
        <w:t>Table S1</w:t>
      </w:r>
      <w:r>
        <w:rPr>
          <w:rFonts w:ascii="Times New Roman" w:hAnsi="Times New Roman" w:cs="Times New Roman"/>
          <w:b/>
          <w:sz w:val="24"/>
          <w:szCs w:val="24"/>
        </w:rPr>
        <w:t>.</w:t>
      </w:r>
      <w:r w:rsidRPr="00BC0FF2">
        <w:rPr>
          <w:rFonts w:ascii="Times New Roman" w:hAnsi="Times New Roman" w:cs="Times New Roman"/>
          <w:sz w:val="24"/>
          <w:szCs w:val="24"/>
        </w:rPr>
        <w:t>Baseline disease rates (C</w:t>
      </w:r>
      <w:r w:rsidRPr="00BC0FF2">
        <w:rPr>
          <w:rFonts w:ascii="Times New Roman" w:hAnsi="Times New Roman" w:cs="Times New Roman"/>
          <w:sz w:val="24"/>
          <w:szCs w:val="24"/>
          <w:vertAlign w:val="subscript"/>
        </w:rPr>
        <w:t>3</w:t>
      </w:r>
      <w:r w:rsidRPr="00BC0FF2">
        <w:rPr>
          <w:rFonts w:ascii="Times New Roman" w:hAnsi="Times New Roman" w:cs="Times New Roman"/>
          <w:sz w:val="24"/>
          <w:szCs w:val="24"/>
        </w:rPr>
        <w:t>) and concentration response function for short-term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BC0FF2">
        <w:rPr>
          <w:rFonts w:ascii="Times New Roman" w:eastAsiaTheme="minorEastAsia" w:hAnsi="Times New Roman" w:cs="Times New Roman"/>
          <w:sz w:val="24"/>
          <w:szCs w:val="24"/>
        </w:rPr>
        <w:t xml:space="preserve">) and long-term </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Times New Roman" w:cs="Times New Roman"/>
            <w:sz w:val="24"/>
            <w:szCs w:val="24"/>
          </w:rPr>
          <m:t>)</m:t>
        </m:r>
      </m:oMath>
      <w:r w:rsidRPr="00BC0FF2">
        <w:rPr>
          <w:rFonts w:ascii="Times New Roman" w:eastAsiaTheme="minorEastAsia" w:hAnsi="Times New Roman" w:cs="Times New Roman"/>
          <w:sz w:val="24"/>
          <w:szCs w:val="24"/>
        </w:rPr>
        <w:t xml:space="preserve"> used in our simulations.</w:t>
      </w:r>
    </w:p>
    <w:p w:rsidR="000D2FF9" w:rsidRPr="000D2FF9" w:rsidRDefault="000D2FF9" w:rsidP="000D2FF9">
      <w:pPr>
        <w:spacing w:line="480" w:lineRule="auto"/>
        <w:rPr>
          <w:rFonts w:ascii="Times New Roman" w:eastAsiaTheme="minorEastAsia" w:hAnsi="Times New Roman" w:cs="Times New Roman"/>
          <w:sz w:val="24"/>
          <w:szCs w:val="24"/>
        </w:rPr>
      </w:pPr>
      <w:r w:rsidRPr="000D2FF9">
        <w:rPr>
          <w:rFonts w:ascii="Times New Roman" w:eastAsiaTheme="minorEastAsia" w:hAnsi="Times New Roman" w:cs="Times New Roman"/>
          <w:b/>
          <w:sz w:val="24"/>
          <w:szCs w:val="24"/>
        </w:rPr>
        <w:t>Table S2</w:t>
      </w:r>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Coverage probabilities and power for the simulations on PM</w:t>
      </w:r>
      <w:r w:rsidRPr="00CA3582">
        <w:rPr>
          <w:rFonts w:ascii="Times New Roman" w:eastAsiaTheme="minorEastAsia" w:hAnsi="Times New Roman" w:cs="Times New Roman"/>
          <w:sz w:val="24"/>
          <w:szCs w:val="24"/>
          <w:vertAlign w:val="subscript"/>
        </w:rPr>
        <w:t>10</w:t>
      </w:r>
      <w:r>
        <w:rPr>
          <w:rFonts w:ascii="Times New Roman" w:eastAsiaTheme="minorEastAsia" w:hAnsi="Times New Roman" w:cs="Times New Roman"/>
          <w:sz w:val="24"/>
          <w:szCs w:val="24"/>
        </w:rPr>
        <w:t>.</w:t>
      </w:r>
    </w:p>
    <w:p w:rsidR="000D2FF9" w:rsidRDefault="000D2FF9" w:rsidP="000D2FF9">
      <w:pPr>
        <w:spacing w:line="480" w:lineRule="auto"/>
        <w:rPr>
          <w:rFonts w:ascii="Times New Roman" w:eastAsiaTheme="minorEastAsia" w:hAnsi="Times New Roman" w:cs="Times New Roman"/>
          <w:sz w:val="24"/>
          <w:szCs w:val="24"/>
          <w:vertAlign w:val="subscript"/>
        </w:rPr>
      </w:pPr>
      <w:r w:rsidRPr="004168DE">
        <w:rPr>
          <w:rFonts w:ascii="Times New Roman" w:eastAsiaTheme="minorEastAsia" w:hAnsi="Times New Roman" w:cs="Times New Roman"/>
          <w:b/>
          <w:sz w:val="24"/>
          <w:szCs w:val="24"/>
        </w:rPr>
        <w:t xml:space="preserve">Table </w:t>
      </w:r>
      <w:r>
        <w:rPr>
          <w:rFonts w:ascii="Times New Roman" w:eastAsiaTheme="minorEastAsia" w:hAnsi="Times New Roman" w:cs="Times New Roman"/>
          <w:b/>
          <w:sz w:val="24"/>
          <w:szCs w:val="24"/>
        </w:rPr>
        <w:t>S3.</w:t>
      </w:r>
      <w:r>
        <w:rPr>
          <w:rFonts w:ascii="Times New Roman" w:eastAsiaTheme="minorEastAsia" w:hAnsi="Times New Roman" w:cs="Times New Roman"/>
          <w:sz w:val="24"/>
          <w:szCs w:val="24"/>
        </w:rPr>
        <w:t>Coverage probabilities and power for the simulations of</w:t>
      </w:r>
      <w:r w:rsidRPr="003D4F99">
        <w:rPr>
          <w:rFonts w:ascii="Times New Roman" w:eastAsiaTheme="minorEastAsia" w:hAnsi="Times New Roman" w:cs="Times New Roman"/>
          <w:sz w:val="24"/>
          <w:szCs w:val="24"/>
        </w:rPr>
        <w:t xml:space="preserve"> the association between PM</w:t>
      </w:r>
      <w:r>
        <w:rPr>
          <w:rFonts w:ascii="Times New Roman" w:eastAsiaTheme="minorEastAsia" w:hAnsi="Times New Roman" w:cs="Times New Roman"/>
          <w:sz w:val="24"/>
          <w:szCs w:val="24"/>
          <w:vertAlign w:val="subscript"/>
        </w:rPr>
        <w:t xml:space="preserve">2.5 </w:t>
      </w:r>
      <w:r>
        <w:rPr>
          <w:rFonts w:ascii="Times New Roman" w:eastAsiaTheme="minorEastAsia" w:hAnsi="Times New Roman" w:cs="Times New Roman"/>
          <w:sz w:val="24"/>
          <w:szCs w:val="24"/>
        </w:rPr>
        <w:t xml:space="preserve">and </w:t>
      </w:r>
      <w:r w:rsidRPr="003D4F99">
        <w:rPr>
          <w:rFonts w:ascii="Times New Roman" w:eastAsiaTheme="minorEastAsia" w:hAnsi="Times New Roman" w:cs="Times New Roman"/>
          <w:sz w:val="24"/>
          <w:szCs w:val="24"/>
        </w:rPr>
        <w:t>all-cause</w:t>
      </w:r>
      <w:r w:rsidRPr="003D4F99">
        <w:rPr>
          <w:rFonts w:ascii="Times New Roman" w:eastAsiaTheme="minorEastAsia" w:hAnsi="Times New Roman" w:cs="Times New Roman"/>
          <w:sz w:val="24"/>
          <w:szCs w:val="24"/>
          <w:lang w:val="en-US"/>
        </w:rPr>
        <w:t xml:space="preserve"> mortality </w:t>
      </w:r>
      <w:r>
        <w:rPr>
          <w:rFonts w:ascii="Times New Roman" w:eastAsiaTheme="minorEastAsia" w:hAnsi="Times New Roman" w:cs="Times New Roman"/>
          <w:sz w:val="24"/>
          <w:szCs w:val="24"/>
        </w:rPr>
        <w:t xml:space="preserve">or </w:t>
      </w:r>
      <w:r w:rsidRPr="00CD57CA">
        <w:rPr>
          <w:rFonts w:ascii="Times New Roman" w:eastAsiaTheme="minorEastAsia" w:hAnsi="Times New Roman" w:cs="Times New Roman"/>
          <w:sz w:val="24"/>
          <w:szCs w:val="24"/>
        </w:rPr>
        <w:t>cardiovascular admissions</w:t>
      </w:r>
      <w:r>
        <w:rPr>
          <w:rFonts w:ascii="Times New Roman" w:eastAsiaTheme="minorEastAsia" w:hAnsi="Times New Roman" w:cs="Times New Roman"/>
          <w:sz w:val="24"/>
          <w:szCs w:val="24"/>
          <w:vertAlign w:val="subscript"/>
        </w:rPr>
        <w:t xml:space="preserve">. </w:t>
      </w:r>
    </w:p>
    <w:p w:rsidR="000D2FF9" w:rsidRPr="000D2FF9" w:rsidRDefault="000D2FF9" w:rsidP="000D2FF9">
      <w:pPr>
        <w:pStyle w:val="CommentText"/>
        <w:spacing w:line="480" w:lineRule="auto"/>
        <w:rPr>
          <w:rStyle w:val="Hyperlink"/>
          <w:rFonts w:ascii="Times New Roman" w:hAnsi="Times New Roman" w:cs="Times New Roman"/>
          <w:color w:val="auto"/>
          <w:sz w:val="24"/>
          <w:szCs w:val="24"/>
          <w:u w:val="none"/>
        </w:rPr>
      </w:pPr>
      <w:r w:rsidRPr="000D2FF9">
        <w:rPr>
          <w:rStyle w:val="Hyperlink"/>
          <w:rFonts w:ascii="Times New Roman" w:hAnsi="Times New Roman" w:cs="Times New Roman"/>
          <w:color w:val="auto"/>
          <w:sz w:val="24"/>
          <w:szCs w:val="24"/>
          <w:u w:val="none"/>
        </w:rPr>
        <w:t>[</w:t>
      </w:r>
      <w:proofErr w:type="spellStart"/>
      <w:proofErr w:type="gramStart"/>
      <w:r w:rsidRPr="000D2FF9">
        <w:rPr>
          <w:rStyle w:val="Hyperlink"/>
          <w:rFonts w:ascii="Times New Roman" w:hAnsi="Times New Roman" w:cs="Times New Roman"/>
          <w:color w:val="auto"/>
          <w:sz w:val="24"/>
          <w:szCs w:val="24"/>
          <w:u w:val="none"/>
        </w:rPr>
        <w:t>eAppendix</w:t>
      </w:r>
      <w:proofErr w:type="spellEnd"/>
      <w:proofErr w:type="gramEnd"/>
      <w:r w:rsidRPr="000D2FF9">
        <w:rPr>
          <w:rStyle w:val="Hyperlink"/>
          <w:rFonts w:ascii="Times New Roman" w:hAnsi="Times New Roman" w:cs="Times New Roman"/>
          <w:color w:val="auto"/>
          <w:sz w:val="24"/>
          <w:szCs w:val="24"/>
          <w:u w:val="none"/>
        </w:rPr>
        <w:t xml:space="preserve"> references are listed at the end of this document]</w:t>
      </w:r>
    </w:p>
    <w:p w:rsidR="000D2FF9" w:rsidRPr="000D2FF9" w:rsidRDefault="000D2FF9" w:rsidP="000D2FF9">
      <w:pPr>
        <w:spacing w:line="480" w:lineRule="auto"/>
        <w:rPr>
          <w:rFonts w:ascii="Times New Roman" w:eastAsiaTheme="minorEastAsia" w:hAnsi="Times New Roman" w:cs="Times New Roman"/>
          <w:sz w:val="24"/>
          <w:szCs w:val="24"/>
        </w:rPr>
      </w:pPr>
    </w:p>
    <w:p w:rsidR="000D2FF9" w:rsidRPr="000D2FF9" w:rsidRDefault="000D2FF9" w:rsidP="000D2FF9">
      <w:pPr>
        <w:rPr>
          <w:rFonts w:ascii="Times New Roman" w:eastAsiaTheme="minorEastAsia" w:hAnsi="Times New Roman" w:cs="Times New Roman"/>
          <w:sz w:val="24"/>
          <w:szCs w:val="24"/>
          <w:lang w:val="en-US"/>
        </w:rPr>
      </w:pPr>
    </w:p>
    <w:p w:rsidR="000D2FF9" w:rsidRPr="00CA3582" w:rsidRDefault="000D2FF9" w:rsidP="000D2FF9">
      <w:pPr>
        <w:spacing w:line="480" w:lineRule="auto"/>
        <w:rPr>
          <w:rFonts w:ascii="Times New Roman" w:eastAsiaTheme="minorEastAsia" w:hAnsi="Times New Roman" w:cs="Times New Roman"/>
          <w:b/>
          <w:sz w:val="24"/>
          <w:szCs w:val="24"/>
        </w:rPr>
      </w:pPr>
    </w:p>
    <w:p w:rsidR="00576F9D" w:rsidRDefault="00576F9D">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CA3582" w:rsidRPr="00CA3582" w:rsidRDefault="00CA3582" w:rsidP="00CA3582">
      <w:pPr>
        <w:spacing w:line="480" w:lineRule="auto"/>
        <w:rPr>
          <w:rFonts w:ascii="Times New Roman" w:eastAsiaTheme="minorEastAsia" w:hAnsi="Times New Roman" w:cs="Times New Roman"/>
          <w:b/>
          <w:sz w:val="24"/>
          <w:szCs w:val="24"/>
        </w:rPr>
      </w:pPr>
      <w:r w:rsidRPr="00CA3582">
        <w:rPr>
          <w:rFonts w:ascii="Times New Roman" w:hAnsi="Times New Roman" w:cs="Times New Roman"/>
          <w:b/>
          <w:sz w:val="24"/>
          <w:szCs w:val="24"/>
        </w:rPr>
        <w:lastRenderedPageBreak/>
        <w:t>Table S1</w:t>
      </w:r>
      <w:r w:rsidR="000D2FF9">
        <w:rPr>
          <w:rFonts w:ascii="Times New Roman" w:hAnsi="Times New Roman" w:cs="Times New Roman"/>
          <w:b/>
          <w:sz w:val="24"/>
          <w:szCs w:val="24"/>
        </w:rPr>
        <w:t>.</w:t>
      </w:r>
      <w:r w:rsidRPr="00BC0FF2">
        <w:rPr>
          <w:rFonts w:ascii="Times New Roman" w:hAnsi="Times New Roman" w:cs="Times New Roman"/>
          <w:sz w:val="24"/>
          <w:szCs w:val="24"/>
        </w:rPr>
        <w:t>Baseline disease rates (C</w:t>
      </w:r>
      <w:r w:rsidRPr="00BC0FF2">
        <w:rPr>
          <w:rFonts w:ascii="Times New Roman" w:hAnsi="Times New Roman" w:cs="Times New Roman"/>
          <w:sz w:val="24"/>
          <w:szCs w:val="24"/>
          <w:vertAlign w:val="subscript"/>
        </w:rPr>
        <w:t>3</w:t>
      </w:r>
      <w:r w:rsidRPr="00BC0FF2">
        <w:rPr>
          <w:rFonts w:ascii="Times New Roman" w:hAnsi="Times New Roman" w:cs="Times New Roman"/>
          <w:sz w:val="24"/>
          <w:szCs w:val="24"/>
        </w:rPr>
        <w:t>) and concentration response function for short-term (</w:t>
      </w:r>
      <m:oMath>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BC0FF2">
        <w:rPr>
          <w:rFonts w:ascii="Times New Roman" w:eastAsiaTheme="minorEastAsia" w:hAnsi="Times New Roman" w:cs="Times New Roman"/>
          <w:sz w:val="24"/>
          <w:szCs w:val="24"/>
        </w:rPr>
        <w:t xml:space="preserve">) and long-term </w:t>
      </w:r>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Times New Roman" w:cs="Times New Roman"/>
            <w:sz w:val="24"/>
            <w:szCs w:val="24"/>
          </w:rPr>
          <m:t>)</m:t>
        </m:r>
      </m:oMath>
      <w:r w:rsidRPr="00BC0FF2">
        <w:rPr>
          <w:rFonts w:ascii="Times New Roman" w:eastAsiaTheme="minorEastAsia" w:hAnsi="Times New Roman" w:cs="Times New Roman"/>
          <w:sz w:val="24"/>
          <w:szCs w:val="24"/>
        </w:rPr>
        <w:t xml:space="preserve"> used in our simulations.</w:t>
      </w:r>
    </w:p>
    <w:tbl>
      <w:tblPr>
        <w:tblStyle w:val="TableGrid"/>
        <w:tblW w:w="5463" w:type="pct"/>
        <w:tblLook w:val="04A0" w:firstRow="1" w:lastRow="0" w:firstColumn="1" w:lastColumn="0" w:noHBand="0" w:noVBand="1"/>
      </w:tblPr>
      <w:tblGrid>
        <w:gridCol w:w="2256"/>
        <w:gridCol w:w="1854"/>
        <w:gridCol w:w="1277"/>
        <w:gridCol w:w="2183"/>
        <w:gridCol w:w="2281"/>
      </w:tblGrid>
      <w:tr w:rsidR="00CA3582" w:rsidRPr="00CA3582" w:rsidTr="00BC0FF2">
        <w:tc>
          <w:tcPr>
            <w:tcW w:w="1145"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Outcome</w:t>
            </w:r>
          </w:p>
        </w:tc>
        <w:tc>
          <w:tcPr>
            <w:tcW w:w="941"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Baseline rate per LSOA per day</w:t>
            </w:r>
          </w:p>
          <w:p w:rsidR="00CA3582" w:rsidRPr="00CA3582" w:rsidRDefault="00CA3582" w:rsidP="00F22D6C">
            <w:pPr>
              <w:spacing w:line="360" w:lineRule="auto"/>
              <w:rPr>
                <w:rFonts w:ascii="Times New Roman" w:hAnsi="Times New Roman" w:cs="Times New Roman"/>
                <w:sz w:val="24"/>
                <w:szCs w:val="24"/>
              </w:rPr>
            </w:pPr>
            <m:oMathPara>
              <m:oMath>
                <m:r>
                  <w:rPr>
                    <w:rFonts w:ascii="Cambria Math" w:eastAsiaTheme="minorEastAsia" w:hAnsi="Cambria Math" w:cs="Times New Roman"/>
                    <w:sz w:val="24"/>
                    <w:szCs w:val="24"/>
                  </w:rPr>
                  <m:t>exp</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c</m:t>
                    </m:r>
                  </m:e>
                  <m:sub>
                    <m:r>
                      <w:rPr>
                        <w:rFonts w:ascii="Cambria Math" w:hAnsi="Times New Roman" w:cs="Times New Roman"/>
                        <w:sz w:val="24"/>
                        <w:szCs w:val="24"/>
                      </w:rPr>
                      <m:t>3</m:t>
                    </m:r>
                  </m:sub>
                </m:sSub>
                <m:r>
                  <w:rPr>
                    <w:rFonts w:ascii="Cambria Math" w:hAnsi="Times New Roman" w:cs="Times New Roman"/>
                    <w:sz w:val="24"/>
                    <w:szCs w:val="24"/>
                  </w:rPr>
                  <m:t>)</m:t>
                </m:r>
              </m:oMath>
            </m:oMathPara>
          </w:p>
        </w:tc>
        <w:tc>
          <w:tcPr>
            <w:tcW w:w="648"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Pollutant</w:t>
            </w:r>
          </w:p>
        </w:tc>
        <w:tc>
          <w:tcPr>
            <w:tcW w:w="2266" w:type="pct"/>
            <w:gridSpan w:val="2"/>
          </w:tcPr>
          <w:p w:rsidR="00CA3582" w:rsidRPr="00CA3582" w:rsidRDefault="00CA3582" w:rsidP="00F22D6C">
            <w:pPr>
              <w:spacing w:line="360" w:lineRule="auto"/>
              <w:jc w:val="center"/>
              <w:rPr>
                <w:rFonts w:ascii="Times New Roman" w:hAnsi="Times New Roman" w:cs="Times New Roman"/>
                <w:sz w:val="24"/>
                <w:szCs w:val="24"/>
              </w:rPr>
            </w:pPr>
            <w:r w:rsidRPr="00CA3582">
              <w:rPr>
                <w:rFonts w:ascii="Times New Roman" w:hAnsi="Times New Roman" w:cs="Times New Roman"/>
                <w:sz w:val="24"/>
                <w:szCs w:val="24"/>
              </w:rPr>
              <w:t>Concentration response function per 1 µg/m</w:t>
            </w:r>
            <w:r w:rsidRPr="00CA3582">
              <w:rPr>
                <w:rFonts w:ascii="Times New Roman" w:hAnsi="Times New Roman" w:cs="Times New Roman"/>
                <w:sz w:val="24"/>
                <w:szCs w:val="24"/>
                <w:vertAlign w:val="superscript"/>
              </w:rPr>
              <w:t>3</w:t>
            </w:r>
          </w:p>
        </w:tc>
      </w:tr>
      <w:tr w:rsidR="00CA3582" w:rsidRPr="00CA3582" w:rsidTr="00BC0FF2">
        <w:trPr>
          <w:trHeight w:val="831"/>
        </w:trPr>
        <w:tc>
          <w:tcPr>
            <w:tcW w:w="1145" w:type="pct"/>
            <w:vMerge/>
          </w:tcPr>
          <w:p w:rsidR="00CA3582" w:rsidRPr="00CA3582" w:rsidRDefault="00CA3582" w:rsidP="00F22D6C">
            <w:pPr>
              <w:spacing w:line="360" w:lineRule="auto"/>
              <w:rPr>
                <w:rFonts w:ascii="Times New Roman" w:hAnsi="Times New Roman" w:cs="Times New Roman"/>
                <w:sz w:val="24"/>
                <w:szCs w:val="24"/>
              </w:rPr>
            </w:pPr>
          </w:p>
        </w:tc>
        <w:tc>
          <w:tcPr>
            <w:tcW w:w="941" w:type="pct"/>
            <w:vMerge/>
          </w:tcPr>
          <w:p w:rsidR="00CA3582" w:rsidRPr="00CA3582" w:rsidRDefault="00CA3582" w:rsidP="00F22D6C">
            <w:pPr>
              <w:spacing w:line="360" w:lineRule="auto"/>
              <w:rPr>
                <w:rFonts w:ascii="Times New Roman" w:hAnsi="Times New Roman" w:cs="Times New Roman"/>
                <w:sz w:val="24"/>
                <w:szCs w:val="24"/>
              </w:rPr>
            </w:pPr>
          </w:p>
        </w:tc>
        <w:tc>
          <w:tcPr>
            <w:tcW w:w="648" w:type="pct"/>
            <w:vMerge/>
          </w:tcPr>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CA3582" w:rsidRDefault="00CA3582" w:rsidP="00F22D6C">
            <w:pPr>
              <w:spacing w:line="360" w:lineRule="auto"/>
              <w:jc w:val="center"/>
              <w:rPr>
                <w:rFonts w:ascii="Times New Roman" w:hAnsi="Times New Roman" w:cs="Times New Roman"/>
                <w:sz w:val="24"/>
                <w:szCs w:val="24"/>
              </w:rPr>
            </w:pPr>
            <w:r w:rsidRPr="00CA3582">
              <w:rPr>
                <w:rFonts w:ascii="Times New Roman" w:hAnsi="Times New Roman" w:cs="Times New Roman"/>
                <w:sz w:val="24"/>
                <w:szCs w:val="24"/>
              </w:rPr>
              <w:t>Short-term exposure</w:t>
            </w:r>
          </w:p>
          <w:p w:rsidR="00CA3582" w:rsidRPr="00CA3582" w:rsidRDefault="00CA3582" w:rsidP="00F22D6C">
            <w:pPr>
              <w:spacing w:line="360" w:lineRule="auto"/>
              <w:jc w:val="center"/>
              <w:rPr>
                <w:rFonts w:ascii="Times New Roman" w:hAnsi="Times New Roman" w:cs="Times New Roman"/>
                <w:sz w:val="24"/>
                <w:szCs w:val="24"/>
              </w:rPr>
            </w:pPr>
            <m:oMathPara>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Times New Roman" w:cs="Times New Roman"/>
                    <w:sz w:val="24"/>
                    <w:szCs w:val="24"/>
                  </w:rPr>
                  <m:t>)</m:t>
                </m:r>
              </m:oMath>
            </m:oMathPara>
          </w:p>
        </w:tc>
        <w:tc>
          <w:tcPr>
            <w:tcW w:w="1158" w:type="pct"/>
          </w:tcPr>
          <w:p w:rsidR="00CA3582" w:rsidRPr="00CA3582" w:rsidRDefault="00CA3582" w:rsidP="00F22D6C">
            <w:pPr>
              <w:spacing w:line="360" w:lineRule="auto"/>
              <w:jc w:val="center"/>
              <w:rPr>
                <w:rFonts w:ascii="Times New Roman" w:hAnsi="Times New Roman" w:cs="Times New Roman"/>
                <w:sz w:val="24"/>
                <w:szCs w:val="24"/>
              </w:rPr>
            </w:pPr>
            <w:r w:rsidRPr="00CA3582">
              <w:rPr>
                <w:rFonts w:ascii="Times New Roman" w:hAnsi="Times New Roman" w:cs="Times New Roman"/>
                <w:sz w:val="24"/>
                <w:szCs w:val="24"/>
              </w:rPr>
              <w:t>Long-term exposure</w:t>
            </w:r>
          </w:p>
          <w:p w:rsidR="00CA3582" w:rsidRPr="00CA3582" w:rsidRDefault="00CA3582" w:rsidP="00F22D6C">
            <w:pPr>
              <w:spacing w:line="360" w:lineRule="auto"/>
              <w:jc w:val="center"/>
              <w:rPr>
                <w:rFonts w:ascii="Times New Roman" w:hAnsi="Times New Roman" w:cs="Times New Roman"/>
                <w:sz w:val="24"/>
                <w:szCs w:val="24"/>
              </w:rPr>
            </w:pPr>
            <m:oMathPara>
              <m:oMath>
                <m:r>
                  <w:rPr>
                    <w:rFonts w:ascii="Cambria Math" w:eastAsiaTheme="minorEastAsia"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r>
                  <w:rPr>
                    <w:rFonts w:ascii="Cambria Math" w:hAnsi="Times New Roman" w:cs="Times New Roman"/>
                    <w:sz w:val="24"/>
                    <w:szCs w:val="24"/>
                  </w:rPr>
                  <m:t>)</m:t>
                </m:r>
              </m:oMath>
            </m:oMathPara>
          </w:p>
        </w:tc>
      </w:tr>
      <w:tr w:rsidR="00CA3582" w:rsidRPr="00CA3582" w:rsidTr="00BC0FF2">
        <w:trPr>
          <w:trHeight w:val="545"/>
        </w:trPr>
        <w:tc>
          <w:tcPr>
            <w:tcW w:w="1145"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All-cause Mortality</w:t>
            </w:r>
          </w:p>
        </w:tc>
        <w:tc>
          <w:tcPr>
            <w:tcW w:w="941"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0.0264§</w:t>
            </w:r>
          </w:p>
        </w:tc>
        <w:tc>
          <w:tcPr>
            <w:tcW w:w="648" w:type="pct"/>
          </w:tcPr>
          <w:p w:rsidR="00CA3582" w:rsidRPr="00CA3582" w:rsidRDefault="00CA3582" w:rsidP="00F22D6C">
            <w:pPr>
              <w:spacing w:line="360" w:lineRule="auto"/>
              <w:rPr>
                <w:rFonts w:ascii="Times New Roman" w:hAnsi="Times New Roman" w:cs="Times New Roman"/>
                <w:sz w:val="24"/>
                <w:szCs w:val="24"/>
              </w:rPr>
            </w:pPr>
            <w:r>
              <w:rPr>
                <w:rFonts w:ascii="Times New Roman" w:hAnsi="Times New Roman" w:cs="Times New Roman"/>
                <w:sz w:val="24"/>
                <w:szCs w:val="24"/>
              </w:rPr>
              <w:t>PM</w:t>
            </w:r>
            <w:r w:rsidRPr="00CA3582">
              <w:rPr>
                <w:rFonts w:ascii="Times New Roman" w:hAnsi="Times New Roman" w:cs="Times New Roman"/>
                <w:sz w:val="24"/>
                <w:szCs w:val="24"/>
                <w:vertAlign w:val="subscript"/>
              </w:rPr>
              <w:t>10</w:t>
            </w:r>
          </w:p>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0.00032</w:t>
            </w:r>
            <w:r w:rsidR="00CA3582" w:rsidRPr="00E9040F">
              <w:rPr>
                <w:rFonts w:ascii="Times New Roman" w:hAnsi="Times New Roman" w:cs="Times New Roman"/>
                <w:sz w:val="24"/>
                <w:szCs w:val="24"/>
              </w:rPr>
              <w:t>[1]</w:t>
            </w:r>
          </w:p>
        </w:tc>
        <w:tc>
          <w:tcPr>
            <w:tcW w:w="115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Pr="00595437">
              <w:rPr>
                <w:rFonts w:ascii="Times New Roman" w:hAnsi="Times New Roman" w:cs="Times New Roman"/>
                <w:sz w:val="24"/>
                <w:szCs w:val="24"/>
              </w:rPr>
              <w:t>00344</w:t>
            </w:r>
            <w:r w:rsidR="00CA3582" w:rsidRPr="00595437">
              <w:rPr>
                <w:rFonts w:ascii="Times New Roman" w:hAnsi="Times New Roman" w:cs="Times New Roman"/>
                <w:sz w:val="24"/>
                <w:szCs w:val="24"/>
              </w:rPr>
              <w:t>[2]</w:t>
            </w:r>
          </w:p>
        </w:tc>
      </w:tr>
      <w:tr w:rsidR="00CA3582" w:rsidRPr="00CA3582" w:rsidTr="00BC0FF2">
        <w:tc>
          <w:tcPr>
            <w:tcW w:w="1145" w:type="pct"/>
            <w:vMerge/>
          </w:tcPr>
          <w:p w:rsidR="00CA3582" w:rsidRPr="00CA3582" w:rsidRDefault="00CA3582" w:rsidP="00F22D6C">
            <w:pPr>
              <w:spacing w:line="360" w:lineRule="auto"/>
              <w:rPr>
                <w:rFonts w:ascii="Times New Roman" w:hAnsi="Times New Roman" w:cs="Times New Roman"/>
                <w:sz w:val="24"/>
                <w:szCs w:val="24"/>
              </w:rPr>
            </w:pPr>
          </w:p>
        </w:tc>
        <w:tc>
          <w:tcPr>
            <w:tcW w:w="941" w:type="pct"/>
            <w:vMerge/>
          </w:tcPr>
          <w:p w:rsidR="00CA3582" w:rsidRPr="00CA3582" w:rsidRDefault="00CA3582" w:rsidP="00F22D6C">
            <w:pPr>
              <w:spacing w:line="360" w:lineRule="auto"/>
              <w:rPr>
                <w:rFonts w:ascii="Times New Roman" w:hAnsi="Times New Roman" w:cs="Times New Roman"/>
                <w:sz w:val="24"/>
                <w:szCs w:val="24"/>
              </w:rPr>
            </w:pPr>
          </w:p>
        </w:tc>
        <w:tc>
          <w:tcPr>
            <w:tcW w:w="648" w:type="pct"/>
          </w:tcPr>
          <w:p w:rsidR="00CA3582" w:rsidRPr="00CA3582" w:rsidRDefault="00CA3582" w:rsidP="00F22D6C">
            <w:pPr>
              <w:spacing w:line="360" w:lineRule="auto"/>
              <w:rPr>
                <w:rFonts w:ascii="Times New Roman" w:hAnsi="Times New Roman" w:cs="Times New Roman"/>
                <w:sz w:val="24"/>
                <w:szCs w:val="24"/>
              </w:rPr>
            </w:pPr>
            <w:r>
              <w:rPr>
                <w:rFonts w:ascii="Times New Roman" w:hAnsi="Times New Roman" w:cs="Times New Roman"/>
                <w:sz w:val="24"/>
                <w:szCs w:val="24"/>
              </w:rPr>
              <w:t>PM</w:t>
            </w:r>
            <w:r>
              <w:rPr>
                <w:rFonts w:ascii="Times New Roman" w:hAnsi="Times New Roman" w:cs="Times New Roman"/>
                <w:sz w:val="24"/>
                <w:szCs w:val="24"/>
                <w:vertAlign w:val="subscript"/>
              </w:rPr>
              <w:t>2.5</w:t>
            </w:r>
          </w:p>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Pr="00052F03">
              <w:rPr>
                <w:rFonts w:ascii="Times New Roman" w:hAnsi="Times New Roman" w:cs="Times New Roman"/>
                <w:sz w:val="24"/>
                <w:szCs w:val="24"/>
              </w:rPr>
              <w:t>00100</w:t>
            </w:r>
            <w:r w:rsidR="00CA3582" w:rsidRPr="00052F03">
              <w:rPr>
                <w:rFonts w:ascii="Times New Roman" w:hAnsi="Times New Roman" w:cs="Times New Roman"/>
                <w:sz w:val="24"/>
                <w:szCs w:val="24"/>
              </w:rPr>
              <w:t>[3]</w:t>
            </w:r>
          </w:p>
        </w:tc>
        <w:tc>
          <w:tcPr>
            <w:tcW w:w="115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Pr="0008660D">
              <w:rPr>
                <w:rFonts w:ascii="Times New Roman" w:hAnsi="Times New Roman" w:cs="Times New Roman"/>
                <w:sz w:val="24"/>
                <w:szCs w:val="24"/>
              </w:rPr>
              <w:t>00686</w:t>
            </w:r>
            <w:r w:rsidR="00CA3582" w:rsidRPr="0008660D">
              <w:rPr>
                <w:rFonts w:ascii="Times New Roman" w:hAnsi="Times New Roman" w:cs="Times New Roman"/>
                <w:sz w:val="24"/>
                <w:szCs w:val="24"/>
              </w:rPr>
              <w:t>[4]</w:t>
            </w:r>
          </w:p>
        </w:tc>
      </w:tr>
      <w:tr w:rsidR="00CA3582" w:rsidRPr="00CA3582" w:rsidTr="00BC0FF2">
        <w:tc>
          <w:tcPr>
            <w:tcW w:w="1145"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Cardiovascular hospital admissions</w:t>
            </w:r>
          </w:p>
        </w:tc>
        <w:tc>
          <w:tcPr>
            <w:tcW w:w="941" w:type="pct"/>
            <w:vMerge w:val="restart"/>
          </w:tcPr>
          <w:p w:rsidR="00CA3582" w:rsidRPr="00CA3582" w:rsidRDefault="00CA3582" w:rsidP="00F22D6C">
            <w:pPr>
              <w:spacing w:line="360" w:lineRule="auto"/>
              <w:rPr>
                <w:rFonts w:ascii="Times New Roman" w:hAnsi="Times New Roman" w:cs="Times New Roman"/>
                <w:sz w:val="24"/>
                <w:szCs w:val="24"/>
              </w:rPr>
            </w:pPr>
            <w:r w:rsidRPr="00CA3582">
              <w:rPr>
                <w:rFonts w:ascii="Times New Roman" w:hAnsi="Times New Roman" w:cs="Times New Roman"/>
                <w:sz w:val="24"/>
                <w:szCs w:val="24"/>
              </w:rPr>
              <w:t>0.0835¶</w:t>
            </w:r>
          </w:p>
        </w:tc>
        <w:tc>
          <w:tcPr>
            <w:tcW w:w="648" w:type="pct"/>
          </w:tcPr>
          <w:p w:rsidR="00CA3582" w:rsidRPr="00CA3582" w:rsidRDefault="00CA3582" w:rsidP="00F22D6C">
            <w:pPr>
              <w:spacing w:line="360" w:lineRule="auto"/>
              <w:rPr>
                <w:rFonts w:ascii="Times New Roman" w:hAnsi="Times New Roman" w:cs="Times New Roman"/>
                <w:sz w:val="24"/>
                <w:szCs w:val="24"/>
              </w:rPr>
            </w:pPr>
            <w:r>
              <w:rPr>
                <w:rFonts w:ascii="Times New Roman" w:hAnsi="Times New Roman" w:cs="Times New Roman"/>
                <w:sz w:val="24"/>
                <w:szCs w:val="24"/>
              </w:rPr>
              <w:t>PM</w:t>
            </w:r>
            <w:r w:rsidRPr="00CA3582">
              <w:rPr>
                <w:rFonts w:ascii="Times New Roman" w:hAnsi="Times New Roman" w:cs="Times New Roman"/>
                <w:sz w:val="24"/>
                <w:szCs w:val="24"/>
                <w:vertAlign w:val="subscript"/>
              </w:rPr>
              <w:t>10</w:t>
            </w:r>
          </w:p>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Pr="00595437">
              <w:rPr>
                <w:rFonts w:ascii="Times New Roman" w:hAnsi="Times New Roman" w:cs="Times New Roman"/>
                <w:sz w:val="24"/>
                <w:szCs w:val="24"/>
              </w:rPr>
              <w:t>.00040</w:t>
            </w:r>
            <w:r w:rsidR="00CA3582" w:rsidRPr="00595437">
              <w:rPr>
                <w:rFonts w:ascii="Times New Roman" w:hAnsi="Times New Roman" w:cs="Times New Roman"/>
                <w:sz w:val="24"/>
                <w:szCs w:val="24"/>
              </w:rPr>
              <w:t>[1]</w:t>
            </w:r>
          </w:p>
        </w:tc>
        <w:tc>
          <w:tcPr>
            <w:tcW w:w="1158" w:type="pct"/>
          </w:tcPr>
          <w:p w:rsidR="00CA3582" w:rsidRPr="00CA3582" w:rsidRDefault="00B04894" w:rsidP="00F22D6C">
            <w:pPr>
              <w:spacing w:line="360" w:lineRule="auto"/>
              <w:rPr>
                <w:rFonts w:ascii="Times New Roman" w:hAnsi="Times New Roman" w:cs="Times New Roman"/>
                <w:sz w:val="24"/>
                <w:szCs w:val="24"/>
                <w:highlight w:val="yellow"/>
              </w:rPr>
            </w:pPr>
            <w:r w:rsidRPr="00B04894">
              <w:rPr>
                <w:rFonts w:ascii="Times New Roman" w:hAnsi="Times New Roman" w:cs="Times New Roman"/>
                <w:sz w:val="24"/>
                <w:szCs w:val="24"/>
              </w:rPr>
              <w:t>0.</w:t>
            </w:r>
            <w:r w:rsidR="0008660D">
              <w:rPr>
                <w:rFonts w:ascii="Times New Roman" w:hAnsi="Times New Roman" w:cs="Times New Roman"/>
                <w:sz w:val="24"/>
                <w:szCs w:val="24"/>
              </w:rPr>
              <w:t>04055</w:t>
            </w:r>
            <w:r w:rsidR="00CA3582" w:rsidRPr="00850432">
              <w:rPr>
                <w:rFonts w:ascii="Times New Roman" w:hAnsi="Times New Roman" w:cs="Times New Roman"/>
                <w:sz w:val="24"/>
                <w:szCs w:val="24"/>
              </w:rPr>
              <w:t>[5]</w:t>
            </w:r>
          </w:p>
        </w:tc>
      </w:tr>
      <w:tr w:rsidR="00CA3582" w:rsidRPr="00CA3582" w:rsidTr="00BC0FF2">
        <w:tc>
          <w:tcPr>
            <w:tcW w:w="1145" w:type="pct"/>
            <w:vMerge/>
          </w:tcPr>
          <w:p w:rsidR="00CA3582" w:rsidRPr="00CA3582" w:rsidRDefault="00CA3582" w:rsidP="00F22D6C">
            <w:pPr>
              <w:spacing w:line="360" w:lineRule="auto"/>
              <w:rPr>
                <w:rFonts w:ascii="Times New Roman" w:hAnsi="Times New Roman" w:cs="Times New Roman"/>
                <w:sz w:val="24"/>
                <w:szCs w:val="24"/>
              </w:rPr>
            </w:pPr>
          </w:p>
        </w:tc>
        <w:tc>
          <w:tcPr>
            <w:tcW w:w="941" w:type="pct"/>
            <w:vMerge/>
          </w:tcPr>
          <w:p w:rsidR="00CA3582" w:rsidRPr="00CA3582" w:rsidRDefault="00CA3582" w:rsidP="00F22D6C">
            <w:pPr>
              <w:spacing w:line="360" w:lineRule="auto"/>
              <w:rPr>
                <w:rFonts w:ascii="Times New Roman" w:hAnsi="Times New Roman" w:cs="Times New Roman"/>
                <w:sz w:val="24"/>
                <w:szCs w:val="24"/>
              </w:rPr>
            </w:pPr>
          </w:p>
        </w:tc>
        <w:tc>
          <w:tcPr>
            <w:tcW w:w="648" w:type="pct"/>
          </w:tcPr>
          <w:p w:rsidR="00CA3582" w:rsidRPr="00CA3582" w:rsidRDefault="00CA3582" w:rsidP="00F22D6C">
            <w:pPr>
              <w:spacing w:line="360" w:lineRule="auto"/>
              <w:rPr>
                <w:rFonts w:ascii="Times New Roman" w:hAnsi="Times New Roman" w:cs="Times New Roman"/>
                <w:sz w:val="24"/>
                <w:szCs w:val="24"/>
              </w:rPr>
            </w:pPr>
            <w:r>
              <w:rPr>
                <w:rFonts w:ascii="Times New Roman" w:hAnsi="Times New Roman" w:cs="Times New Roman"/>
                <w:sz w:val="24"/>
                <w:szCs w:val="24"/>
              </w:rPr>
              <w:t>PM</w:t>
            </w:r>
            <w:r>
              <w:rPr>
                <w:rFonts w:ascii="Times New Roman" w:hAnsi="Times New Roman" w:cs="Times New Roman"/>
                <w:sz w:val="24"/>
                <w:szCs w:val="24"/>
                <w:vertAlign w:val="subscript"/>
              </w:rPr>
              <w:t>2.5</w:t>
            </w:r>
          </w:p>
          <w:p w:rsidR="00CA3582" w:rsidRPr="00CA3582" w:rsidRDefault="00CA3582" w:rsidP="00F22D6C">
            <w:pPr>
              <w:spacing w:line="360" w:lineRule="auto"/>
              <w:rPr>
                <w:rFonts w:ascii="Times New Roman" w:hAnsi="Times New Roman" w:cs="Times New Roman"/>
                <w:sz w:val="24"/>
                <w:szCs w:val="24"/>
              </w:rPr>
            </w:pPr>
          </w:p>
        </w:tc>
        <w:tc>
          <w:tcPr>
            <w:tcW w:w="1108" w:type="pct"/>
          </w:tcPr>
          <w:p w:rsidR="00CA3582" w:rsidRPr="000D05CF" w:rsidRDefault="00B04894" w:rsidP="00F22D6C">
            <w:pPr>
              <w:spacing w:line="360" w:lineRule="auto"/>
              <w:rPr>
                <w:rFonts w:ascii="Times New Roman" w:hAnsi="Times New Roman" w:cs="Times New Roman"/>
                <w:sz w:val="24"/>
                <w:szCs w:val="24"/>
              </w:rPr>
            </w:pPr>
            <w:r w:rsidRPr="000D05CF">
              <w:rPr>
                <w:rFonts w:ascii="Times New Roman" w:hAnsi="Times New Roman" w:cs="Times New Roman"/>
                <w:sz w:val="24"/>
                <w:szCs w:val="24"/>
              </w:rPr>
              <w:t>0.00091</w:t>
            </w:r>
            <w:r w:rsidR="002C4B31" w:rsidRPr="000D05CF">
              <w:rPr>
                <w:rFonts w:ascii="Times New Roman" w:hAnsi="Times New Roman" w:cs="Times New Roman"/>
                <w:sz w:val="24"/>
                <w:szCs w:val="24"/>
              </w:rPr>
              <w:t>[6</w:t>
            </w:r>
            <w:r w:rsidR="00CA3582" w:rsidRPr="000D05CF">
              <w:rPr>
                <w:rFonts w:ascii="Times New Roman" w:hAnsi="Times New Roman" w:cs="Times New Roman"/>
                <w:sz w:val="24"/>
                <w:szCs w:val="24"/>
              </w:rPr>
              <w:t>]</w:t>
            </w:r>
          </w:p>
        </w:tc>
        <w:tc>
          <w:tcPr>
            <w:tcW w:w="1158" w:type="pct"/>
          </w:tcPr>
          <w:p w:rsidR="00CA3582" w:rsidRPr="000D05CF" w:rsidRDefault="00B04894" w:rsidP="00F22D6C">
            <w:pPr>
              <w:spacing w:line="360" w:lineRule="auto"/>
              <w:rPr>
                <w:rFonts w:ascii="Times New Roman" w:hAnsi="Times New Roman" w:cs="Times New Roman"/>
                <w:sz w:val="24"/>
                <w:szCs w:val="24"/>
              </w:rPr>
            </w:pPr>
            <w:r w:rsidRPr="000D05CF">
              <w:rPr>
                <w:rFonts w:ascii="Times New Roman" w:hAnsi="Times New Roman" w:cs="Times New Roman"/>
                <w:sz w:val="24"/>
                <w:szCs w:val="24"/>
              </w:rPr>
              <w:t>0.00307</w:t>
            </w:r>
            <w:r w:rsidR="002C4B31" w:rsidRPr="000D05CF">
              <w:rPr>
                <w:rFonts w:ascii="Times New Roman" w:hAnsi="Times New Roman" w:cs="Times New Roman"/>
                <w:sz w:val="24"/>
                <w:szCs w:val="24"/>
              </w:rPr>
              <w:t>[7</w:t>
            </w:r>
            <w:r w:rsidRPr="000D05CF">
              <w:rPr>
                <w:rFonts w:ascii="Times New Roman" w:hAnsi="Times New Roman" w:cs="Times New Roman"/>
                <w:sz w:val="24"/>
                <w:szCs w:val="24"/>
              </w:rPr>
              <w:t>]</w:t>
            </w:r>
          </w:p>
        </w:tc>
      </w:tr>
    </w:tbl>
    <w:p w:rsidR="00CA3582" w:rsidRPr="00CA3582" w:rsidRDefault="00CA3582" w:rsidP="00CA3582">
      <w:pPr>
        <w:spacing w:line="480" w:lineRule="auto"/>
        <w:rPr>
          <w:rFonts w:ascii="Times New Roman" w:hAnsi="Times New Roman" w:cs="Times New Roman"/>
          <w:sz w:val="24"/>
          <w:szCs w:val="24"/>
        </w:rPr>
      </w:pPr>
      <w:r w:rsidRPr="00CA3582">
        <w:rPr>
          <w:rFonts w:ascii="Times New Roman" w:hAnsi="Times New Roman" w:cs="Times New Roman"/>
          <w:sz w:val="24"/>
          <w:szCs w:val="24"/>
        </w:rPr>
        <w:lastRenderedPageBreak/>
        <w:t>§Average death rate per LSOA per day in London in 2011 estimated using data from the Office for National Statistics.[8-9] ¶ Number of hospital admission per LSOA per day for the financial year 2011-2012 estimated using data from the Office for National Statistics,[8] and NHS Digital.[10]</w:t>
      </w:r>
    </w:p>
    <w:p w:rsidR="00CA3582" w:rsidRDefault="00CA3582">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CA3582" w:rsidRPr="00CA3582" w:rsidRDefault="00CA3582" w:rsidP="00CA3582">
      <w:pPr>
        <w:spacing w:line="240" w:lineRule="auto"/>
        <w:rPr>
          <w:rFonts w:ascii="Times New Roman" w:eastAsiaTheme="minorEastAsia" w:hAnsi="Times New Roman" w:cs="Times New Roman"/>
          <w:b/>
          <w:sz w:val="24"/>
          <w:szCs w:val="24"/>
        </w:rPr>
        <w:sectPr w:rsidR="00CA3582" w:rsidRPr="00CA3582" w:rsidSect="00B25BAB">
          <w:footerReference w:type="default" r:id="rId7"/>
          <w:pgSz w:w="11906" w:h="16838"/>
          <w:pgMar w:top="1440" w:right="1440" w:bottom="1440" w:left="1440" w:header="709" w:footer="709" w:gutter="0"/>
          <w:cols w:space="708"/>
          <w:docGrid w:linePitch="360"/>
        </w:sectPr>
      </w:pPr>
    </w:p>
    <w:p w:rsidR="000923EA" w:rsidRPr="003D4F99" w:rsidRDefault="000923EA" w:rsidP="00E40845">
      <w:pPr>
        <w:spacing w:line="240" w:lineRule="auto"/>
        <w:rPr>
          <w:rFonts w:ascii="Times New Roman" w:eastAsiaTheme="minorEastAsia" w:hAnsi="Times New Roman" w:cs="Times New Roman"/>
          <w:sz w:val="24"/>
          <w:szCs w:val="24"/>
          <w:lang w:val="en-US"/>
        </w:rPr>
      </w:pPr>
      <w:r w:rsidRPr="001C008F">
        <w:rPr>
          <w:rFonts w:ascii="Times New Roman" w:eastAsiaTheme="minorEastAsia" w:hAnsi="Times New Roman" w:cs="Times New Roman"/>
          <w:b/>
          <w:sz w:val="24"/>
          <w:szCs w:val="24"/>
        </w:rPr>
        <w:lastRenderedPageBreak/>
        <w:t xml:space="preserve">Table </w:t>
      </w:r>
      <w:r>
        <w:rPr>
          <w:rFonts w:ascii="Times New Roman" w:eastAsiaTheme="minorEastAsia" w:hAnsi="Times New Roman" w:cs="Times New Roman"/>
          <w:b/>
          <w:sz w:val="24"/>
          <w:szCs w:val="24"/>
        </w:rPr>
        <w:t>S2</w:t>
      </w:r>
      <w:r w:rsidRPr="001C008F">
        <w:rPr>
          <w:rFonts w:ascii="Times New Roman" w:eastAsiaTheme="minorEastAsia" w:hAnsi="Times New Roman" w:cs="Times New Roman"/>
          <w:sz w:val="24"/>
          <w:szCs w:val="24"/>
        </w:rPr>
        <w:t xml:space="preserve"> Simulations’ results for the association between </w:t>
      </w:r>
      <w:r w:rsidRPr="00CD57CA">
        <w:rPr>
          <w:rFonts w:ascii="Times New Roman" w:eastAsiaTheme="minorEastAsia" w:hAnsi="Times New Roman" w:cs="Times New Roman"/>
          <w:sz w:val="24"/>
          <w:szCs w:val="24"/>
        </w:rPr>
        <w:t xml:space="preserve">cardiovascular admissions </w:t>
      </w:r>
      <w:r w:rsidRPr="001C008F">
        <w:rPr>
          <w:rFonts w:ascii="Times New Roman" w:eastAsiaTheme="minorEastAsia" w:hAnsi="Times New Roman" w:cs="Times New Roman"/>
          <w:sz w:val="24"/>
          <w:szCs w:val="24"/>
        </w:rPr>
        <w:t>and PM</w:t>
      </w:r>
      <w:r w:rsidRPr="001C008F">
        <w:rPr>
          <w:rFonts w:ascii="Times New Roman" w:eastAsiaTheme="minorEastAsia" w:hAnsi="Times New Roman" w:cs="Times New Roman"/>
          <w:sz w:val="24"/>
          <w:szCs w:val="24"/>
          <w:vertAlign w:val="subscript"/>
        </w:rPr>
        <w:t xml:space="preserve">10. </w:t>
      </w:r>
    </w:p>
    <w:tbl>
      <w:tblPr>
        <w:tblStyle w:val="TableGrid"/>
        <w:tblpPr w:leftFromText="180" w:rightFromText="180" w:vertAnchor="text" w:horzAnchor="margin" w:tblpY="61"/>
        <w:tblW w:w="13622" w:type="dxa"/>
        <w:tblLook w:val="04A0" w:firstRow="1" w:lastRow="0" w:firstColumn="1" w:lastColumn="0" w:noHBand="0" w:noVBand="1"/>
      </w:tblPr>
      <w:tblGrid>
        <w:gridCol w:w="1339"/>
        <w:gridCol w:w="1283"/>
        <w:gridCol w:w="1929"/>
        <w:gridCol w:w="1013"/>
        <w:gridCol w:w="1626"/>
        <w:gridCol w:w="1018"/>
        <w:gridCol w:w="1772"/>
        <w:gridCol w:w="1117"/>
        <w:gridCol w:w="1543"/>
        <w:gridCol w:w="982"/>
      </w:tblGrid>
      <w:tr w:rsidR="000923EA" w:rsidRPr="001C008F" w:rsidTr="004E64EB">
        <w:tc>
          <w:tcPr>
            <w:tcW w:w="1339" w:type="dxa"/>
            <w:vMerge w:val="restart"/>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vMerge w:val="restart"/>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5586" w:type="dxa"/>
            <w:gridSpan w:val="4"/>
            <w:vAlign w:val="center"/>
          </w:tcPr>
          <w:p w:rsidR="000923EA" w:rsidRPr="003D4F99"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3D4F99">
              <w:rPr>
                <w:rFonts w:ascii="Times New Roman" w:eastAsiaTheme="minorEastAsia" w:hAnsi="Times New Roman" w:cs="Times New Roman"/>
                <w:sz w:val="24"/>
                <w:szCs w:val="24"/>
              </w:rPr>
              <w:t>ffect</w:t>
            </w:r>
            <w:r>
              <w:rPr>
                <w:rFonts w:ascii="Times New Roman" w:eastAsiaTheme="minorEastAsia" w:hAnsi="Times New Roman" w:cs="Times New Roman"/>
                <w:sz w:val="24"/>
                <w:szCs w:val="24"/>
              </w:rPr>
              <w:t xml:space="preserve"> estimate for </w:t>
            </w:r>
            <w:r w:rsidRPr="003D4F99">
              <w:rPr>
                <w:rFonts w:ascii="Times New Roman" w:eastAsiaTheme="minorEastAsia" w:hAnsi="Times New Roman" w:cs="Times New Roman"/>
                <w:sz w:val="24"/>
                <w:szCs w:val="24"/>
              </w:rPr>
              <w:t xml:space="preserve"> 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w:t>
            </w:r>
            <w:r>
              <w:rPr>
                <w:rFonts w:ascii="Times New Roman" w:eastAsiaTheme="minorEastAsia" w:hAnsi="Times New Roman" w:cs="Times New Roman"/>
                <w:sz w:val="24"/>
                <w:szCs w:val="24"/>
                <w:lang w:val="en-US"/>
              </w:rPr>
              <w:t xml:space="preserve">in </w:t>
            </w:r>
            <w:r w:rsidRPr="003D4F99">
              <w:rPr>
                <w:rFonts w:ascii="Times New Roman" w:eastAsiaTheme="minorEastAsia" w:hAnsi="Times New Roman" w:cs="Times New Roman"/>
                <w:sz w:val="24"/>
                <w:szCs w:val="24"/>
              </w:rPr>
              <w:t>short-term exposure</w:t>
            </w:r>
          </w:p>
        </w:tc>
        <w:tc>
          <w:tcPr>
            <w:tcW w:w="5414" w:type="dxa"/>
            <w:gridSpan w:val="4"/>
            <w:vAlign w:val="center"/>
          </w:tcPr>
          <w:p w:rsidR="000923EA" w:rsidRPr="003D4F99"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3D4F99">
              <w:rPr>
                <w:rFonts w:ascii="Times New Roman" w:eastAsiaTheme="minorEastAsia" w:hAnsi="Times New Roman" w:cs="Times New Roman"/>
                <w:sz w:val="24"/>
                <w:szCs w:val="24"/>
              </w:rPr>
              <w:t>ffect</w:t>
            </w:r>
            <w:r>
              <w:rPr>
                <w:rFonts w:ascii="Times New Roman" w:eastAsiaTheme="minorEastAsia" w:hAnsi="Times New Roman" w:cs="Times New Roman"/>
                <w:sz w:val="24"/>
                <w:szCs w:val="24"/>
              </w:rPr>
              <w:t xml:space="preserve"> estimate for </w:t>
            </w:r>
            <w:r w:rsidRPr="003D4F99">
              <w:rPr>
                <w:rFonts w:ascii="Times New Roman" w:eastAsiaTheme="minorEastAsia" w:hAnsi="Times New Roman" w:cs="Times New Roman"/>
                <w:sz w:val="24"/>
                <w:szCs w:val="24"/>
              </w:rPr>
              <w:t xml:space="preserve">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w:t>
            </w:r>
            <w:r>
              <w:rPr>
                <w:rFonts w:ascii="Times New Roman" w:eastAsiaTheme="minorEastAsia" w:hAnsi="Times New Roman" w:cs="Times New Roman"/>
                <w:sz w:val="24"/>
                <w:szCs w:val="24"/>
                <w:lang w:val="en-US"/>
              </w:rPr>
              <w:t xml:space="preserve">in </w:t>
            </w:r>
            <w:r w:rsidRPr="003D4F99">
              <w:rPr>
                <w:rFonts w:ascii="Times New Roman" w:eastAsiaTheme="minorEastAsia" w:hAnsi="Times New Roman" w:cs="Times New Roman"/>
                <w:sz w:val="24"/>
                <w:szCs w:val="24"/>
              </w:rPr>
              <w:t>long-term exposure</w:t>
            </w:r>
          </w:p>
        </w:tc>
      </w:tr>
      <w:tr w:rsidR="000923EA" w:rsidRPr="001C008F" w:rsidTr="004E64EB">
        <w:tc>
          <w:tcPr>
            <w:tcW w:w="1339" w:type="dxa"/>
            <w:vMerge/>
            <w:vAlign w:val="center"/>
          </w:tcPr>
          <w:p w:rsidR="000923EA" w:rsidRPr="001C008F" w:rsidRDefault="000923EA" w:rsidP="00E40845">
            <w:pPr>
              <w:spacing w:after="0" w:line="240" w:lineRule="auto"/>
              <w:jc w:val="center"/>
              <w:rPr>
                <w:rFonts w:ascii="Times New Roman" w:eastAsiaTheme="minorEastAsia" w:hAnsi="Times New Roman" w:cs="Times New Roman"/>
                <w:b/>
                <w:sz w:val="24"/>
                <w:szCs w:val="24"/>
              </w:rPr>
            </w:pPr>
          </w:p>
        </w:tc>
        <w:tc>
          <w:tcPr>
            <w:tcW w:w="1283" w:type="dxa"/>
            <w:vMerge/>
            <w:vAlign w:val="center"/>
          </w:tcPr>
          <w:p w:rsidR="000923EA" w:rsidRPr="001C008F" w:rsidRDefault="000923EA" w:rsidP="00E40845">
            <w:pPr>
              <w:spacing w:after="0" w:line="240" w:lineRule="auto"/>
              <w:jc w:val="center"/>
              <w:rPr>
                <w:rFonts w:ascii="Times New Roman" w:eastAsiaTheme="minorEastAsia" w:hAnsi="Times New Roman" w:cs="Times New Roman"/>
                <w:b/>
                <w:sz w:val="24"/>
                <w:szCs w:val="24"/>
              </w:rPr>
            </w:pPr>
          </w:p>
        </w:tc>
        <w:tc>
          <w:tcPr>
            <w:tcW w:w="1929" w:type="dxa"/>
            <w:vAlign w:val="center"/>
          </w:tcPr>
          <w:p w:rsidR="000923EA" w:rsidRPr="007223B7" w:rsidRDefault="005D2604" w:rsidP="00E40845">
            <w:pPr>
              <w:spacing w:after="0" w:line="240" w:lineRule="auto"/>
              <w:jc w:val="center"/>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e>
                </m:acc>
                <m:r>
                  <w:rPr>
                    <w:rFonts w:ascii="Cambria Math" w:eastAsiaTheme="minorEastAsia" w:hAnsi="Cambria Math" w:cs="Times New Roman"/>
                    <w:sz w:val="24"/>
                    <w:szCs w:val="24"/>
                  </w:rPr>
                  <m:t>×</m:t>
                </m:r>
                <m:r>
                  <w:rPr>
                    <w:rFonts w:ascii="Cambria Math" w:eastAsiaTheme="minorEastAsia" w:hAnsi="Times New Roman" w:cs="Times New Roman"/>
                    <w:sz w:val="24"/>
                    <w:szCs w:val="24"/>
                  </w:rPr>
                  <m:t>10</m:t>
                </m:r>
              </m:oMath>
            </m:oMathPara>
          </w:p>
          <w:p w:rsidR="000923EA" w:rsidRPr="007223B7" w:rsidRDefault="000923EA" w:rsidP="00E40845">
            <w:pPr>
              <w:spacing w:after="0" w:line="240" w:lineRule="auto"/>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se</m:t>
                </m:r>
                <m:r>
                  <m:rPr>
                    <m:sty m:val="p"/>
                  </m:rPr>
                  <w:rPr>
                    <w:rFonts w:ascii="Cambria Math" w:eastAsiaTheme="minorEastAsia" w:hAnsi="Times New Roman" w:cs="Times New Roman"/>
                    <w:sz w:val="24"/>
                    <w:szCs w:val="24"/>
                  </w:rPr>
                  <m:t>(</m:t>
                </m:r>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10)</m:t>
                </m:r>
              </m:oMath>
            </m:oMathPara>
          </w:p>
        </w:tc>
        <w:tc>
          <w:tcPr>
            <w:tcW w:w="1013"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proofErr w:type="spellStart"/>
            <w:r w:rsidRPr="001C008F">
              <w:rPr>
                <w:rFonts w:ascii="Times New Roman" w:eastAsiaTheme="minorEastAsia" w:hAnsi="Times New Roman" w:cs="Times New Roman"/>
                <w:sz w:val="24"/>
                <w:szCs w:val="24"/>
              </w:rPr>
              <w:t>Bias</w:t>
            </w:r>
            <w:r w:rsidR="00A67842" w:rsidRPr="00A67842">
              <w:rPr>
                <w:rFonts w:ascii="Times New Roman" w:eastAsiaTheme="minorEastAsia" w:hAnsi="Times New Roman" w:cs="Times New Roman"/>
                <w:sz w:val="24"/>
                <w:szCs w:val="24"/>
                <w:vertAlign w:val="superscript"/>
              </w:rPr>
              <w:t>a</w:t>
            </w:r>
            <w:proofErr w:type="spellEnd"/>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1626"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Coverage probability</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1018"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Power</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1772" w:type="dxa"/>
            <w:vAlign w:val="center"/>
          </w:tcPr>
          <w:p w:rsidR="000923EA" w:rsidRPr="007223B7" w:rsidRDefault="005D2604" w:rsidP="00E40845">
            <w:pPr>
              <w:spacing w:after="0" w:line="240" w:lineRule="auto"/>
              <w:jc w:val="center"/>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e>
                </m:acc>
                <m:r>
                  <w:rPr>
                    <w:rFonts w:ascii="Cambria Math" w:eastAsiaTheme="minorEastAsia" w:hAnsi="Cambria Math" w:cs="Times New Roman"/>
                    <w:sz w:val="24"/>
                    <w:szCs w:val="24"/>
                  </w:rPr>
                  <m:t>×</m:t>
                </m:r>
                <m:r>
                  <w:rPr>
                    <w:rFonts w:ascii="Cambria Math" w:eastAsiaTheme="minorEastAsia" w:hAnsi="Times New Roman" w:cs="Times New Roman"/>
                    <w:sz w:val="24"/>
                    <w:szCs w:val="24"/>
                  </w:rPr>
                  <m:t>10</m:t>
                </m:r>
              </m:oMath>
            </m:oMathPara>
          </w:p>
          <w:p w:rsidR="000923EA" w:rsidRPr="007223B7" w:rsidRDefault="000923EA" w:rsidP="00E40845">
            <w:pPr>
              <w:spacing w:after="0" w:line="240" w:lineRule="auto"/>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se</m:t>
                </m:r>
                <m:r>
                  <m:rPr>
                    <m:sty m:val="p"/>
                  </m:rPr>
                  <w:rPr>
                    <w:rFonts w:ascii="Cambria Math" w:eastAsiaTheme="minorEastAsia" w:hAnsi="Times New Roman" w:cs="Times New Roman"/>
                    <w:sz w:val="24"/>
                    <w:szCs w:val="24"/>
                  </w:rPr>
                  <m:t>(</m:t>
                </m:r>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e>
                </m:acc>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m:t>
                </m:r>
                <m:r>
                  <w:rPr>
                    <w:rFonts w:ascii="Cambria Math" w:eastAsiaTheme="minorEastAsia" w:hAnsi="Times New Roman" w:cs="Times New Roman"/>
                    <w:sz w:val="24"/>
                    <w:szCs w:val="24"/>
                  </w:rPr>
                  <m:t>10)</m:t>
                </m:r>
              </m:oMath>
            </m:oMathPara>
          </w:p>
        </w:tc>
        <w:tc>
          <w:tcPr>
            <w:tcW w:w="1117"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proofErr w:type="spellStart"/>
            <w:r w:rsidRPr="001C008F">
              <w:rPr>
                <w:rFonts w:ascii="Times New Roman" w:eastAsiaTheme="minorEastAsia" w:hAnsi="Times New Roman" w:cs="Times New Roman"/>
                <w:sz w:val="24"/>
                <w:szCs w:val="24"/>
              </w:rPr>
              <w:t>Bias</w:t>
            </w:r>
            <w:r w:rsidR="00A67842" w:rsidRPr="00A67842">
              <w:rPr>
                <w:rFonts w:ascii="Times New Roman" w:eastAsiaTheme="minorEastAsia" w:hAnsi="Times New Roman" w:cs="Times New Roman"/>
                <w:sz w:val="24"/>
                <w:szCs w:val="24"/>
                <w:vertAlign w:val="superscript"/>
              </w:rPr>
              <w:t>a</w:t>
            </w:r>
            <w:proofErr w:type="spellEnd"/>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1543"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Coverage Probability</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c>
          <w:tcPr>
            <w:tcW w:w="982" w:type="dxa"/>
            <w:vAlign w:val="center"/>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Power</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w:t>
            </w:r>
          </w:p>
        </w:tc>
      </w:tr>
      <w:tr w:rsidR="000923EA" w:rsidRPr="001C008F" w:rsidTr="004E64EB">
        <w:trPr>
          <w:trHeight w:val="980"/>
        </w:trPr>
        <w:tc>
          <w:tcPr>
            <w:tcW w:w="1339" w:type="dxa"/>
            <w:vMerge w:val="restart"/>
            <w:vAlign w:val="center"/>
          </w:tcPr>
          <w:p w:rsidR="000923EA" w:rsidRPr="001C008F" w:rsidRDefault="000923EA" w:rsidP="00E40845">
            <w:pPr>
              <w:spacing w:after="0" w:line="240" w:lineRule="auto"/>
              <w:jc w:val="center"/>
              <w:rPr>
                <w:rFonts w:ascii="Times New Roman" w:eastAsiaTheme="minorEastAsia" w:hAnsi="Times New Roman" w:cs="Times New Roman"/>
                <w:b/>
                <w:sz w:val="24"/>
                <w:szCs w:val="24"/>
              </w:rPr>
            </w:pPr>
            <w:r w:rsidRPr="001C008F">
              <w:rPr>
                <w:rFonts w:ascii="Times New Roman" w:eastAsiaTheme="minorEastAsia" w:hAnsi="Times New Roman" w:cs="Times New Roman"/>
                <w:b/>
                <w:sz w:val="24"/>
                <w:szCs w:val="24"/>
              </w:rPr>
              <w:t>Urban / Suburban</w:t>
            </w: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Land Use Regression</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0.00466 (0.00233</w:t>
            </w:r>
            <w:r w:rsidRPr="00CD57CA">
              <w:rPr>
                <w:rFonts w:ascii="Times New Roman" w:eastAsiaTheme="minorEastAsia" w:hAnsi="Times New Roman" w:cs="Times New Roman"/>
                <w:sz w:val="24"/>
                <w:szCs w:val="24"/>
              </w:rPr>
              <w:t>)</w:t>
            </w:r>
          </w:p>
        </w:tc>
        <w:tc>
          <w:tcPr>
            <w:tcW w:w="1013" w:type="dxa"/>
            <w:vAlign w:val="center"/>
          </w:tcPr>
          <w:p w:rsidR="000923EA" w:rsidRPr="000923EA" w:rsidRDefault="000923EA" w:rsidP="00E40845">
            <w:pPr>
              <w:spacing w:after="0" w:line="240" w:lineRule="auto"/>
              <w:jc w:val="center"/>
              <w:rPr>
                <w:rFonts w:ascii="Times New Roman" w:eastAsiaTheme="minorEastAsia" w:hAnsi="Times New Roman" w:cs="Times New Roman"/>
                <w:b/>
                <w:sz w:val="24"/>
                <w:szCs w:val="24"/>
                <w:lang w:val="en-US"/>
              </w:rPr>
            </w:pPr>
            <w:r w:rsidRPr="00CD57CA">
              <w:rPr>
                <w:rFonts w:ascii="Times New Roman" w:eastAsiaTheme="minorEastAsia" w:hAnsi="Times New Roman" w:cs="Times New Roman"/>
                <w:b/>
                <w:sz w:val="24"/>
                <w:szCs w:val="24"/>
              </w:rPr>
              <w:t>16.6</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95.1</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51.5</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0.04584 (0.08062</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-88.7</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2.7</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16.4</w:t>
            </w:r>
          </w:p>
        </w:tc>
      </w:tr>
      <w:tr w:rsidR="000923EA" w:rsidRPr="001C008F" w:rsidTr="004E64EB">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Dispersion</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0.00388 (0.00144</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-2.7</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95.3</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77.7</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0.19909 (0.09505</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-50.9</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43.8</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52.8</w:t>
            </w:r>
          </w:p>
        </w:tc>
      </w:tr>
      <w:tr w:rsidR="000923EA" w:rsidRPr="001C008F" w:rsidTr="004E64EB">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Hybrid 1</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0.00415 (0.00154</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b/>
                <w:sz w:val="24"/>
                <w:szCs w:val="24"/>
              </w:rPr>
            </w:pPr>
            <w:r w:rsidRPr="00CD57CA">
              <w:rPr>
                <w:rFonts w:ascii="Times New Roman" w:eastAsiaTheme="minorEastAsia" w:hAnsi="Times New Roman" w:cs="Times New Roman"/>
                <w:b/>
                <w:sz w:val="24"/>
                <w:szCs w:val="24"/>
              </w:rPr>
              <w:t>4.0</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78.1</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0.08338 (0.08245</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-79.4</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5.9</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23.7</w:t>
            </w:r>
          </w:p>
        </w:tc>
      </w:tr>
      <w:tr w:rsidR="000923EA" w:rsidRPr="001C008F" w:rsidTr="004E64EB">
        <w:trPr>
          <w:trHeight w:val="962"/>
        </w:trPr>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Hybrid 2</w:t>
            </w:r>
          </w:p>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0.00428 (0.00159</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b/>
                <w:sz w:val="24"/>
                <w:szCs w:val="24"/>
              </w:rPr>
            </w:pPr>
            <w:r w:rsidRPr="00CD57CA">
              <w:rPr>
                <w:rFonts w:ascii="Times New Roman" w:eastAsiaTheme="minorEastAsia" w:hAnsi="Times New Roman" w:cs="Times New Roman"/>
                <w:b/>
                <w:sz w:val="24"/>
                <w:szCs w:val="24"/>
              </w:rPr>
              <w:t>7.3</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95.1</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76.4</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0.20930 (0.09941</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-48.4</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48.8</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54.3</w:t>
            </w:r>
          </w:p>
        </w:tc>
      </w:tr>
      <w:tr w:rsidR="000923EA" w:rsidRPr="001C008F" w:rsidTr="004E64EB">
        <w:trPr>
          <w:trHeight w:val="773"/>
        </w:trPr>
        <w:tc>
          <w:tcPr>
            <w:tcW w:w="1339" w:type="dxa"/>
            <w:vMerge w:val="restart"/>
            <w:vAlign w:val="center"/>
          </w:tcPr>
          <w:p w:rsidR="000923EA" w:rsidRDefault="000923EA" w:rsidP="00E40845">
            <w:pPr>
              <w:spacing w:after="0" w:line="240" w:lineRule="auto"/>
              <w:jc w:val="center"/>
              <w:rPr>
                <w:rFonts w:ascii="Times New Roman" w:eastAsiaTheme="minorEastAsia" w:hAnsi="Times New Roman" w:cs="Times New Roman"/>
                <w:b/>
                <w:sz w:val="24"/>
                <w:szCs w:val="24"/>
              </w:rPr>
            </w:pPr>
          </w:p>
          <w:p w:rsidR="000923EA" w:rsidRDefault="000923EA" w:rsidP="00E40845">
            <w:pPr>
              <w:spacing w:after="0" w:line="240" w:lineRule="auto"/>
              <w:jc w:val="center"/>
              <w:rPr>
                <w:rFonts w:ascii="Times New Roman" w:eastAsiaTheme="minorEastAsia" w:hAnsi="Times New Roman" w:cs="Times New Roman"/>
                <w:b/>
                <w:sz w:val="24"/>
                <w:szCs w:val="24"/>
              </w:rPr>
            </w:pPr>
          </w:p>
          <w:p w:rsidR="000923EA" w:rsidRDefault="000923EA" w:rsidP="00E40845">
            <w:pPr>
              <w:spacing w:after="0" w:line="240" w:lineRule="auto"/>
              <w:jc w:val="center"/>
              <w:rPr>
                <w:rFonts w:ascii="Times New Roman" w:eastAsiaTheme="minorEastAsia" w:hAnsi="Times New Roman" w:cs="Times New Roman"/>
                <w:b/>
                <w:sz w:val="24"/>
                <w:szCs w:val="24"/>
              </w:rPr>
            </w:pPr>
          </w:p>
          <w:p w:rsidR="000923EA" w:rsidRDefault="000923EA" w:rsidP="00E40845">
            <w:pPr>
              <w:spacing w:after="0" w:line="240" w:lineRule="auto"/>
              <w:jc w:val="center"/>
              <w:rPr>
                <w:rFonts w:ascii="Times New Roman" w:eastAsiaTheme="minorEastAsia" w:hAnsi="Times New Roman" w:cs="Times New Roman"/>
                <w:b/>
                <w:sz w:val="24"/>
                <w:szCs w:val="24"/>
              </w:rPr>
            </w:pPr>
          </w:p>
          <w:p w:rsidR="000923EA" w:rsidRPr="001C008F" w:rsidRDefault="000923EA" w:rsidP="00E40845">
            <w:pPr>
              <w:spacing w:after="0" w:line="240" w:lineRule="auto"/>
              <w:jc w:val="center"/>
              <w:rPr>
                <w:rFonts w:ascii="Times New Roman" w:eastAsiaTheme="minorEastAsia" w:hAnsi="Times New Roman" w:cs="Times New Roman"/>
                <w:b/>
                <w:sz w:val="24"/>
                <w:szCs w:val="24"/>
              </w:rPr>
            </w:pPr>
            <w:r w:rsidRPr="001C008F">
              <w:rPr>
                <w:rFonts w:ascii="Times New Roman" w:eastAsiaTheme="minorEastAsia" w:hAnsi="Times New Roman" w:cs="Times New Roman"/>
                <w:b/>
                <w:sz w:val="24"/>
                <w:szCs w:val="24"/>
              </w:rPr>
              <w:t>Roadside / Kerbside</w:t>
            </w: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Land Use Regression</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0.00403 (0.00173</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b/>
                <w:sz w:val="24"/>
                <w:szCs w:val="24"/>
              </w:rPr>
            </w:pPr>
            <w:r w:rsidRPr="00CD57CA">
              <w:rPr>
                <w:rFonts w:ascii="Times New Roman" w:eastAsiaTheme="minorEastAsia" w:hAnsi="Times New Roman" w:cs="Times New Roman"/>
                <w:b/>
                <w:sz w:val="24"/>
                <w:szCs w:val="24"/>
              </w:rPr>
              <w:t>1.0</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95.5</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63.3</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0.04116 (0.04997</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-89.8</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0.0</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15.5</w:t>
            </w:r>
          </w:p>
        </w:tc>
      </w:tr>
      <w:tr w:rsidR="000923EA" w:rsidRPr="001C008F" w:rsidTr="004E64EB">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Dispersion</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0.00372 (0.00122</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-6.9</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94.7</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86.3</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0.27562 (0.06056</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-32.0</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43.3</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98.4</w:t>
            </w:r>
          </w:p>
        </w:tc>
      </w:tr>
      <w:tr w:rsidR="000923EA" w:rsidRPr="001C008F" w:rsidTr="004E64EB">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Hybrid 1</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0.00370 (0.00124</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-7.3</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94.3</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84.7</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0.10886 (0.05168</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-73.2</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0.1</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57.4</w:t>
            </w:r>
          </w:p>
        </w:tc>
      </w:tr>
      <w:tr w:rsidR="000923EA" w:rsidRPr="001C008F" w:rsidTr="004E64EB">
        <w:trPr>
          <w:trHeight w:val="710"/>
        </w:trPr>
        <w:tc>
          <w:tcPr>
            <w:tcW w:w="1339" w:type="dxa"/>
            <w:vMerge/>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tc>
        <w:tc>
          <w:tcPr>
            <w:tcW w:w="1283" w:type="dxa"/>
          </w:tcPr>
          <w:p w:rsidR="000923EA" w:rsidRPr="001C008F" w:rsidRDefault="000923EA" w:rsidP="00E40845">
            <w:pPr>
              <w:spacing w:after="0" w:line="240" w:lineRule="auto"/>
              <w:jc w:val="center"/>
              <w:rPr>
                <w:rFonts w:ascii="Times New Roman" w:eastAsiaTheme="minorEastAsia" w:hAnsi="Times New Roman" w:cs="Times New Roman"/>
                <w:sz w:val="24"/>
                <w:szCs w:val="24"/>
              </w:rPr>
            </w:pPr>
          </w:p>
          <w:p w:rsidR="000923EA" w:rsidRPr="001C008F" w:rsidRDefault="000923EA" w:rsidP="00E40845">
            <w:pPr>
              <w:spacing w:after="0" w:line="240" w:lineRule="auto"/>
              <w:jc w:val="center"/>
              <w:rPr>
                <w:rFonts w:ascii="Times New Roman" w:eastAsiaTheme="minorEastAsia" w:hAnsi="Times New Roman" w:cs="Times New Roman"/>
                <w:sz w:val="24"/>
                <w:szCs w:val="24"/>
              </w:rPr>
            </w:pPr>
            <w:r w:rsidRPr="001C008F">
              <w:rPr>
                <w:rFonts w:ascii="Times New Roman" w:eastAsiaTheme="minorEastAsia" w:hAnsi="Times New Roman" w:cs="Times New Roman"/>
                <w:sz w:val="24"/>
                <w:szCs w:val="24"/>
              </w:rPr>
              <w:t>Hybrid 2</w:t>
            </w:r>
          </w:p>
        </w:tc>
        <w:tc>
          <w:tcPr>
            <w:tcW w:w="1929"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0.00403 (0.00135</w:t>
            </w:r>
            <w:r w:rsidRPr="00CD57CA">
              <w:rPr>
                <w:rFonts w:ascii="Times New Roman" w:eastAsiaTheme="minorEastAsia" w:hAnsi="Times New Roman" w:cs="Times New Roman"/>
                <w:sz w:val="24"/>
                <w:szCs w:val="24"/>
              </w:rPr>
              <w:t>)</w:t>
            </w:r>
          </w:p>
        </w:tc>
        <w:tc>
          <w:tcPr>
            <w:tcW w:w="1013" w:type="dxa"/>
            <w:vAlign w:val="center"/>
          </w:tcPr>
          <w:p w:rsidR="000923EA" w:rsidRPr="00CD57CA" w:rsidRDefault="000923EA" w:rsidP="00E40845">
            <w:pPr>
              <w:spacing w:after="0" w:line="240" w:lineRule="auto"/>
              <w:jc w:val="center"/>
              <w:rPr>
                <w:rFonts w:ascii="Times New Roman" w:eastAsiaTheme="minorEastAsia" w:hAnsi="Times New Roman" w:cs="Times New Roman"/>
                <w:b/>
                <w:sz w:val="24"/>
                <w:szCs w:val="24"/>
              </w:rPr>
            </w:pPr>
            <w:r w:rsidRPr="00CD57CA">
              <w:rPr>
                <w:rFonts w:ascii="Times New Roman" w:eastAsiaTheme="minorEastAsia" w:hAnsi="Times New Roman" w:cs="Times New Roman"/>
                <w:b/>
                <w:sz w:val="24"/>
                <w:szCs w:val="24"/>
              </w:rPr>
              <w:t>1.0</w:t>
            </w:r>
          </w:p>
        </w:tc>
        <w:tc>
          <w:tcPr>
            <w:tcW w:w="1626"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95.7</w:t>
            </w:r>
          </w:p>
        </w:tc>
        <w:tc>
          <w:tcPr>
            <w:tcW w:w="1018"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83.8</w:t>
            </w:r>
          </w:p>
        </w:tc>
        <w:tc>
          <w:tcPr>
            <w:tcW w:w="177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0.30194 (0.06531</w:t>
            </w:r>
            <w:r w:rsidRPr="00CD57CA">
              <w:rPr>
                <w:rFonts w:ascii="Times New Roman" w:eastAsiaTheme="minorEastAsia" w:hAnsi="Times New Roman" w:cs="Times New Roman"/>
                <w:sz w:val="24"/>
                <w:szCs w:val="24"/>
              </w:rPr>
              <w:t>)</w:t>
            </w:r>
          </w:p>
        </w:tc>
        <w:tc>
          <w:tcPr>
            <w:tcW w:w="1117"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-25.5</w:t>
            </w:r>
          </w:p>
        </w:tc>
        <w:tc>
          <w:tcPr>
            <w:tcW w:w="1543"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62.2</w:t>
            </w:r>
          </w:p>
        </w:tc>
        <w:tc>
          <w:tcPr>
            <w:tcW w:w="982" w:type="dxa"/>
            <w:vAlign w:val="center"/>
          </w:tcPr>
          <w:p w:rsidR="000923EA" w:rsidRPr="00CD57CA" w:rsidRDefault="000923EA" w:rsidP="00E40845">
            <w:pPr>
              <w:spacing w:after="0" w:line="240" w:lineRule="auto"/>
              <w:jc w:val="center"/>
              <w:rPr>
                <w:rFonts w:ascii="Times New Roman" w:eastAsiaTheme="minorEastAsia" w:hAnsi="Times New Roman" w:cs="Times New Roman"/>
                <w:sz w:val="24"/>
                <w:szCs w:val="24"/>
              </w:rPr>
            </w:pPr>
            <w:r w:rsidRPr="00CD57CA">
              <w:rPr>
                <w:rFonts w:ascii="Times New Roman" w:eastAsiaTheme="minorEastAsia" w:hAnsi="Times New Roman" w:cs="Times New Roman"/>
                <w:sz w:val="24"/>
                <w:szCs w:val="24"/>
              </w:rPr>
              <w:t>98.9</w:t>
            </w:r>
          </w:p>
        </w:tc>
      </w:tr>
    </w:tbl>
    <w:p w:rsidR="004C4379" w:rsidRPr="004C4379" w:rsidRDefault="004C4379" w:rsidP="004C4379">
      <w:pPr>
        <w:spacing w:after="0" w:line="240" w:lineRule="auto"/>
        <w:rPr>
          <w:rFonts w:ascii="Times New Roman" w:eastAsiaTheme="minorEastAsia" w:hAnsi="Times New Roman" w:cs="Times New Roman"/>
        </w:rPr>
      </w:pPr>
      <w:r w:rsidRPr="004C4379">
        <w:rPr>
          <w:rFonts w:ascii="Times New Roman" w:eastAsiaTheme="minorEastAsia" w:hAnsi="Times New Roman" w:cs="Times New Roman"/>
        </w:rPr>
        <w:t xml:space="preserve">The true effects considered were 0.0040 for short –term exposure and 0.4055 for long-term per 10 </w:t>
      </w:r>
      <w:r w:rsidRPr="004C4379">
        <w:rPr>
          <w:rFonts w:ascii="Times New Roman" w:eastAsiaTheme="minorEastAsia" w:hAnsi="Times New Roman" w:cs="Times New Roman"/>
          <w:lang w:val="el-GR"/>
        </w:rPr>
        <w:t>μ</w:t>
      </w:r>
      <w:r w:rsidRPr="004C4379">
        <w:rPr>
          <w:rFonts w:ascii="Times New Roman" w:eastAsiaTheme="minorEastAsia" w:hAnsi="Times New Roman" w:cs="Times New Roman"/>
          <w:lang w:val="en-US"/>
        </w:rPr>
        <w:t>g/m</w:t>
      </w:r>
      <w:r w:rsidRPr="004C4379">
        <w:rPr>
          <w:rFonts w:ascii="Times New Roman" w:eastAsiaTheme="minorEastAsia" w:hAnsi="Times New Roman" w:cs="Times New Roman"/>
          <w:vertAlign w:val="superscript"/>
          <w:lang w:val="en-US"/>
        </w:rPr>
        <w:t>3</w:t>
      </w:r>
      <w:r w:rsidRPr="004C4379">
        <w:rPr>
          <w:rFonts w:ascii="Times New Roman" w:eastAsiaTheme="minorEastAsia" w:hAnsi="Times New Roman" w:cs="Times New Roman"/>
          <w:lang w:val="en-US"/>
        </w:rPr>
        <w:t xml:space="preserve"> increase in PM</w:t>
      </w:r>
      <w:r w:rsidRPr="004C4379">
        <w:rPr>
          <w:rFonts w:ascii="Times New Roman" w:eastAsiaTheme="minorEastAsia" w:hAnsi="Times New Roman" w:cs="Times New Roman"/>
          <w:vertAlign w:val="subscript"/>
          <w:lang w:val="en-US"/>
        </w:rPr>
        <w:t>10</w:t>
      </w:r>
      <w:r w:rsidRPr="004C4379">
        <w:rPr>
          <w:rFonts w:ascii="Times New Roman" w:eastAsiaTheme="minorEastAsia" w:hAnsi="Times New Roman" w:cs="Times New Roman"/>
          <w:lang w:val="en-US"/>
        </w:rPr>
        <w:t xml:space="preserve">. </w:t>
      </w:r>
    </w:p>
    <w:p w:rsidR="000923EA" w:rsidRPr="004C4379" w:rsidRDefault="00033DB1" w:rsidP="00E40845">
      <w:pPr>
        <w:spacing w:after="0" w:line="240" w:lineRule="auto"/>
        <w:rPr>
          <w:rFonts w:ascii="Times New Roman" w:eastAsiaTheme="minorEastAsia" w:hAnsi="Times New Roman" w:cs="Times New Roman"/>
        </w:rPr>
      </w:pPr>
      <w:proofErr w:type="spellStart"/>
      <w:proofErr w:type="gramStart"/>
      <w:r>
        <w:rPr>
          <w:rFonts w:ascii="Times New Roman" w:eastAsiaTheme="minorEastAsia" w:hAnsi="Times New Roman" w:cs="Times New Roman"/>
          <w:vertAlign w:val="superscript"/>
        </w:rPr>
        <w:t>a</w:t>
      </w:r>
      <w:r w:rsidR="000923EA" w:rsidRPr="004C4379">
        <w:rPr>
          <w:rFonts w:ascii="Times New Roman" w:eastAsiaTheme="minorEastAsia" w:hAnsi="Times New Roman" w:cs="Times New Roman"/>
        </w:rPr>
        <w:t>Percent</w:t>
      </w:r>
      <w:proofErr w:type="spellEnd"/>
      <w:proofErr w:type="gramEnd"/>
      <w:r w:rsidR="000923EA" w:rsidRPr="004C4379">
        <w:rPr>
          <w:rFonts w:ascii="Times New Roman" w:eastAsiaTheme="minorEastAsia" w:hAnsi="Times New Roman" w:cs="Times New Roman"/>
        </w:rPr>
        <w:t xml:space="preserve"> bias is highlighted in bold when positive (i.e. away from the null) rather than ne</w:t>
      </w:r>
      <w:r w:rsidR="004C4379">
        <w:rPr>
          <w:rFonts w:ascii="Times New Roman" w:eastAsiaTheme="minorEastAsia" w:hAnsi="Times New Roman" w:cs="Times New Roman"/>
        </w:rPr>
        <w:t>gative (i.e. towards the null).</w:t>
      </w:r>
    </w:p>
    <w:p w:rsidR="000923EA" w:rsidRPr="004C4379" w:rsidRDefault="000923EA" w:rsidP="00E40845">
      <w:pPr>
        <w:spacing w:after="200" w:line="360" w:lineRule="auto"/>
        <w:rPr>
          <w:rFonts w:ascii="Times New Roman" w:eastAsiaTheme="minorEastAsia" w:hAnsi="Times New Roman" w:cs="Times New Roman"/>
          <w:b/>
        </w:rPr>
      </w:pPr>
      <w:r w:rsidRPr="004C4379">
        <w:rPr>
          <w:rFonts w:ascii="Times New Roman" w:eastAsiaTheme="minorEastAsia" w:hAnsi="Times New Roman" w:cs="Times New Roman"/>
          <w:b/>
        </w:rPr>
        <w:br w:type="page"/>
      </w:r>
    </w:p>
    <w:p w:rsidR="000923EA" w:rsidRPr="003D4F99" w:rsidRDefault="000923EA" w:rsidP="00E40845">
      <w:pPr>
        <w:spacing w:line="240" w:lineRule="auto"/>
        <w:rPr>
          <w:rFonts w:ascii="Times New Roman" w:eastAsiaTheme="minorEastAsia" w:hAnsi="Times New Roman" w:cs="Times New Roman"/>
          <w:sz w:val="24"/>
          <w:szCs w:val="24"/>
          <w:lang w:val="en-US"/>
        </w:rPr>
      </w:pPr>
      <w:r w:rsidRPr="004168DE">
        <w:rPr>
          <w:rFonts w:ascii="Times New Roman" w:eastAsiaTheme="minorEastAsia" w:hAnsi="Times New Roman" w:cs="Times New Roman"/>
          <w:b/>
          <w:sz w:val="24"/>
          <w:szCs w:val="24"/>
        </w:rPr>
        <w:lastRenderedPageBreak/>
        <w:t xml:space="preserve">Table </w:t>
      </w:r>
      <w:r>
        <w:rPr>
          <w:rFonts w:ascii="Times New Roman" w:eastAsiaTheme="minorEastAsia" w:hAnsi="Times New Roman" w:cs="Times New Roman"/>
          <w:b/>
          <w:sz w:val="24"/>
          <w:szCs w:val="24"/>
        </w:rPr>
        <w:t>S3.</w:t>
      </w:r>
      <w:r w:rsidRPr="001C008F">
        <w:rPr>
          <w:rFonts w:ascii="Times New Roman" w:eastAsiaTheme="minorEastAsia" w:hAnsi="Times New Roman" w:cs="Times New Roman"/>
          <w:sz w:val="24"/>
          <w:szCs w:val="24"/>
        </w:rPr>
        <w:t xml:space="preserve">Simulations’ results for the association between </w:t>
      </w:r>
      <w:r w:rsidRPr="00CD57CA">
        <w:rPr>
          <w:rFonts w:ascii="Times New Roman" w:eastAsiaTheme="minorEastAsia" w:hAnsi="Times New Roman" w:cs="Times New Roman"/>
          <w:sz w:val="24"/>
          <w:szCs w:val="24"/>
        </w:rPr>
        <w:t xml:space="preserve">cardiovascular admissions </w:t>
      </w:r>
      <w:r w:rsidRPr="001C008F">
        <w:rPr>
          <w:rFonts w:ascii="Times New Roman" w:eastAsiaTheme="minorEastAsia" w:hAnsi="Times New Roman" w:cs="Times New Roman"/>
          <w:sz w:val="24"/>
          <w:szCs w:val="24"/>
        </w:rPr>
        <w:t>and PM</w:t>
      </w:r>
      <w:r w:rsidRPr="004168DE">
        <w:rPr>
          <w:rFonts w:ascii="Times New Roman" w:eastAsiaTheme="minorEastAsia" w:hAnsi="Times New Roman" w:cs="Times New Roman"/>
          <w:sz w:val="24"/>
          <w:szCs w:val="24"/>
          <w:vertAlign w:val="subscript"/>
        </w:rPr>
        <w:t>2.5</w:t>
      </w:r>
      <w:r w:rsidRPr="001C008F">
        <w:rPr>
          <w:rFonts w:ascii="Times New Roman" w:eastAsiaTheme="minorEastAsia" w:hAnsi="Times New Roman" w:cs="Times New Roman"/>
          <w:sz w:val="24"/>
          <w:szCs w:val="24"/>
          <w:vertAlign w:val="subscript"/>
        </w:rPr>
        <w:t xml:space="preserve">. </w:t>
      </w:r>
    </w:p>
    <w:tbl>
      <w:tblPr>
        <w:tblStyle w:val="TableGrid"/>
        <w:tblW w:w="14144" w:type="dxa"/>
        <w:tblInd w:w="-522" w:type="dxa"/>
        <w:tblLook w:val="04A0" w:firstRow="1" w:lastRow="0" w:firstColumn="1" w:lastColumn="0" w:noHBand="0" w:noVBand="1"/>
      </w:tblPr>
      <w:tblGrid>
        <w:gridCol w:w="1440"/>
        <w:gridCol w:w="1961"/>
        <w:gridCol w:w="1866"/>
        <w:gridCol w:w="983"/>
        <w:gridCol w:w="1599"/>
        <w:gridCol w:w="971"/>
        <w:gridCol w:w="1754"/>
        <w:gridCol w:w="1078"/>
        <w:gridCol w:w="1521"/>
        <w:gridCol w:w="971"/>
      </w:tblGrid>
      <w:tr w:rsidR="000923EA" w:rsidRPr="004168DE" w:rsidTr="004E64EB">
        <w:tc>
          <w:tcPr>
            <w:tcW w:w="1440" w:type="dxa"/>
            <w:vMerge w:val="restart"/>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Merge w:val="restart"/>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Model</w:t>
            </w:r>
          </w:p>
        </w:tc>
        <w:tc>
          <w:tcPr>
            <w:tcW w:w="5419" w:type="dxa"/>
            <w:gridSpan w:val="4"/>
            <w:vAlign w:val="center"/>
          </w:tcPr>
          <w:p w:rsidR="000923EA" w:rsidRPr="003D4F99"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3D4F99">
              <w:rPr>
                <w:rFonts w:ascii="Times New Roman" w:eastAsiaTheme="minorEastAsia" w:hAnsi="Times New Roman" w:cs="Times New Roman"/>
                <w:sz w:val="24"/>
                <w:szCs w:val="24"/>
              </w:rPr>
              <w:t>ffect</w:t>
            </w:r>
            <w:r>
              <w:rPr>
                <w:rFonts w:ascii="Times New Roman" w:eastAsiaTheme="minorEastAsia" w:hAnsi="Times New Roman" w:cs="Times New Roman"/>
                <w:sz w:val="24"/>
                <w:szCs w:val="24"/>
              </w:rPr>
              <w:t xml:space="preserve"> estimate for </w:t>
            </w:r>
            <w:r w:rsidRPr="003D4F99">
              <w:rPr>
                <w:rFonts w:ascii="Times New Roman" w:eastAsiaTheme="minorEastAsia" w:hAnsi="Times New Roman" w:cs="Times New Roman"/>
                <w:sz w:val="24"/>
                <w:szCs w:val="24"/>
              </w:rPr>
              <w:t xml:space="preserve">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w:t>
            </w:r>
            <w:r>
              <w:rPr>
                <w:rFonts w:ascii="Times New Roman" w:eastAsiaTheme="minorEastAsia" w:hAnsi="Times New Roman" w:cs="Times New Roman"/>
                <w:sz w:val="24"/>
                <w:szCs w:val="24"/>
                <w:lang w:val="en-US"/>
              </w:rPr>
              <w:t xml:space="preserve">in </w:t>
            </w:r>
            <w:r w:rsidRPr="003D4F99">
              <w:rPr>
                <w:rFonts w:ascii="Times New Roman" w:eastAsiaTheme="minorEastAsia" w:hAnsi="Times New Roman" w:cs="Times New Roman"/>
                <w:sz w:val="24"/>
                <w:szCs w:val="24"/>
              </w:rPr>
              <w:t>short-term exposure</w:t>
            </w:r>
          </w:p>
        </w:tc>
        <w:tc>
          <w:tcPr>
            <w:tcW w:w="5324" w:type="dxa"/>
            <w:gridSpan w:val="4"/>
            <w:vAlign w:val="center"/>
          </w:tcPr>
          <w:p w:rsidR="000923EA" w:rsidRPr="003D4F99"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E</w:t>
            </w:r>
            <w:r w:rsidRPr="003D4F99">
              <w:rPr>
                <w:rFonts w:ascii="Times New Roman" w:eastAsiaTheme="minorEastAsia" w:hAnsi="Times New Roman" w:cs="Times New Roman"/>
                <w:sz w:val="24"/>
                <w:szCs w:val="24"/>
              </w:rPr>
              <w:t>ffect</w:t>
            </w:r>
            <w:r>
              <w:rPr>
                <w:rFonts w:ascii="Times New Roman" w:eastAsiaTheme="minorEastAsia" w:hAnsi="Times New Roman" w:cs="Times New Roman"/>
                <w:sz w:val="24"/>
                <w:szCs w:val="24"/>
              </w:rPr>
              <w:t xml:space="preserve"> estimate for </w:t>
            </w:r>
            <w:r w:rsidRPr="003D4F99">
              <w:rPr>
                <w:rFonts w:ascii="Times New Roman" w:eastAsiaTheme="minorEastAsia" w:hAnsi="Times New Roman" w:cs="Times New Roman"/>
                <w:sz w:val="24"/>
                <w:szCs w:val="24"/>
              </w:rPr>
              <w:t xml:space="preserve">10 </w:t>
            </w:r>
            <w:r w:rsidRPr="003D4F99">
              <w:rPr>
                <w:rFonts w:ascii="Times New Roman" w:eastAsiaTheme="minorEastAsia" w:hAnsi="Times New Roman" w:cs="Times New Roman"/>
                <w:sz w:val="24"/>
                <w:szCs w:val="24"/>
                <w:lang w:val="el-GR"/>
              </w:rPr>
              <w:t>μ</w:t>
            </w:r>
            <w:r w:rsidRPr="003D4F99">
              <w:rPr>
                <w:rFonts w:ascii="Times New Roman" w:eastAsiaTheme="minorEastAsia" w:hAnsi="Times New Roman" w:cs="Times New Roman"/>
                <w:sz w:val="24"/>
                <w:szCs w:val="24"/>
                <w:lang w:val="en-US"/>
              </w:rPr>
              <w:t>g/m</w:t>
            </w:r>
            <w:r w:rsidRPr="003D4F99">
              <w:rPr>
                <w:rFonts w:ascii="Times New Roman" w:eastAsiaTheme="minorEastAsia" w:hAnsi="Times New Roman" w:cs="Times New Roman"/>
                <w:sz w:val="24"/>
                <w:szCs w:val="24"/>
                <w:vertAlign w:val="superscript"/>
                <w:lang w:val="en-US"/>
              </w:rPr>
              <w:t>3</w:t>
            </w:r>
            <w:r w:rsidRPr="003D4F99">
              <w:rPr>
                <w:rFonts w:ascii="Times New Roman" w:eastAsiaTheme="minorEastAsia" w:hAnsi="Times New Roman" w:cs="Times New Roman"/>
                <w:sz w:val="24"/>
                <w:szCs w:val="24"/>
                <w:lang w:val="en-US"/>
              </w:rPr>
              <w:t xml:space="preserve"> increase </w:t>
            </w:r>
            <w:r>
              <w:rPr>
                <w:rFonts w:ascii="Times New Roman" w:eastAsiaTheme="minorEastAsia" w:hAnsi="Times New Roman" w:cs="Times New Roman"/>
                <w:sz w:val="24"/>
                <w:szCs w:val="24"/>
                <w:lang w:val="en-US"/>
              </w:rPr>
              <w:t xml:space="preserve">in </w:t>
            </w:r>
            <w:r w:rsidRPr="003D4F99">
              <w:rPr>
                <w:rFonts w:ascii="Times New Roman" w:eastAsiaTheme="minorEastAsia" w:hAnsi="Times New Roman" w:cs="Times New Roman"/>
                <w:sz w:val="24"/>
                <w:szCs w:val="24"/>
              </w:rPr>
              <w:t>long-term exposure</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b/>
                <w:sz w:val="24"/>
                <w:szCs w:val="24"/>
              </w:rPr>
            </w:pPr>
          </w:p>
        </w:tc>
        <w:tc>
          <w:tcPr>
            <w:tcW w:w="1961"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b/>
                <w:sz w:val="24"/>
                <w:szCs w:val="24"/>
              </w:rPr>
            </w:pPr>
          </w:p>
        </w:tc>
        <w:tc>
          <w:tcPr>
            <w:tcW w:w="1866" w:type="dxa"/>
            <w:vAlign w:val="center"/>
          </w:tcPr>
          <w:p w:rsidR="000923EA" w:rsidRPr="004168DE" w:rsidRDefault="005D2604" w:rsidP="00E40845">
            <w:pPr>
              <w:spacing w:after="0" w:line="240" w:lineRule="auto"/>
              <w:jc w:val="center"/>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oMath>
            </m:oMathPara>
          </w:p>
          <w:p w:rsidR="000923EA" w:rsidRPr="004168DE" w:rsidRDefault="000923EA" w:rsidP="00E40845">
            <w:pPr>
              <w:spacing w:after="0" w:line="240" w:lineRule="auto"/>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se</m:t>
                </m:r>
                <m:r>
                  <m:rPr>
                    <m:sty m:val="p"/>
                  </m:rPr>
                  <w:rPr>
                    <w:rFonts w:ascii="Cambria Math" w:eastAsiaTheme="minorEastAsia" w:hAnsi="Times New Roman" w:cs="Times New Roman"/>
                    <w:sz w:val="24"/>
                    <w:szCs w:val="24"/>
                  </w:rPr>
                  <m:t>(</m:t>
                </m:r>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1</m:t>
                        </m:r>
                      </m:sub>
                    </m:sSub>
                  </m:e>
                </m:acc>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oMath>
            </m:oMathPara>
          </w:p>
        </w:tc>
        <w:tc>
          <w:tcPr>
            <w:tcW w:w="983"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roofErr w:type="spellStart"/>
            <w:r w:rsidRPr="004168DE">
              <w:rPr>
                <w:rFonts w:ascii="Times New Roman" w:eastAsiaTheme="minorEastAsia" w:hAnsi="Times New Roman" w:cs="Times New Roman"/>
                <w:sz w:val="24"/>
                <w:szCs w:val="24"/>
              </w:rPr>
              <w:t>Bias</w:t>
            </w:r>
            <w:r w:rsidR="00A67842" w:rsidRPr="00A67842">
              <w:rPr>
                <w:rFonts w:ascii="Times New Roman" w:eastAsiaTheme="minorEastAsia" w:hAnsi="Times New Roman" w:cs="Times New Roman"/>
                <w:sz w:val="24"/>
                <w:szCs w:val="24"/>
                <w:vertAlign w:val="superscript"/>
              </w:rPr>
              <w:t>a</w:t>
            </w:r>
            <w:proofErr w:type="spellEnd"/>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1599"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Coverage probability</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97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Power</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1754" w:type="dxa"/>
            <w:vAlign w:val="center"/>
          </w:tcPr>
          <w:p w:rsidR="000923EA" w:rsidRPr="004168DE" w:rsidRDefault="005D2604" w:rsidP="00E40845">
            <w:pPr>
              <w:spacing w:after="0" w:line="240" w:lineRule="auto"/>
              <w:jc w:val="center"/>
              <w:rPr>
                <w:rFonts w:ascii="Times New Roman" w:eastAsiaTheme="minorEastAsia" w:hAnsi="Times New Roman" w:cs="Times New Roman"/>
                <w:sz w:val="24"/>
                <w:szCs w:val="24"/>
              </w:rPr>
            </w:pPr>
            <m:oMathPara>
              <m:oMath>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e>
                </m:acc>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oMath>
            </m:oMathPara>
          </w:p>
          <w:p w:rsidR="000923EA" w:rsidRPr="004168DE" w:rsidRDefault="000923EA" w:rsidP="00E40845">
            <w:pPr>
              <w:spacing w:after="0" w:line="240" w:lineRule="auto"/>
              <w:jc w:val="center"/>
              <w:rPr>
                <w:rFonts w:ascii="Times New Roman" w:eastAsiaTheme="minorEastAsia" w:hAnsi="Times New Roman" w:cs="Times New Roman"/>
                <w:sz w:val="24"/>
                <w:szCs w:val="24"/>
              </w:rPr>
            </w:pPr>
            <m:oMathPara>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se</m:t>
                </m:r>
                <m:r>
                  <m:rPr>
                    <m:sty m:val="p"/>
                  </m:rPr>
                  <w:rPr>
                    <w:rFonts w:ascii="Cambria Math" w:eastAsiaTheme="minorEastAsia" w:hAnsi="Times New Roman" w:cs="Times New Roman"/>
                    <w:sz w:val="24"/>
                    <w:szCs w:val="24"/>
                  </w:rPr>
                  <m:t>(</m:t>
                </m:r>
                <m:acc>
                  <m:accPr>
                    <m:ctrlPr>
                      <w:rPr>
                        <w:rFonts w:ascii="Cambria Math" w:eastAsiaTheme="minorEastAsia" w:hAnsi="Times New Roman" w:cs="Times New Roman"/>
                        <w:i/>
                        <w:sz w:val="24"/>
                        <w:szCs w:val="24"/>
                      </w:rPr>
                    </m:ctrlPr>
                  </m:acc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Times New Roman" w:cs="Times New Roman"/>
                            <w:sz w:val="24"/>
                            <w:szCs w:val="24"/>
                          </w:rPr>
                          <m:t>2</m:t>
                        </m:r>
                      </m:sub>
                    </m:sSub>
                  </m:e>
                </m:acc>
                <m:r>
                  <w:rPr>
                    <w:rFonts w:ascii="Cambria Math" w:eastAsiaTheme="minorEastAsia" w:hAnsi="Times New Roman" w:cs="Times New Roman"/>
                    <w:sz w:val="24"/>
                    <w:szCs w:val="24"/>
                  </w:rPr>
                  <m:t xml:space="preserve">) </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10)</m:t>
                </m:r>
              </m:oMath>
            </m:oMathPara>
          </w:p>
        </w:tc>
        <w:tc>
          <w:tcPr>
            <w:tcW w:w="1078"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roofErr w:type="spellStart"/>
            <w:r w:rsidRPr="004168DE">
              <w:rPr>
                <w:rFonts w:ascii="Times New Roman" w:eastAsiaTheme="minorEastAsia" w:hAnsi="Times New Roman" w:cs="Times New Roman"/>
                <w:sz w:val="24"/>
                <w:szCs w:val="24"/>
              </w:rPr>
              <w:t>Bias</w:t>
            </w:r>
            <w:r w:rsidR="00A67842" w:rsidRPr="00A67842">
              <w:rPr>
                <w:rFonts w:ascii="Times New Roman" w:eastAsiaTheme="minorEastAsia" w:hAnsi="Times New Roman" w:cs="Times New Roman"/>
                <w:sz w:val="24"/>
                <w:szCs w:val="24"/>
                <w:vertAlign w:val="superscript"/>
              </w:rPr>
              <w:t>a</w:t>
            </w:r>
            <w:proofErr w:type="spellEnd"/>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152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Coverage Probability</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c>
          <w:tcPr>
            <w:tcW w:w="97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Power</w:t>
            </w:r>
          </w:p>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w:t>
            </w:r>
          </w:p>
        </w:tc>
      </w:tr>
      <w:tr w:rsidR="000923EA" w:rsidRPr="004168DE" w:rsidTr="004E64EB">
        <w:tc>
          <w:tcPr>
            <w:tcW w:w="1440" w:type="dxa"/>
            <w:vMerge w:val="restart"/>
            <w:vAlign w:val="center"/>
          </w:tcPr>
          <w:p w:rsidR="000923EA" w:rsidRPr="004168DE" w:rsidRDefault="000923EA" w:rsidP="00E40845">
            <w:pPr>
              <w:spacing w:after="0" w:line="240" w:lineRule="auto"/>
              <w:jc w:val="center"/>
              <w:rPr>
                <w:rFonts w:ascii="Times New Roman" w:eastAsiaTheme="minorEastAsia" w:hAnsi="Times New Roman" w:cs="Times New Roman"/>
                <w:b/>
                <w:sz w:val="24"/>
                <w:szCs w:val="24"/>
              </w:rPr>
            </w:pPr>
            <w:r w:rsidRPr="004168DE">
              <w:rPr>
                <w:rFonts w:ascii="Times New Roman" w:eastAsiaTheme="minorEastAsia" w:hAnsi="Times New Roman" w:cs="Times New Roman"/>
                <w:b/>
                <w:sz w:val="24"/>
                <w:szCs w:val="24"/>
              </w:rPr>
              <w:t>Urban / Suburban</w:t>
            </w: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Land Use Regression</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0.01054 (0.00371</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16.3</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92.4</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81.0</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0.00141 (0.12787</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-95.4</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86.0</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12.7</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Dispersion</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0.00722 (0.00206</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-20.3</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84.9</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93.7</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0.00579 (0.13573</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-81.1</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84.5</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14.1</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Machine learning methods</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0.00815 (0.00234</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-10.0</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93.5</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93.8</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0.00855 (0.16441</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-72.2</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75.8</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24.1</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1</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0.00929 (0.00266</w:t>
            </w:r>
            <w:r w:rsidRPr="00B92FA2">
              <w:rPr>
                <w:rFonts w:ascii="Times New Roman" w:eastAsiaTheme="minorEastAsia" w:hAnsi="Times New Roman" w:cs="Times New Roman"/>
                <w:sz w:val="24"/>
                <w:szCs w:val="24"/>
              </w:rPr>
              <w:t>)</w:t>
            </w:r>
          </w:p>
        </w:tc>
        <w:tc>
          <w:tcPr>
            <w:tcW w:w="983" w:type="dxa"/>
            <w:vAlign w:val="center"/>
          </w:tcPr>
          <w:p w:rsidR="000923EA" w:rsidRPr="00C238F9"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b/>
                <w:sz w:val="24"/>
                <w:szCs w:val="24"/>
              </w:rPr>
              <w:t>2.5</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94.5</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94.6</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0.01411 (0.12849</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-54.1</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86.4</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13.5</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2</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0.00900 (0.00258</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sz w:val="24"/>
                <w:szCs w:val="24"/>
              </w:rPr>
              <w:t>-0.7</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95.1</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94.1</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-0.00281 (0.15937</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-109.1</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79.4</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20.4</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3</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0.00880 (0.00249</w:t>
            </w:r>
            <w:r w:rsidRPr="00B92FA2">
              <w:rPr>
                <w:rFonts w:ascii="Times New Roman" w:eastAsiaTheme="minorEastAsia" w:hAnsi="Times New Roman" w:cs="Times New Roman"/>
                <w:sz w:val="24"/>
                <w:szCs w:val="24"/>
              </w:rPr>
              <w:t>)</w:t>
            </w:r>
          </w:p>
        </w:tc>
        <w:tc>
          <w:tcPr>
            <w:tcW w:w="983" w:type="dxa"/>
            <w:vAlign w:val="center"/>
          </w:tcPr>
          <w:p w:rsidR="000923EA" w:rsidRPr="00C238F9"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sz w:val="24"/>
                <w:szCs w:val="24"/>
              </w:rPr>
              <w:t>-2.9</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94.2</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93.8</w:t>
            </w:r>
          </w:p>
        </w:tc>
        <w:tc>
          <w:tcPr>
            <w:tcW w:w="1754" w:type="dxa"/>
            <w:vAlign w:val="center"/>
          </w:tcPr>
          <w:p w:rsidR="000923EA" w:rsidRPr="00E40845" w:rsidRDefault="000923EA" w:rsidP="00E40845">
            <w:pPr>
              <w:spacing w:after="0" w:line="240" w:lineRule="auto"/>
              <w:jc w:val="center"/>
              <w:rPr>
                <w:rFonts w:ascii="Times New Roman" w:eastAsiaTheme="minorEastAsia" w:hAnsi="Times New Roman" w:cs="Times New Roman"/>
                <w:sz w:val="24"/>
                <w:szCs w:val="24"/>
              </w:rPr>
            </w:pPr>
            <w:r w:rsidRPr="00E40845">
              <w:rPr>
                <w:rFonts w:ascii="Times New Roman" w:eastAsiaTheme="minorEastAsia" w:hAnsi="Times New Roman" w:cs="Times New Roman"/>
                <w:sz w:val="24"/>
                <w:szCs w:val="24"/>
              </w:rPr>
              <w:t>0.02418 (0.16757)</w:t>
            </w:r>
          </w:p>
        </w:tc>
        <w:tc>
          <w:tcPr>
            <w:tcW w:w="1078" w:type="dxa"/>
            <w:vAlign w:val="center"/>
          </w:tcPr>
          <w:p w:rsidR="000923EA" w:rsidRPr="00E40845" w:rsidRDefault="000923EA" w:rsidP="00E40845">
            <w:pPr>
              <w:spacing w:after="0" w:line="240" w:lineRule="auto"/>
              <w:jc w:val="center"/>
              <w:rPr>
                <w:rFonts w:ascii="Times New Roman" w:eastAsiaTheme="minorEastAsia" w:hAnsi="Times New Roman" w:cs="Times New Roman"/>
                <w:sz w:val="24"/>
                <w:szCs w:val="24"/>
              </w:rPr>
            </w:pPr>
            <w:r w:rsidRPr="00E40845">
              <w:rPr>
                <w:rFonts w:ascii="Times New Roman" w:eastAsiaTheme="minorEastAsia" w:hAnsi="Times New Roman" w:cs="Times New Roman"/>
                <w:sz w:val="24"/>
                <w:szCs w:val="24"/>
              </w:rPr>
              <w:t>-21.3</w:t>
            </w:r>
          </w:p>
        </w:tc>
        <w:tc>
          <w:tcPr>
            <w:tcW w:w="152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84.3</w:t>
            </w:r>
          </w:p>
        </w:tc>
        <w:tc>
          <w:tcPr>
            <w:tcW w:w="971" w:type="dxa"/>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16.8</w:t>
            </w:r>
          </w:p>
        </w:tc>
      </w:tr>
      <w:tr w:rsidR="000923EA" w:rsidRPr="004168DE" w:rsidTr="004E64EB">
        <w:tc>
          <w:tcPr>
            <w:tcW w:w="1440" w:type="dxa"/>
            <w:vMerge w:val="restart"/>
            <w:vAlign w:val="center"/>
          </w:tcPr>
          <w:p w:rsidR="000923EA" w:rsidRPr="004168DE" w:rsidRDefault="000923EA" w:rsidP="00E40845">
            <w:pPr>
              <w:spacing w:after="0" w:line="240" w:lineRule="auto"/>
              <w:jc w:val="center"/>
              <w:rPr>
                <w:rFonts w:ascii="Times New Roman" w:eastAsiaTheme="minorEastAsia" w:hAnsi="Times New Roman" w:cs="Times New Roman"/>
                <w:b/>
                <w:sz w:val="24"/>
                <w:szCs w:val="24"/>
              </w:rPr>
            </w:pPr>
            <w:r w:rsidRPr="004168DE">
              <w:rPr>
                <w:rFonts w:ascii="Times New Roman" w:eastAsiaTheme="minorEastAsia" w:hAnsi="Times New Roman" w:cs="Times New Roman"/>
                <w:b/>
                <w:sz w:val="24"/>
                <w:szCs w:val="24"/>
              </w:rPr>
              <w:t>Roadside  Kerbside</w:t>
            </w: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Land Use Regression</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0.00956 (0.00268</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5.5</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94.9</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95.5</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0.02895 (0.04308</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-5.8</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46.6</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54.6</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Dispersion</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0.00762 (0.00177</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-15.9</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88.2</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99.4</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0.03886 (0.03989</w:t>
            </w:r>
            <w:r w:rsidRPr="00B92FA2">
              <w:rPr>
                <w:rFonts w:ascii="Times New Roman" w:eastAsiaTheme="minorEastAsia" w:hAnsi="Times New Roman" w:cs="Times New Roman"/>
                <w:sz w:val="24"/>
                <w:szCs w:val="24"/>
              </w:rPr>
              <w:t>)</w:t>
            </w:r>
          </w:p>
        </w:tc>
        <w:tc>
          <w:tcPr>
            <w:tcW w:w="1078" w:type="dxa"/>
            <w:vAlign w:val="center"/>
          </w:tcPr>
          <w:p w:rsidR="000923EA" w:rsidRPr="0091399F"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b/>
                <w:sz w:val="24"/>
                <w:szCs w:val="24"/>
              </w:rPr>
              <w:t>26.5</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57.5</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46.5</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Machine learning methods</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0.00884 (0.00200</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-2.4</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95.2</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99.5</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 xml:space="preserve">0.05307 </w:t>
            </w:r>
            <w:r>
              <w:rPr>
                <w:rFonts w:ascii="Times New Roman" w:eastAsiaTheme="minorEastAsia" w:hAnsi="Times New Roman" w:cs="Times New Roman"/>
                <w:sz w:val="24"/>
                <w:szCs w:val="24"/>
              </w:rPr>
              <w:t>(0.04415</w:t>
            </w:r>
            <w:r w:rsidRPr="00B92FA2">
              <w:rPr>
                <w:rFonts w:ascii="Times New Roman" w:eastAsiaTheme="minorEastAsia" w:hAnsi="Times New Roman" w:cs="Times New Roman"/>
                <w:sz w:val="24"/>
                <w:szCs w:val="24"/>
              </w:rPr>
              <w:t>)</w:t>
            </w:r>
          </w:p>
        </w:tc>
        <w:tc>
          <w:tcPr>
            <w:tcW w:w="1078" w:type="dxa"/>
            <w:vAlign w:val="center"/>
          </w:tcPr>
          <w:p w:rsidR="000923EA" w:rsidRPr="0091399F"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72.7</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43.0</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61.8</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1</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0.00876 (0.00203</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-3.3</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94.8</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99.4</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0.03658 (0.04031</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19.0</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51.4</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49.7</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2</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0.00947 (0.00220</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4.5</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94.8</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99.2</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0.04896 (0.04084</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59.3</w:t>
            </w:r>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50.7</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53.1</w:t>
            </w:r>
          </w:p>
        </w:tc>
      </w:tr>
      <w:tr w:rsidR="000923EA" w:rsidRPr="004168DE" w:rsidTr="004E64EB">
        <w:tc>
          <w:tcPr>
            <w:tcW w:w="1440" w:type="dxa"/>
            <w:vMerge/>
            <w:vAlign w:val="center"/>
          </w:tcPr>
          <w:p w:rsidR="000923EA" w:rsidRPr="004168DE" w:rsidRDefault="000923EA" w:rsidP="00E40845">
            <w:pPr>
              <w:spacing w:after="0" w:line="240" w:lineRule="auto"/>
              <w:jc w:val="center"/>
              <w:rPr>
                <w:rFonts w:ascii="Times New Roman" w:eastAsiaTheme="minorEastAsia" w:hAnsi="Times New Roman" w:cs="Times New Roman"/>
                <w:sz w:val="24"/>
                <w:szCs w:val="24"/>
              </w:rPr>
            </w:pPr>
          </w:p>
        </w:tc>
        <w:tc>
          <w:tcPr>
            <w:tcW w:w="1961" w:type="dxa"/>
            <w:vAlign w:val="center"/>
          </w:tcPr>
          <w:p w:rsidR="000923EA" w:rsidRPr="004168DE" w:rsidRDefault="000923EA" w:rsidP="00E40845">
            <w:pPr>
              <w:spacing w:after="0" w:line="240" w:lineRule="auto"/>
              <w:rPr>
                <w:rFonts w:ascii="Times New Roman" w:eastAsiaTheme="minorEastAsia" w:hAnsi="Times New Roman" w:cs="Times New Roman"/>
                <w:sz w:val="24"/>
                <w:szCs w:val="24"/>
              </w:rPr>
            </w:pPr>
            <w:r w:rsidRPr="004168DE">
              <w:rPr>
                <w:rFonts w:ascii="Times New Roman" w:eastAsiaTheme="minorEastAsia" w:hAnsi="Times New Roman" w:cs="Times New Roman"/>
                <w:sz w:val="24"/>
                <w:szCs w:val="24"/>
              </w:rPr>
              <w:t>Hybrid 3</w:t>
            </w:r>
          </w:p>
        </w:tc>
        <w:tc>
          <w:tcPr>
            <w:tcW w:w="1866"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0.00944 (0.00212</w:t>
            </w:r>
            <w:r w:rsidRPr="00B92FA2">
              <w:rPr>
                <w:rFonts w:ascii="Times New Roman" w:eastAsiaTheme="minorEastAsia" w:hAnsi="Times New Roman" w:cs="Times New Roman"/>
                <w:sz w:val="24"/>
                <w:szCs w:val="24"/>
              </w:rPr>
              <w:t>)</w:t>
            </w:r>
          </w:p>
        </w:tc>
        <w:tc>
          <w:tcPr>
            <w:tcW w:w="983"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4.2</w:t>
            </w:r>
          </w:p>
        </w:tc>
        <w:tc>
          <w:tcPr>
            <w:tcW w:w="1599"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95.3</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99.7</w:t>
            </w:r>
          </w:p>
        </w:tc>
        <w:tc>
          <w:tcPr>
            <w:tcW w:w="1754"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0.03886 (0.04580</w:t>
            </w:r>
            <w:r w:rsidRPr="00B92FA2">
              <w:rPr>
                <w:rFonts w:ascii="Times New Roman" w:eastAsiaTheme="minorEastAsia" w:hAnsi="Times New Roman" w:cs="Times New Roman"/>
                <w:sz w:val="24"/>
                <w:szCs w:val="24"/>
              </w:rPr>
              <w:t>)</w:t>
            </w:r>
          </w:p>
        </w:tc>
        <w:tc>
          <w:tcPr>
            <w:tcW w:w="1078" w:type="dxa"/>
            <w:vAlign w:val="center"/>
          </w:tcPr>
          <w:p w:rsidR="000923EA" w:rsidRPr="00B92FA2" w:rsidRDefault="000923EA" w:rsidP="00E40845">
            <w:pPr>
              <w:spacing w:after="0" w:line="240" w:lineRule="auto"/>
              <w:jc w:val="center"/>
              <w:rPr>
                <w:rFonts w:ascii="Times New Roman" w:eastAsiaTheme="minorEastAsia" w:hAnsi="Times New Roman" w:cs="Times New Roman"/>
                <w:b/>
                <w:sz w:val="24"/>
                <w:szCs w:val="24"/>
              </w:rPr>
            </w:pPr>
            <w:r w:rsidRPr="00B92FA2">
              <w:rPr>
                <w:rFonts w:ascii="Times New Roman" w:eastAsiaTheme="minorEastAsia" w:hAnsi="Times New Roman" w:cs="Times New Roman"/>
                <w:b/>
                <w:sz w:val="24"/>
                <w:szCs w:val="24"/>
              </w:rPr>
              <w:t>26.5</w:t>
            </w:r>
            <w:bookmarkStart w:id="0" w:name="_GoBack"/>
            <w:bookmarkEnd w:id="0"/>
          </w:p>
        </w:tc>
        <w:tc>
          <w:tcPr>
            <w:tcW w:w="152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63.9</w:t>
            </w:r>
          </w:p>
        </w:tc>
        <w:tc>
          <w:tcPr>
            <w:tcW w:w="971" w:type="dxa"/>
            <w:vAlign w:val="center"/>
          </w:tcPr>
          <w:p w:rsidR="000923EA" w:rsidRPr="00B92FA2" w:rsidRDefault="000923EA" w:rsidP="00E40845">
            <w:pPr>
              <w:spacing w:after="0" w:line="240" w:lineRule="auto"/>
              <w:jc w:val="center"/>
              <w:rPr>
                <w:rFonts w:ascii="Times New Roman" w:eastAsiaTheme="minorEastAsia" w:hAnsi="Times New Roman" w:cs="Times New Roman"/>
                <w:sz w:val="24"/>
                <w:szCs w:val="24"/>
              </w:rPr>
            </w:pPr>
            <w:r w:rsidRPr="00B92FA2">
              <w:rPr>
                <w:rFonts w:ascii="Times New Roman" w:eastAsiaTheme="minorEastAsia" w:hAnsi="Times New Roman" w:cs="Times New Roman"/>
                <w:sz w:val="24"/>
                <w:szCs w:val="24"/>
              </w:rPr>
              <w:t>40.5</w:t>
            </w:r>
          </w:p>
        </w:tc>
      </w:tr>
    </w:tbl>
    <w:p w:rsidR="00D2720C" w:rsidRDefault="00A4352D" w:rsidP="00A4352D">
      <w:pPr>
        <w:spacing w:after="0" w:line="240" w:lineRule="auto"/>
        <w:rPr>
          <w:rFonts w:ascii="Times New Roman" w:eastAsiaTheme="minorEastAsia" w:hAnsi="Times New Roman" w:cs="Times New Roman"/>
          <w:lang w:val="en-US"/>
        </w:rPr>
      </w:pPr>
      <w:r w:rsidRPr="00A4352D">
        <w:rPr>
          <w:rFonts w:ascii="Times New Roman" w:eastAsiaTheme="minorEastAsia" w:hAnsi="Times New Roman" w:cs="Times New Roman"/>
        </w:rPr>
        <w:t xml:space="preserve">The true effects considered were 0.0091 for short –term exposure and 0.0307 for long-term per 10 </w:t>
      </w:r>
      <w:r w:rsidRPr="00A4352D">
        <w:rPr>
          <w:rFonts w:ascii="Times New Roman" w:eastAsiaTheme="minorEastAsia" w:hAnsi="Times New Roman" w:cs="Times New Roman"/>
          <w:lang w:val="el-GR"/>
        </w:rPr>
        <w:t>μ</w:t>
      </w:r>
      <w:r w:rsidRPr="00A4352D">
        <w:rPr>
          <w:rFonts w:ascii="Times New Roman" w:eastAsiaTheme="minorEastAsia" w:hAnsi="Times New Roman" w:cs="Times New Roman"/>
          <w:lang w:val="en-US"/>
        </w:rPr>
        <w:t>g/m</w:t>
      </w:r>
      <w:r w:rsidRPr="00A4352D">
        <w:rPr>
          <w:rFonts w:ascii="Times New Roman" w:eastAsiaTheme="minorEastAsia" w:hAnsi="Times New Roman" w:cs="Times New Roman"/>
          <w:vertAlign w:val="superscript"/>
          <w:lang w:val="en-US"/>
        </w:rPr>
        <w:t>3</w:t>
      </w:r>
      <w:r w:rsidRPr="00A4352D">
        <w:rPr>
          <w:rFonts w:ascii="Times New Roman" w:eastAsiaTheme="minorEastAsia" w:hAnsi="Times New Roman" w:cs="Times New Roman"/>
          <w:lang w:val="en-US"/>
        </w:rPr>
        <w:t xml:space="preserve"> increase in PM</w:t>
      </w:r>
      <w:r w:rsidRPr="00A4352D">
        <w:rPr>
          <w:rFonts w:ascii="Times New Roman" w:eastAsiaTheme="minorEastAsia" w:hAnsi="Times New Roman" w:cs="Times New Roman"/>
          <w:vertAlign w:val="subscript"/>
          <w:lang w:val="en-US"/>
        </w:rPr>
        <w:t>2.5</w:t>
      </w:r>
      <w:r w:rsidRPr="00A4352D">
        <w:rPr>
          <w:rFonts w:ascii="Times New Roman" w:eastAsiaTheme="minorEastAsia" w:hAnsi="Times New Roman" w:cs="Times New Roman"/>
          <w:lang w:val="en-US"/>
        </w:rPr>
        <w:t>.</w:t>
      </w:r>
    </w:p>
    <w:p w:rsidR="000D2FF9" w:rsidRDefault="00D2720C" w:rsidP="00A4352D">
      <w:pPr>
        <w:spacing w:after="0" w:line="240" w:lineRule="auto"/>
        <w:rPr>
          <w:rFonts w:ascii="Times New Roman" w:eastAsiaTheme="minorEastAsia" w:hAnsi="Times New Roman" w:cs="Times New Roman"/>
          <w:b/>
          <w:sz w:val="24"/>
          <w:szCs w:val="24"/>
        </w:rPr>
        <w:sectPr w:rsidR="000D2FF9" w:rsidSect="00A4352D">
          <w:pgSz w:w="16838" w:h="11906" w:orient="landscape"/>
          <w:pgMar w:top="1134" w:right="1440" w:bottom="1134" w:left="1440" w:header="709" w:footer="709" w:gutter="0"/>
          <w:cols w:space="708"/>
          <w:docGrid w:linePitch="360"/>
        </w:sectPr>
      </w:pPr>
      <w:r w:rsidRPr="00AD038C">
        <w:rPr>
          <w:rFonts w:ascii="Times New Roman" w:eastAsiaTheme="minorEastAsia" w:hAnsi="Times New Roman" w:cs="Times New Roman"/>
          <w:vertAlign w:val="superscript"/>
        </w:rPr>
        <w:t xml:space="preserve"> </w:t>
      </w:r>
      <w:proofErr w:type="spellStart"/>
      <w:proofErr w:type="gramStart"/>
      <w:r w:rsidR="000923EA" w:rsidRPr="00AD038C">
        <w:rPr>
          <w:rFonts w:ascii="Times New Roman" w:eastAsiaTheme="minorEastAsia" w:hAnsi="Times New Roman" w:cs="Times New Roman"/>
          <w:vertAlign w:val="superscript"/>
        </w:rPr>
        <w:t>a</w:t>
      </w:r>
      <w:r w:rsidR="000923EA" w:rsidRPr="00AD038C">
        <w:rPr>
          <w:rFonts w:ascii="Times New Roman" w:eastAsiaTheme="minorEastAsia" w:hAnsi="Times New Roman" w:cs="Times New Roman"/>
        </w:rPr>
        <w:t>Percent</w:t>
      </w:r>
      <w:proofErr w:type="spellEnd"/>
      <w:proofErr w:type="gramEnd"/>
      <w:r w:rsidR="000923EA" w:rsidRPr="00AD038C">
        <w:rPr>
          <w:rFonts w:ascii="Times New Roman" w:eastAsiaTheme="minorEastAsia" w:hAnsi="Times New Roman" w:cs="Times New Roman"/>
        </w:rPr>
        <w:t xml:space="preserve"> bias is highlighted in bold when positive (i.e. away from the null) rather than ne</w:t>
      </w:r>
      <w:r w:rsidR="00033DB1">
        <w:rPr>
          <w:rFonts w:ascii="Times New Roman" w:eastAsiaTheme="minorEastAsia" w:hAnsi="Times New Roman" w:cs="Times New Roman"/>
        </w:rPr>
        <w:t>gative (i.e. towards the null).</w:t>
      </w:r>
    </w:p>
    <w:p w:rsidR="000D2FF9" w:rsidRPr="00CA3582" w:rsidRDefault="000D2FF9" w:rsidP="000D2FF9">
      <w:pPr>
        <w:spacing w:line="480" w:lineRule="auto"/>
        <w:rPr>
          <w:rFonts w:ascii="Times New Roman" w:hAnsi="Times New Roman" w:cs="Times New Roman"/>
          <w:b/>
          <w:sz w:val="24"/>
          <w:szCs w:val="24"/>
        </w:rPr>
      </w:pPr>
      <w:r w:rsidRPr="00CA3582">
        <w:rPr>
          <w:rFonts w:ascii="Times New Roman" w:hAnsi="Times New Roman" w:cs="Times New Roman"/>
          <w:b/>
          <w:sz w:val="24"/>
          <w:szCs w:val="24"/>
        </w:rPr>
        <w:lastRenderedPageBreak/>
        <w:t>References</w:t>
      </w:r>
    </w:p>
    <w:p w:rsidR="000D2FF9" w:rsidRDefault="000D2FF9" w:rsidP="000D2FF9">
      <w:pPr>
        <w:spacing w:line="480" w:lineRule="auto"/>
        <w:rPr>
          <w:rFonts w:ascii="Times New Roman" w:hAnsi="Times New Roman" w:cs="Times New Roman"/>
          <w:sz w:val="24"/>
          <w:szCs w:val="24"/>
        </w:rPr>
      </w:pPr>
      <w:r w:rsidRPr="00CA3582">
        <w:rPr>
          <w:rFonts w:ascii="Times New Roman" w:hAnsi="Times New Roman" w:cs="Times New Roman"/>
          <w:sz w:val="24"/>
          <w:szCs w:val="24"/>
        </w:rPr>
        <w:t xml:space="preserve">[1] </w:t>
      </w:r>
      <w:r w:rsidRPr="00897021">
        <w:rPr>
          <w:rFonts w:ascii="Times New Roman" w:hAnsi="Times New Roman" w:cs="Times New Roman"/>
          <w:sz w:val="24"/>
          <w:szCs w:val="24"/>
        </w:rPr>
        <w:t>Katsouyanni K, Samet JM. Air pollution and Health: A European and North AmericanApproach (APHENA). Health Effect Institute Report, Number 142, October 2009, p28 and 43, Tables 11 and 32. [Lag 1, partial autocorrelation function, natural spline model]</w:t>
      </w:r>
      <w:r w:rsidRPr="00897021">
        <w:rPr>
          <w:rFonts w:ascii="Times New Roman" w:hAnsi="Times New Roman" w:cs="Times New Roman"/>
          <w:i/>
          <w:sz w:val="24"/>
          <w:szCs w:val="24"/>
        </w:rPr>
        <w:t>.</w:t>
      </w:r>
    </w:p>
    <w:p w:rsidR="000D2FF9" w:rsidRPr="00081BC5" w:rsidRDefault="000D2FF9" w:rsidP="000D2FF9">
      <w:pPr>
        <w:spacing w:line="480" w:lineRule="auto"/>
        <w:rPr>
          <w:rFonts w:ascii="Times New Roman" w:hAnsi="Times New Roman" w:cs="Times New Roman"/>
          <w:sz w:val="24"/>
          <w:szCs w:val="24"/>
        </w:rPr>
      </w:pPr>
      <w:r w:rsidRPr="00595437">
        <w:rPr>
          <w:rFonts w:ascii="Times New Roman" w:hAnsi="Times New Roman" w:cs="Times New Roman"/>
          <w:sz w:val="24"/>
          <w:szCs w:val="24"/>
        </w:rPr>
        <w:t>[2] Hoek G, Krishnan RM, Beelen R, Peters A, Ost</w:t>
      </w:r>
      <w:r>
        <w:rPr>
          <w:rFonts w:ascii="Times New Roman" w:hAnsi="Times New Roman" w:cs="Times New Roman"/>
          <w:sz w:val="24"/>
          <w:szCs w:val="24"/>
        </w:rPr>
        <w:t>ro B, Brunekreef B, Kaufman JD. Long-</w:t>
      </w:r>
      <w:r w:rsidRPr="00595437">
        <w:rPr>
          <w:rFonts w:ascii="Times New Roman" w:hAnsi="Times New Roman" w:cs="Times New Roman"/>
          <w:sz w:val="24"/>
          <w:szCs w:val="24"/>
        </w:rPr>
        <w:t xml:space="preserve">term air pollution exposure </w:t>
      </w:r>
      <w:r w:rsidRPr="00081BC5">
        <w:rPr>
          <w:rFonts w:ascii="Times New Roman" w:hAnsi="Times New Roman" w:cs="Times New Roman"/>
          <w:sz w:val="24"/>
          <w:szCs w:val="24"/>
        </w:rPr>
        <w:t>and cardio- respiratory mortality: a review. Environ Health 2013</w:t>
      </w:r>
      <w:proofErr w:type="gramStart"/>
      <w:r w:rsidRPr="00081BC5">
        <w:rPr>
          <w:rFonts w:ascii="Times New Roman" w:hAnsi="Times New Roman" w:cs="Times New Roman"/>
          <w:sz w:val="24"/>
          <w:szCs w:val="24"/>
        </w:rPr>
        <w:t>;12</w:t>
      </w:r>
      <w:proofErr w:type="gramEnd"/>
      <w:r w:rsidRPr="00081BC5">
        <w:rPr>
          <w:rFonts w:ascii="Times New Roman" w:hAnsi="Times New Roman" w:cs="Times New Roman"/>
          <w:sz w:val="24"/>
          <w:szCs w:val="24"/>
        </w:rPr>
        <w:t xml:space="preserve">(1):43. </w:t>
      </w:r>
    </w:p>
    <w:p w:rsidR="000D2FF9" w:rsidRPr="00081BC5" w:rsidRDefault="000D2FF9" w:rsidP="000D2FF9">
      <w:pPr>
        <w:spacing w:line="480" w:lineRule="auto"/>
        <w:rPr>
          <w:rFonts w:ascii="Times New Roman" w:hAnsi="Times New Roman" w:cs="Times New Roman"/>
          <w:sz w:val="24"/>
          <w:szCs w:val="24"/>
          <w:highlight w:val="yellow"/>
        </w:rPr>
      </w:pPr>
      <w:r w:rsidRPr="00081BC5">
        <w:rPr>
          <w:rFonts w:ascii="Times New Roman" w:hAnsi="Times New Roman" w:cs="Times New Roman"/>
          <w:sz w:val="24"/>
          <w:szCs w:val="24"/>
        </w:rPr>
        <w:t xml:space="preserve">[3] Anderson HR, Atkinson RW, </w:t>
      </w:r>
      <w:proofErr w:type="spellStart"/>
      <w:r w:rsidRPr="00081BC5">
        <w:rPr>
          <w:rFonts w:ascii="Times New Roman" w:hAnsi="Times New Roman" w:cs="Times New Roman"/>
          <w:sz w:val="24"/>
          <w:szCs w:val="24"/>
        </w:rPr>
        <w:t>Bremner</w:t>
      </w:r>
      <w:proofErr w:type="spellEnd"/>
      <w:r w:rsidRPr="00081BC5">
        <w:rPr>
          <w:rFonts w:ascii="Times New Roman" w:hAnsi="Times New Roman" w:cs="Times New Roman"/>
          <w:sz w:val="24"/>
          <w:szCs w:val="24"/>
        </w:rPr>
        <w:t xml:space="preserve"> SA, Carrington J, Peacock J. Quantitative systematic review of short term associations between ambient air pollution (particulate matter, ozone, nitrogen dioxide, sulphur dioxide and carbon monoxide), and mortality and morbidity. Report to Department of Health revised following first review, June 2007, p69, Table 4.2a. URL: </w:t>
      </w:r>
      <w:hyperlink r:id="rId8" w:history="1">
        <w:r w:rsidRPr="00081BC5">
          <w:rPr>
            <w:rStyle w:val="Hyperlink"/>
            <w:rFonts w:ascii="Times New Roman" w:hAnsi="Times New Roman" w:cs="Times New Roman"/>
          </w:rPr>
          <w:t>https://www.gov.uk/government/publications/quantitative-systematic-review-of-short-</w:t>
        </w:r>
        <w:r w:rsidRPr="00081BC5">
          <w:rPr>
            <w:rStyle w:val="Hyperlink"/>
            <w:rFonts w:ascii="Times New Roman" w:hAnsi="Times New Roman" w:cs="Times New Roman"/>
          </w:rPr>
          <w:lastRenderedPageBreak/>
          <w:t>term-associations-between-ambient-air-pollution-particulate-matter-ozone-nitrogen-dioxide-sulphur-dioxide-and-carbon-monoxide-and-mortality-and-morbidity</w:t>
        </w:r>
      </w:hyperlink>
    </w:p>
    <w:p w:rsidR="000D2FF9" w:rsidRDefault="000D2FF9" w:rsidP="000D2FF9">
      <w:pPr>
        <w:spacing w:line="480" w:lineRule="auto"/>
        <w:rPr>
          <w:rFonts w:ascii="Times New Roman" w:hAnsi="Times New Roman" w:cs="Times New Roman"/>
          <w:sz w:val="24"/>
          <w:szCs w:val="24"/>
        </w:rPr>
      </w:pPr>
      <w:r w:rsidRPr="00071485">
        <w:rPr>
          <w:rFonts w:ascii="Times New Roman" w:hAnsi="Times New Roman" w:cs="Times New Roman"/>
          <w:sz w:val="24"/>
          <w:szCs w:val="24"/>
        </w:rPr>
        <w:t>[4] Faustini</w:t>
      </w:r>
      <w:r>
        <w:rPr>
          <w:rFonts w:ascii="Times New Roman" w:hAnsi="Times New Roman" w:cs="Times New Roman"/>
          <w:sz w:val="24"/>
          <w:szCs w:val="24"/>
        </w:rPr>
        <w:t xml:space="preserve"> A, </w:t>
      </w:r>
      <w:r w:rsidRPr="00071485">
        <w:rPr>
          <w:rFonts w:ascii="Times New Roman" w:hAnsi="Times New Roman" w:cs="Times New Roman"/>
          <w:sz w:val="24"/>
          <w:szCs w:val="24"/>
        </w:rPr>
        <w:t>Rapp</w:t>
      </w:r>
      <w:r>
        <w:rPr>
          <w:rFonts w:ascii="Times New Roman" w:hAnsi="Times New Roman" w:cs="Times New Roman"/>
          <w:sz w:val="24"/>
          <w:szCs w:val="24"/>
        </w:rPr>
        <w:t xml:space="preserve"> R, </w:t>
      </w:r>
      <w:r w:rsidRPr="00071485">
        <w:rPr>
          <w:rFonts w:ascii="Times New Roman" w:hAnsi="Times New Roman" w:cs="Times New Roman"/>
          <w:sz w:val="24"/>
          <w:szCs w:val="24"/>
        </w:rPr>
        <w:t>Forastiere</w:t>
      </w:r>
      <w:r>
        <w:rPr>
          <w:rFonts w:ascii="Times New Roman" w:hAnsi="Times New Roman" w:cs="Times New Roman"/>
          <w:sz w:val="24"/>
          <w:szCs w:val="24"/>
        </w:rPr>
        <w:t xml:space="preserve"> F. </w:t>
      </w:r>
      <w:r w:rsidRPr="00071485">
        <w:rPr>
          <w:rFonts w:ascii="Times New Roman" w:hAnsi="Times New Roman" w:cs="Times New Roman"/>
          <w:sz w:val="24"/>
          <w:szCs w:val="24"/>
        </w:rPr>
        <w:t>Nitrogen dioxide and mortality: review and meta-analysis of long-term studies</w:t>
      </w:r>
      <w:r>
        <w:rPr>
          <w:rFonts w:ascii="Times New Roman" w:hAnsi="Times New Roman" w:cs="Times New Roman"/>
          <w:sz w:val="24"/>
          <w:szCs w:val="24"/>
        </w:rPr>
        <w:t xml:space="preserve">. </w:t>
      </w:r>
      <w:proofErr w:type="spellStart"/>
      <w:r>
        <w:rPr>
          <w:rFonts w:ascii="Times New Roman" w:hAnsi="Times New Roman" w:cs="Times New Roman"/>
          <w:sz w:val="24"/>
          <w:szCs w:val="24"/>
        </w:rPr>
        <w:t>EurRespir</w:t>
      </w:r>
      <w:proofErr w:type="spellEnd"/>
      <w:r>
        <w:rPr>
          <w:rFonts w:ascii="Times New Roman" w:hAnsi="Times New Roman" w:cs="Times New Roman"/>
          <w:sz w:val="24"/>
          <w:szCs w:val="24"/>
        </w:rPr>
        <w:t xml:space="preserve"> J 2014</w:t>
      </w:r>
      <w:proofErr w:type="gramStart"/>
      <w:r w:rsidRPr="00071485">
        <w:rPr>
          <w:rFonts w:ascii="Times New Roman" w:hAnsi="Times New Roman" w:cs="Times New Roman"/>
          <w:sz w:val="24"/>
          <w:szCs w:val="24"/>
        </w:rPr>
        <w:t>;44</w:t>
      </w:r>
      <w:proofErr w:type="gramEnd"/>
      <w:r w:rsidRPr="00071485">
        <w:rPr>
          <w:rFonts w:ascii="Times New Roman" w:hAnsi="Times New Roman" w:cs="Times New Roman"/>
          <w:sz w:val="24"/>
          <w:szCs w:val="24"/>
        </w:rPr>
        <w:t xml:space="preserve">(3):744-53. </w:t>
      </w:r>
    </w:p>
    <w:p w:rsidR="000D2FF9" w:rsidRPr="00CA3582" w:rsidRDefault="000D2FF9" w:rsidP="000D2FF9">
      <w:pPr>
        <w:spacing w:line="480" w:lineRule="auto"/>
        <w:rPr>
          <w:rFonts w:ascii="Times New Roman" w:hAnsi="Times New Roman" w:cs="Times New Roman"/>
          <w:sz w:val="24"/>
          <w:szCs w:val="24"/>
          <w:highlight w:val="yellow"/>
        </w:rPr>
      </w:pPr>
      <w:r w:rsidRPr="00E9040F">
        <w:rPr>
          <w:rFonts w:ascii="Times New Roman" w:hAnsi="Times New Roman" w:cs="Times New Roman"/>
          <w:sz w:val="24"/>
          <w:szCs w:val="24"/>
        </w:rPr>
        <w:t xml:space="preserve">[5] </w:t>
      </w:r>
      <w:proofErr w:type="spellStart"/>
      <w:r w:rsidRPr="00E9040F">
        <w:rPr>
          <w:rFonts w:ascii="Times New Roman" w:hAnsi="Times New Roman" w:cs="Times New Roman"/>
          <w:sz w:val="24"/>
          <w:szCs w:val="24"/>
        </w:rPr>
        <w:t>Katsoulis</w:t>
      </w:r>
      <w:proofErr w:type="spellEnd"/>
      <w:r w:rsidRPr="00E9040F">
        <w:rPr>
          <w:rFonts w:ascii="Times New Roman" w:hAnsi="Times New Roman" w:cs="Times New Roman"/>
          <w:sz w:val="24"/>
          <w:szCs w:val="24"/>
        </w:rPr>
        <w:t xml:space="preserve"> M, </w:t>
      </w:r>
      <w:proofErr w:type="spellStart"/>
      <w:r w:rsidRPr="00E9040F">
        <w:rPr>
          <w:rFonts w:ascii="Times New Roman" w:hAnsi="Times New Roman" w:cs="Times New Roman"/>
          <w:sz w:val="24"/>
          <w:szCs w:val="24"/>
        </w:rPr>
        <w:t>Dimakopoulou</w:t>
      </w:r>
      <w:proofErr w:type="spellEnd"/>
      <w:r w:rsidRPr="00E9040F">
        <w:rPr>
          <w:rFonts w:ascii="Times New Roman" w:hAnsi="Times New Roman" w:cs="Times New Roman"/>
          <w:sz w:val="24"/>
          <w:szCs w:val="24"/>
        </w:rPr>
        <w:t xml:space="preserve"> K, </w:t>
      </w:r>
      <w:proofErr w:type="spellStart"/>
      <w:r w:rsidRPr="00E9040F">
        <w:rPr>
          <w:rFonts w:ascii="Times New Roman" w:hAnsi="Times New Roman" w:cs="Times New Roman"/>
          <w:sz w:val="24"/>
          <w:szCs w:val="24"/>
        </w:rPr>
        <w:t>Pedeli</w:t>
      </w:r>
      <w:proofErr w:type="spellEnd"/>
      <w:r w:rsidRPr="00E9040F">
        <w:rPr>
          <w:rFonts w:ascii="Times New Roman" w:hAnsi="Times New Roman" w:cs="Times New Roman"/>
          <w:sz w:val="24"/>
          <w:szCs w:val="24"/>
        </w:rPr>
        <w:t xml:space="preserve"> X, </w:t>
      </w:r>
      <w:proofErr w:type="spellStart"/>
      <w:r w:rsidRPr="00E9040F">
        <w:rPr>
          <w:rFonts w:ascii="Times New Roman" w:hAnsi="Times New Roman" w:cs="Times New Roman"/>
          <w:sz w:val="24"/>
          <w:szCs w:val="24"/>
        </w:rPr>
        <w:t>Trichopoulos</w:t>
      </w:r>
      <w:proofErr w:type="spellEnd"/>
      <w:r w:rsidRPr="00E9040F">
        <w:rPr>
          <w:rFonts w:ascii="Times New Roman" w:hAnsi="Times New Roman" w:cs="Times New Roman"/>
          <w:sz w:val="24"/>
          <w:szCs w:val="24"/>
        </w:rPr>
        <w:t xml:space="preserve">, </w:t>
      </w:r>
      <w:proofErr w:type="spellStart"/>
      <w:r w:rsidRPr="00E9040F">
        <w:rPr>
          <w:rFonts w:ascii="Times New Roman" w:hAnsi="Times New Roman" w:cs="Times New Roman"/>
          <w:sz w:val="24"/>
          <w:szCs w:val="24"/>
        </w:rPr>
        <w:t>Gysparis</w:t>
      </w:r>
      <w:proofErr w:type="spellEnd"/>
      <w:r w:rsidRPr="00E9040F">
        <w:rPr>
          <w:rFonts w:ascii="Times New Roman" w:hAnsi="Times New Roman" w:cs="Times New Roman"/>
          <w:sz w:val="24"/>
          <w:szCs w:val="24"/>
        </w:rPr>
        <w:t xml:space="preserve"> A, </w:t>
      </w:r>
      <w:proofErr w:type="spellStart"/>
      <w:r w:rsidRPr="00E9040F">
        <w:rPr>
          <w:rFonts w:ascii="Times New Roman" w:hAnsi="Times New Roman" w:cs="Times New Roman"/>
          <w:sz w:val="24"/>
          <w:szCs w:val="24"/>
        </w:rPr>
        <w:t>Trichopoulou</w:t>
      </w:r>
      <w:proofErr w:type="spellEnd"/>
      <w:r w:rsidRPr="00E9040F">
        <w:rPr>
          <w:rFonts w:ascii="Times New Roman" w:hAnsi="Times New Roman" w:cs="Times New Roman"/>
          <w:sz w:val="24"/>
          <w:szCs w:val="24"/>
        </w:rPr>
        <w:t xml:space="preserve"> A, </w:t>
      </w:r>
      <w:proofErr w:type="spellStart"/>
      <w:r w:rsidRPr="00E9040F">
        <w:rPr>
          <w:rFonts w:ascii="Times New Roman" w:hAnsi="Times New Roman" w:cs="Times New Roman"/>
          <w:sz w:val="24"/>
          <w:szCs w:val="24"/>
        </w:rPr>
        <w:t>Katsouyanni</w:t>
      </w:r>
      <w:proofErr w:type="spellEnd"/>
      <w:r w:rsidRPr="00E9040F">
        <w:rPr>
          <w:rFonts w:ascii="Times New Roman" w:hAnsi="Times New Roman" w:cs="Times New Roman"/>
          <w:sz w:val="24"/>
          <w:szCs w:val="24"/>
        </w:rPr>
        <w:t xml:space="preserve"> K. Long-term exposure to traffic-related air pollution and cardiovascular health in a Greek cohort study. </w:t>
      </w:r>
      <w:proofErr w:type="spellStart"/>
      <w:r w:rsidRPr="00E9040F">
        <w:rPr>
          <w:rFonts w:ascii="Times New Roman" w:hAnsi="Times New Roman" w:cs="Times New Roman"/>
          <w:sz w:val="24"/>
          <w:szCs w:val="24"/>
        </w:rPr>
        <w:t>Sci</w:t>
      </w:r>
      <w:proofErr w:type="spellEnd"/>
      <w:r w:rsidRPr="00E9040F">
        <w:rPr>
          <w:rFonts w:ascii="Times New Roman" w:hAnsi="Times New Roman" w:cs="Times New Roman"/>
          <w:sz w:val="24"/>
          <w:szCs w:val="24"/>
        </w:rPr>
        <w:t xml:space="preserve"> Total Environ 2014</w:t>
      </w:r>
      <w:proofErr w:type="gramStart"/>
      <w:r w:rsidRPr="00E9040F">
        <w:rPr>
          <w:rFonts w:ascii="Times New Roman" w:hAnsi="Times New Roman" w:cs="Times New Roman"/>
          <w:sz w:val="24"/>
          <w:szCs w:val="24"/>
        </w:rPr>
        <w:t>;490</w:t>
      </w:r>
      <w:proofErr w:type="gramEnd"/>
      <w:r w:rsidRPr="00E9040F">
        <w:rPr>
          <w:rFonts w:ascii="Times New Roman" w:hAnsi="Times New Roman" w:cs="Times New Roman"/>
          <w:sz w:val="24"/>
          <w:szCs w:val="24"/>
        </w:rPr>
        <w:t>;934-940. (Table 2)</w:t>
      </w:r>
    </w:p>
    <w:p w:rsidR="000D2FF9" w:rsidRDefault="000D2FF9" w:rsidP="000D2FF9">
      <w:pPr>
        <w:spacing w:line="480" w:lineRule="auto"/>
        <w:rPr>
          <w:rFonts w:ascii="Times New Roman" w:hAnsi="Times New Roman" w:cs="Times New Roman"/>
          <w:sz w:val="24"/>
          <w:szCs w:val="24"/>
        </w:rPr>
      </w:pPr>
      <w:r w:rsidRPr="0056146B">
        <w:rPr>
          <w:rFonts w:ascii="Times New Roman" w:hAnsi="Times New Roman" w:cs="Times New Roman"/>
          <w:sz w:val="24"/>
          <w:szCs w:val="24"/>
        </w:rPr>
        <w:t>[6] WHO. Health risk of air pollution in Europe - HRAPIE project. Recommendations for concentration–response functions for cost–benefit analysis of particulate matter, ozone and nitrogen dioxide. WHO Regional Office for Europe Report, 2013, page 6.</w:t>
      </w:r>
    </w:p>
    <w:p w:rsidR="000D2FF9" w:rsidRPr="00CA3582" w:rsidRDefault="000D2FF9" w:rsidP="000D2FF9">
      <w:pPr>
        <w:spacing w:line="480" w:lineRule="auto"/>
        <w:rPr>
          <w:rFonts w:ascii="Times New Roman" w:hAnsi="Times New Roman" w:cs="Times New Roman"/>
          <w:sz w:val="24"/>
          <w:szCs w:val="24"/>
        </w:rPr>
      </w:pPr>
      <w:r w:rsidRPr="00406FA0">
        <w:rPr>
          <w:rFonts w:ascii="Times New Roman" w:hAnsi="Times New Roman" w:cs="Times New Roman"/>
          <w:sz w:val="24"/>
          <w:szCs w:val="24"/>
        </w:rPr>
        <w:lastRenderedPageBreak/>
        <w:t xml:space="preserve">[7] </w:t>
      </w:r>
      <w:proofErr w:type="spellStart"/>
      <w:r w:rsidRPr="00406FA0">
        <w:rPr>
          <w:rFonts w:ascii="Times New Roman" w:hAnsi="Times New Roman" w:cs="Times New Roman"/>
          <w:sz w:val="24"/>
          <w:szCs w:val="24"/>
        </w:rPr>
        <w:t>Kloog</w:t>
      </w:r>
      <w:proofErr w:type="spellEnd"/>
      <w:r w:rsidRPr="00406FA0">
        <w:rPr>
          <w:rFonts w:ascii="Times New Roman" w:hAnsi="Times New Roman" w:cs="Times New Roman"/>
          <w:sz w:val="24"/>
          <w:szCs w:val="24"/>
        </w:rPr>
        <w:t xml:space="preserve"> I, </w:t>
      </w:r>
      <w:proofErr w:type="spellStart"/>
      <w:r w:rsidRPr="00406FA0">
        <w:rPr>
          <w:rFonts w:ascii="Times New Roman" w:hAnsi="Times New Roman" w:cs="Times New Roman"/>
          <w:sz w:val="24"/>
          <w:szCs w:val="24"/>
        </w:rPr>
        <w:t>Coull</w:t>
      </w:r>
      <w:proofErr w:type="spellEnd"/>
      <w:r w:rsidRPr="00406FA0">
        <w:rPr>
          <w:rFonts w:ascii="Times New Roman" w:hAnsi="Times New Roman" w:cs="Times New Roman"/>
          <w:sz w:val="24"/>
          <w:szCs w:val="24"/>
        </w:rPr>
        <w:t xml:space="preserve"> BA, Zanobetti A, Koutrakis P,</w:t>
      </w:r>
      <w:r>
        <w:rPr>
          <w:rFonts w:ascii="Times New Roman" w:hAnsi="Times New Roman" w:cs="Times New Roman"/>
          <w:sz w:val="24"/>
          <w:szCs w:val="24"/>
        </w:rPr>
        <w:t xml:space="preserve"> Schwartz JD. Acute and chronic </w:t>
      </w:r>
      <w:r w:rsidRPr="00406FA0">
        <w:rPr>
          <w:rFonts w:ascii="Times New Roman" w:hAnsi="Times New Roman" w:cs="Times New Roman"/>
          <w:sz w:val="24"/>
          <w:szCs w:val="24"/>
        </w:rPr>
        <w:t>effects of particles on hospital admis</w:t>
      </w:r>
      <w:r>
        <w:rPr>
          <w:rFonts w:ascii="Times New Roman" w:hAnsi="Times New Roman" w:cs="Times New Roman"/>
          <w:sz w:val="24"/>
          <w:szCs w:val="24"/>
        </w:rPr>
        <w:t xml:space="preserve">sions in New-England. </w:t>
      </w:r>
      <w:proofErr w:type="spellStart"/>
      <w:r>
        <w:rPr>
          <w:rFonts w:ascii="Times New Roman" w:hAnsi="Times New Roman" w:cs="Times New Roman"/>
          <w:sz w:val="24"/>
          <w:szCs w:val="24"/>
        </w:rPr>
        <w:t>PLoS</w:t>
      </w:r>
      <w:proofErr w:type="spellEnd"/>
      <w:r>
        <w:rPr>
          <w:rFonts w:ascii="Times New Roman" w:hAnsi="Times New Roman" w:cs="Times New Roman"/>
          <w:sz w:val="24"/>
          <w:szCs w:val="24"/>
        </w:rPr>
        <w:t xml:space="preserve"> One </w:t>
      </w:r>
      <w:r w:rsidRPr="00406FA0">
        <w:rPr>
          <w:rFonts w:ascii="Times New Roman" w:hAnsi="Times New Roman" w:cs="Times New Roman"/>
          <w:sz w:val="24"/>
          <w:szCs w:val="24"/>
        </w:rPr>
        <w:t>2012</w:t>
      </w:r>
      <w:proofErr w:type="gramStart"/>
      <w:r w:rsidRPr="00406FA0">
        <w:rPr>
          <w:rFonts w:ascii="Times New Roman" w:hAnsi="Times New Roman" w:cs="Times New Roman"/>
          <w:sz w:val="24"/>
          <w:szCs w:val="24"/>
        </w:rPr>
        <w:t>;7</w:t>
      </w:r>
      <w:proofErr w:type="gramEnd"/>
      <w:r w:rsidRPr="00406FA0">
        <w:rPr>
          <w:rFonts w:ascii="Times New Roman" w:hAnsi="Times New Roman" w:cs="Times New Roman"/>
          <w:sz w:val="24"/>
          <w:szCs w:val="24"/>
        </w:rPr>
        <w:t>(4):e34664. (Table 3)</w:t>
      </w:r>
    </w:p>
    <w:p w:rsidR="000D2FF9" w:rsidRPr="00CA3582" w:rsidRDefault="000D2FF9" w:rsidP="000D2FF9">
      <w:pPr>
        <w:spacing w:line="480" w:lineRule="auto"/>
        <w:rPr>
          <w:rFonts w:ascii="Times New Roman" w:hAnsi="Times New Roman" w:cs="Times New Roman"/>
          <w:sz w:val="24"/>
          <w:szCs w:val="24"/>
        </w:rPr>
      </w:pPr>
      <w:r w:rsidRPr="00CA3582">
        <w:rPr>
          <w:rFonts w:ascii="Times New Roman" w:eastAsia="Times New Roman" w:hAnsi="Times New Roman" w:cs="Times New Roman"/>
          <w:sz w:val="24"/>
          <w:szCs w:val="24"/>
          <w:lang w:eastAsia="en-GB"/>
        </w:rPr>
        <w:t>[8] Office for National Statistics. 2011 Census: Usual residents by resident type, and population density, number of households with at least one usual resident and average household size, Output Areas (OAs) in London.</w:t>
      </w:r>
      <w:hyperlink w:history="1">
        <w:r w:rsidRPr="00841EBA">
          <w:rPr>
            <w:rStyle w:val="Hyperlink"/>
            <w:rFonts w:ascii="Times New Roman" w:eastAsia="Times New Roman" w:hAnsi="Times New Roman" w:cs="Times New Roman"/>
            <w:sz w:val="24"/>
            <w:szCs w:val="24"/>
            <w:lang w:eastAsia="en-GB"/>
          </w:rPr>
          <w:t>https://www.ons.gov.uk /peoplepopulationandcommunity/ populationandmigration/ populationestimates/datasets/ 2011censuspopulationandhouseholdestimatesforwardsandoutputareasinenglandandwales</w:t>
        </w:r>
      </w:hyperlink>
      <w:r w:rsidRPr="00CA3582">
        <w:rPr>
          <w:rFonts w:ascii="Times New Roman" w:eastAsia="Times New Roman" w:hAnsi="Times New Roman" w:cs="Times New Roman"/>
          <w:color w:val="0000FF" w:themeColor="hyperlink"/>
          <w:sz w:val="24"/>
          <w:szCs w:val="24"/>
          <w:u w:val="single"/>
          <w:lang w:eastAsia="en-GB"/>
        </w:rPr>
        <w:t>.</w:t>
      </w:r>
      <w:r w:rsidRPr="00CA3582">
        <w:rPr>
          <w:rFonts w:ascii="Times New Roman" w:eastAsia="Times New Roman" w:hAnsi="Times New Roman" w:cs="Times New Roman"/>
          <w:color w:val="000000"/>
          <w:sz w:val="24"/>
          <w:szCs w:val="24"/>
          <w:lang w:eastAsia="en-GB"/>
        </w:rPr>
        <w:t xml:space="preserve"> Accessed 22 Aug 2017. The data are © Crown Copyright 2012, licensed under the Open Government Licence v3.0.</w:t>
      </w:r>
      <w:hyperlink r:id="rId9" w:history="1">
        <w:r w:rsidRPr="00CA3582">
          <w:rPr>
            <w:rFonts w:ascii="Times New Roman" w:eastAsia="Times New Roman" w:hAnsi="Times New Roman" w:cs="Times New Roman"/>
            <w:color w:val="0000FF" w:themeColor="hyperlink"/>
            <w:sz w:val="24"/>
            <w:szCs w:val="24"/>
            <w:u w:val="single"/>
            <w:lang w:eastAsia="en-GB"/>
          </w:rPr>
          <w:t>http://www.nationalarchives.gov.uk/doc/open-government-licence/version/3/</w:t>
        </w:r>
      </w:hyperlink>
      <w:r w:rsidRPr="00CA3582">
        <w:rPr>
          <w:rFonts w:ascii="Times New Roman" w:eastAsia="Times New Roman" w:hAnsi="Times New Roman" w:cs="Times New Roman"/>
          <w:color w:val="0000FF" w:themeColor="hyperlink"/>
          <w:sz w:val="24"/>
          <w:szCs w:val="24"/>
          <w:u w:val="single"/>
          <w:lang w:eastAsia="en-GB"/>
        </w:rPr>
        <w:t>.</w:t>
      </w:r>
    </w:p>
    <w:p w:rsidR="000D2FF9" w:rsidRPr="00CA3582" w:rsidRDefault="000D2FF9" w:rsidP="000D2FF9">
      <w:pPr>
        <w:spacing w:line="480" w:lineRule="auto"/>
        <w:rPr>
          <w:rFonts w:ascii="Times New Roman" w:eastAsia="Times New Roman" w:hAnsi="Times New Roman" w:cs="Times New Roman"/>
          <w:color w:val="0000FF" w:themeColor="hyperlink"/>
          <w:sz w:val="24"/>
          <w:szCs w:val="24"/>
          <w:u w:val="single"/>
          <w:lang w:eastAsia="en-GB"/>
        </w:rPr>
      </w:pPr>
      <w:r w:rsidRPr="00CA3582">
        <w:rPr>
          <w:rFonts w:ascii="Times New Roman" w:hAnsi="Times New Roman" w:cs="Times New Roman"/>
          <w:sz w:val="24"/>
          <w:szCs w:val="24"/>
        </w:rPr>
        <w:lastRenderedPageBreak/>
        <w:t>[9]</w:t>
      </w:r>
      <w:r w:rsidRPr="00CA3582">
        <w:rPr>
          <w:rFonts w:ascii="Times New Roman" w:eastAsia="Times New Roman" w:hAnsi="Times New Roman" w:cs="Times New Roman"/>
          <w:color w:val="000000"/>
          <w:sz w:val="24"/>
          <w:szCs w:val="24"/>
          <w:lang w:eastAsia="en-GB"/>
        </w:rPr>
        <w:t xml:space="preserve">Office for National Statistics‚ National Records of Scotland‚ Northern Ireland Statistics and Research Agency. Mortality Statistics: Deaths registered by area of usual residence, 2011 registrations. </w:t>
      </w:r>
      <w:hyperlink r:id="rId10" w:history="1">
        <w:r w:rsidRPr="00841EBA">
          <w:rPr>
            <w:rStyle w:val="Hyperlink"/>
            <w:rFonts w:ascii="Times New Roman" w:eastAsia="Times New Roman" w:hAnsi="Times New Roman" w:cs="Times New Roman"/>
            <w:sz w:val="24"/>
            <w:szCs w:val="24"/>
            <w:lang w:eastAsia="en-GB"/>
          </w:rPr>
          <w:t>https://www.ons.gov.uk/peoplepopulationandcommunity/ birthsdeathsandmarriages/deaths/datasets/deathsregisteredbyareaofusualresidenceenglandandwales</w:t>
        </w:r>
      </w:hyperlink>
      <w:r w:rsidRPr="00CA3582">
        <w:rPr>
          <w:rFonts w:ascii="Times New Roman" w:eastAsia="Times New Roman" w:hAnsi="Times New Roman" w:cs="Times New Roman"/>
          <w:color w:val="000000"/>
          <w:sz w:val="24"/>
          <w:szCs w:val="24"/>
          <w:lang w:eastAsia="en-GB"/>
        </w:rPr>
        <w:t xml:space="preserve">. Accessed 21 Aug 2017. The data are © Crown Copyright 2013, licenced under the Open Government Licence (OGL) v3.0. </w:t>
      </w:r>
      <w:hyperlink r:id="rId11" w:history="1">
        <w:r w:rsidRPr="00CA3582">
          <w:rPr>
            <w:rFonts w:ascii="Times New Roman" w:eastAsia="Times New Roman" w:hAnsi="Times New Roman" w:cs="Times New Roman"/>
            <w:color w:val="0000FF" w:themeColor="hyperlink"/>
            <w:sz w:val="24"/>
            <w:szCs w:val="24"/>
            <w:u w:val="single"/>
            <w:lang w:eastAsia="en-GB"/>
          </w:rPr>
          <w:t>http://www.nationalarchives.gov.uk/doc/open-government-licence/version/3/</w:t>
        </w:r>
      </w:hyperlink>
      <w:r w:rsidRPr="00CA3582">
        <w:rPr>
          <w:rFonts w:ascii="Times New Roman" w:eastAsia="Times New Roman" w:hAnsi="Times New Roman" w:cs="Times New Roman"/>
          <w:color w:val="0000FF" w:themeColor="hyperlink"/>
          <w:sz w:val="24"/>
          <w:szCs w:val="24"/>
          <w:u w:val="single"/>
          <w:lang w:eastAsia="en-GB"/>
        </w:rPr>
        <w:t xml:space="preserve">. </w:t>
      </w:r>
    </w:p>
    <w:p w:rsidR="000D2FF9" w:rsidRPr="00CA3582" w:rsidRDefault="000D2FF9" w:rsidP="000D2FF9">
      <w:pPr>
        <w:spacing w:line="480" w:lineRule="auto"/>
        <w:rPr>
          <w:rFonts w:ascii="Times New Roman" w:hAnsi="Times New Roman" w:cs="Times New Roman"/>
          <w:sz w:val="24"/>
          <w:szCs w:val="24"/>
        </w:rPr>
      </w:pPr>
      <w:r w:rsidRPr="00CA3582">
        <w:rPr>
          <w:rFonts w:ascii="Times New Roman" w:hAnsi="Times New Roman" w:cs="Times New Roman"/>
          <w:sz w:val="24"/>
          <w:szCs w:val="24"/>
        </w:rPr>
        <w:t xml:space="preserve">[10] NHS Digital. Hospital Episode Statistics Admitted Patient Care - England, 2011-12: Provider-level analysis. Table A: “Headline figures for England, SHA and individual provider (2011-2012)” and Table E: “Finished admission episodes by primary diagnosis chapter for England, SHA and individual provider”. </w:t>
      </w:r>
      <w:hyperlink r:id="rId12" w:history="1">
        <w:r w:rsidRPr="00CA3582">
          <w:rPr>
            <w:rFonts w:ascii="Times New Roman" w:hAnsi="Times New Roman" w:cs="Times New Roman"/>
            <w:color w:val="0000FF" w:themeColor="hyperlink"/>
            <w:sz w:val="24"/>
            <w:szCs w:val="24"/>
            <w:u w:val="single"/>
          </w:rPr>
          <w:t>https://digital.nhs.uk/data-and-information/publica</w:t>
        </w:r>
        <w:r w:rsidRPr="00CA3582">
          <w:rPr>
            <w:rFonts w:ascii="Times New Roman" w:hAnsi="Times New Roman" w:cs="Times New Roman"/>
            <w:color w:val="0000FF" w:themeColor="hyperlink"/>
            <w:sz w:val="24"/>
            <w:szCs w:val="24"/>
            <w:u w:val="single"/>
          </w:rPr>
          <w:lastRenderedPageBreak/>
          <w:t>tions/statistical/hospital-admitted-patient-care-activity/hospital-episode-statistics-admitted-patient-care-england-2011-12</w:t>
        </w:r>
      </w:hyperlink>
      <w:r w:rsidRPr="00CA3582">
        <w:rPr>
          <w:rFonts w:ascii="Times New Roman" w:hAnsi="Times New Roman" w:cs="Times New Roman"/>
          <w:sz w:val="24"/>
          <w:szCs w:val="24"/>
        </w:rPr>
        <w:t>. Source: Hospital Episode Statistics, HES. The Health and Social Care Information Centre. Information from NHS Digital, licenced under the current version of the Open Government Licence. Accessed 28</w:t>
      </w:r>
      <w:r w:rsidRPr="00CA3582">
        <w:rPr>
          <w:rFonts w:ascii="Times New Roman" w:hAnsi="Times New Roman" w:cs="Times New Roman"/>
          <w:sz w:val="24"/>
          <w:szCs w:val="24"/>
          <w:vertAlign w:val="superscript"/>
        </w:rPr>
        <w:t>th</w:t>
      </w:r>
      <w:r w:rsidRPr="00CA3582">
        <w:rPr>
          <w:rFonts w:ascii="Times New Roman" w:hAnsi="Times New Roman" w:cs="Times New Roman"/>
          <w:sz w:val="24"/>
          <w:szCs w:val="24"/>
        </w:rPr>
        <w:t xml:space="preserve"> August 2018.</w:t>
      </w:r>
    </w:p>
    <w:p w:rsidR="000D2FF9" w:rsidRPr="00CA3582" w:rsidRDefault="000D2FF9" w:rsidP="000D2FF9">
      <w:pPr>
        <w:spacing w:line="480" w:lineRule="auto"/>
        <w:rPr>
          <w:rFonts w:ascii="Times New Roman" w:hAnsi="Times New Roman" w:cs="Times New Roman"/>
          <w:color w:val="0000FF" w:themeColor="hyperlink"/>
          <w:sz w:val="24"/>
          <w:szCs w:val="24"/>
          <w:u w:val="single"/>
        </w:rPr>
      </w:pPr>
    </w:p>
    <w:p w:rsidR="00CA3582" w:rsidRDefault="00CA3582" w:rsidP="00762038">
      <w:pPr>
        <w:spacing w:line="480" w:lineRule="auto"/>
        <w:rPr>
          <w:rFonts w:ascii="Times New Roman" w:eastAsiaTheme="minorEastAsia" w:hAnsi="Times New Roman" w:cs="Times New Roman"/>
          <w:b/>
          <w:sz w:val="24"/>
          <w:szCs w:val="24"/>
        </w:rPr>
      </w:pPr>
    </w:p>
    <w:sectPr w:rsidR="00CA3582" w:rsidSect="000D2FF9">
      <w:pgSz w:w="11906" w:h="16838"/>
      <w:pgMar w:top="1440" w:right="1152" w:bottom="144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81" w:rsidRDefault="00822981" w:rsidP="000D2FF9">
      <w:pPr>
        <w:spacing w:after="0" w:line="240" w:lineRule="auto"/>
      </w:pPr>
      <w:r>
        <w:separator/>
      </w:r>
    </w:p>
  </w:endnote>
  <w:endnote w:type="continuationSeparator" w:id="0">
    <w:p w:rsidR="00822981" w:rsidRDefault="00822981" w:rsidP="000D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5685"/>
      <w:docPartObj>
        <w:docPartGallery w:val="Page Numbers (Bottom of Page)"/>
        <w:docPartUnique/>
      </w:docPartObj>
    </w:sdtPr>
    <w:sdtEndPr/>
    <w:sdtContent>
      <w:p w:rsidR="000A2A1B" w:rsidRDefault="00211E6F">
        <w:pPr>
          <w:pStyle w:val="Footer"/>
          <w:jc w:val="center"/>
        </w:pPr>
        <w:r w:rsidRPr="000A2A1B">
          <w:rPr>
            <w:rFonts w:ascii="Times New Roman" w:hAnsi="Times New Roman" w:cs="Times New Roman"/>
          </w:rPr>
          <w:fldChar w:fldCharType="begin"/>
        </w:r>
        <w:r w:rsidR="000A2A1B" w:rsidRPr="000A2A1B">
          <w:rPr>
            <w:rFonts w:ascii="Times New Roman" w:hAnsi="Times New Roman" w:cs="Times New Roman"/>
          </w:rPr>
          <w:instrText xml:space="preserve"> PAGE   \* MERGEFORMAT </w:instrText>
        </w:r>
        <w:r w:rsidRPr="000A2A1B">
          <w:rPr>
            <w:rFonts w:ascii="Times New Roman" w:hAnsi="Times New Roman" w:cs="Times New Roman"/>
          </w:rPr>
          <w:fldChar w:fldCharType="separate"/>
        </w:r>
        <w:r w:rsidR="005D2604">
          <w:rPr>
            <w:rFonts w:ascii="Times New Roman" w:hAnsi="Times New Roman" w:cs="Times New Roman"/>
            <w:noProof/>
          </w:rPr>
          <w:t>5</w:t>
        </w:r>
        <w:r w:rsidRPr="000A2A1B">
          <w:rPr>
            <w:rFonts w:ascii="Times New Roman" w:hAnsi="Times New Roman" w:cs="Times New Roman"/>
          </w:rPr>
          <w:fldChar w:fldCharType="end"/>
        </w:r>
      </w:p>
    </w:sdtContent>
  </w:sdt>
  <w:p w:rsidR="000A2A1B" w:rsidRDefault="000A2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81" w:rsidRDefault="00822981" w:rsidP="000D2FF9">
      <w:pPr>
        <w:spacing w:after="0" w:line="240" w:lineRule="auto"/>
      </w:pPr>
      <w:r>
        <w:separator/>
      </w:r>
    </w:p>
  </w:footnote>
  <w:footnote w:type="continuationSeparator" w:id="0">
    <w:p w:rsidR="00822981" w:rsidRDefault="00822981" w:rsidP="000D2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2"/>
    <w:rsid w:val="00012ED6"/>
    <w:rsid w:val="00033DB1"/>
    <w:rsid w:val="00052F03"/>
    <w:rsid w:val="00052F31"/>
    <w:rsid w:val="000667EE"/>
    <w:rsid w:val="00071485"/>
    <w:rsid w:val="00081BC5"/>
    <w:rsid w:val="0008660D"/>
    <w:rsid w:val="000923EA"/>
    <w:rsid w:val="000A2A1B"/>
    <w:rsid w:val="000C657C"/>
    <w:rsid w:val="000D05CF"/>
    <w:rsid w:val="000D2FF9"/>
    <w:rsid w:val="00100B1A"/>
    <w:rsid w:val="001104E5"/>
    <w:rsid w:val="001B2D8B"/>
    <w:rsid w:val="001E4C56"/>
    <w:rsid w:val="001F7C68"/>
    <w:rsid w:val="00211E6F"/>
    <w:rsid w:val="00220330"/>
    <w:rsid w:val="002233BF"/>
    <w:rsid w:val="00246293"/>
    <w:rsid w:val="00261178"/>
    <w:rsid w:val="00272D22"/>
    <w:rsid w:val="00277439"/>
    <w:rsid w:val="00295297"/>
    <w:rsid w:val="002C4B31"/>
    <w:rsid w:val="003850F8"/>
    <w:rsid w:val="003A0D56"/>
    <w:rsid w:val="00406FA0"/>
    <w:rsid w:val="00425A42"/>
    <w:rsid w:val="00462345"/>
    <w:rsid w:val="004867E6"/>
    <w:rsid w:val="004B6D5C"/>
    <w:rsid w:val="004C4379"/>
    <w:rsid w:val="004E37A4"/>
    <w:rsid w:val="00533303"/>
    <w:rsid w:val="00555CBB"/>
    <w:rsid w:val="0056146B"/>
    <w:rsid w:val="00576F9D"/>
    <w:rsid w:val="00595437"/>
    <w:rsid w:val="005D2604"/>
    <w:rsid w:val="006D0F04"/>
    <w:rsid w:val="00751FA3"/>
    <w:rsid w:val="00762038"/>
    <w:rsid w:val="00793532"/>
    <w:rsid w:val="00797286"/>
    <w:rsid w:val="00822981"/>
    <w:rsid w:val="00850432"/>
    <w:rsid w:val="00897021"/>
    <w:rsid w:val="008E4789"/>
    <w:rsid w:val="008F5A2F"/>
    <w:rsid w:val="00921481"/>
    <w:rsid w:val="009C7C4E"/>
    <w:rsid w:val="009D1DD9"/>
    <w:rsid w:val="00A117CE"/>
    <w:rsid w:val="00A4352D"/>
    <w:rsid w:val="00A62149"/>
    <w:rsid w:val="00A67842"/>
    <w:rsid w:val="00AC6FA3"/>
    <w:rsid w:val="00AD038C"/>
    <w:rsid w:val="00B04894"/>
    <w:rsid w:val="00B92FA2"/>
    <w:rsid w:val="00BC0FF2"/>
    <w:rsid w:val="00BD3F8F"/>
    <w:rsid w:val="00BF52D9"/>
    <w:rsid w:val="00C605F3"/>
    <w:rsid w:val="00CA07BA"/>
    <w:rsid w:val="00CA3582"/>
    <w:rsid w:val="00CD57CA"/>
    <w:rsid w:val="00D151A5"/>
    <w:rsid w:val="00D2720C"/>
    <w:rsid w:val="00DC1B9E"/>
    <w:rsid w:val="00E40845"/>
    <w:rsid w:val="00E65E87"/>
    <w:rsid w:val="00E9040F"/>
    <w:rsid w:val="00EC6210"/>
    <w:rsid w:val="00F15863"/>
    <w:rsid w:val="00F43F77"/>
    <w:rsid w:val="00F50698"/>
    <w:rsid w:val="00FA1C18"/>
    <w:rsid w:val="00FA5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8DB15-3C55-4C0F-A965-75E41544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2"/>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582"/>
    <w:rPr>
      <w:color w:val="0000FF" w:themeColor="hyperlink"/>
      <w:u w:val="single"/>
    </w:rPr>
  </w:style>
  <w:style w:type="paragraph" w:styleId="CommentText">
    <w:name w:val="annotation text"/>
    <w:basedOn w:val="Normal"/>
    <w:link w:val="CommentTextChar"/>
    <w:uiPriority w:val="99"/>
    <w:unhideWhenUsed/>
    <w:rsid w:val="00CA3582"/>
    <w:pPr>
      <w:spacing w:line="240" w:lineRule="auto"/>
    </w:pPr>
    <w:rPr>
      <w:sz w:val="20"/>
      <w:szCs w:val="20"/>
    </w:rPr>
  </w:style>
  <w:style w:type="character" w:customStyle="1" w:styleId="CommentTextChar">
    <w:name w:val="Comment Text Char"/>
    <w:basedOn w:val="DefaultParagraphFont"/>
    <w:link w:val="CommentText"/>
    <w:uiPriority w:val="99"/>
    <w:rsid w:val="00CA3582"/>
    <w:rPr>
      <w:sz w:val="20"/>
      <w:szCs w:val="20"/>
      <w:lang w:val="en-GB"/>
    </w:rPr>
  </w:style>
  <w:style w:type="table" w:styleId="TableGrid">
    <w:name w:val="Table Grid"/>
    <w:basedOn w:val="TableNormal"/>
    <w:uiPriority w:val="39"/>
    <w:rsid w:val="00CA358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A3582"/>
    <w:rPr>
      <w:sz w:val="16"/>
      <w:szCs w:val="16"/>
    </w:rPr>
  </w:style>
  <w:style w:type="paragraph" w:styleId="BalloonText">
    <w:name w:val="Balloon Text"/>
    <w:basedOn w:val="Normal"/>
    <w:link w:val="BalloonTextChar"/>
    <w:uiPriority w:val="99"/>
    <w:semiHidden/>
    <w:unhideWhenUsed/>
    <w:rsid w:val="00CA3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582"/>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D57CA"/>
    <w:rPr>
      <w:b/>
      <w:bCs/>
    </w:rPr>
  </w:style>
  <w:style w:type="character" w:customStyle="1" w:styleId="CommentSubjectChar">
    <w:name w:val="Comment Subject Char"/>
    <w:basedOn w:val="CommentTextChar"/>
    <w:link w:val="CommentSubject"/>
    <w:uiPriority w:val="99"/>
    <w:semiHidden/>
    <w:rsid w:val="00CD57CA"/>
    <w:rPr>
      <w:b/>
      <w:bCs/>
      <w:sz w:val="20"/>
      <w:szCs w:val="20"/>
      <w:lang w:val="en-GB"/>
    </w:rPr>
  </w:style>
  <w:style w:type="character" w:styleId="FollowedHyperlink">
    <w:name w:val="FollowedHyperlink"/>
    <w:basedOn w:val="DefaultParagraphFont"/>
    <w:uiPriority w:val="99"/>
    <w:semiHidden/>
    <w:unhideWhenUsed/>
    <w:rsid w:val="00595437"/>
    <w:rPr>
      <w:color w:val="800080" w:themeColor="followedHyperlink"/>
      <w:u w:val="single"/>
    </w:rPr>
  </w:style>
  <w:style w:type="paragraph" w:styleId="Header">
    <w:name w:val="header"/>
    <w:basedOn w:val="Normal"/>
    <w:link w:val="HeaderChar"/>
    <w:uiPriority w:val="99"/>
    <w:semiHidden/>
    <w:unhideWhenUsed/>
    <w:rsid w:val="000D2FF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D2FF9"/>
    <w:rPr>
      <w:lang w:val="en-GB"/>
    </w:rPr>
  </w:style>
  <w:style w:type="paragraph" w:styleId="Footer">
    <w:name w:val="footer"/>
    <w:basedOn w:val="Normal"/>
    <w:link w:val="FooterChar"/>
    <w:uiPriority w:val="99"/>
    <w:unhideWhenUsed/>
    <w:rsid w:val="000D2F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2F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8781">
      <w:bodyDiv w:val="1"/>
      <w:marLeft w:val="0"/>
      <w:marRight w:val="0"/>
      <w:marTop w:val="0"/>
      <w:marBottom w:val="0"/>
      <w:divBdr>
        <w:top w:val="none" w:sz="0" w:space="0" w:color="auto"/>
        <w:left w:val="none" w:sz="0" w:space="0" w:color="auto"/>
        <w:bottom w:val="none" w:sz="0" w:space="0" w:color="auto"/>
        <w:right w:val="none" w:sz="0" w:space="0" w:color="auto"/>
      </w:divBdr>
    </w:div>
    <w:div w:id="366416765">
      <w:bodyDiv w:val="1"/>
      <w:marLeft w:val="0"/>
      <w:marRight w:val="0"/>
      <w:marTop w:val="0"/>
      <w:marBottom w:val="0"/>
      <w:divBdr>
        <w:top w:val="none" w:sz="0" w:space="0" w:color="auto"/>
        <w:left w:val="none" w:sz="0" w:space="0" w:color="auto"/>
        <w:bottom w:val="none" w:sz="0" w:space="0" w:color="auto"/>
        <w:right w:val="none" w:sz="0" w:space="0" w:color="auto"/>
      </w:divBdr>
    </w:div>
    <w:div w:id="11491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quantitative-systematic-review-of-short-term-associations-between-ambient-air-pollution-particulate-matter-ozone-nitrogen-dioxide-sulphur-dioxide-and-carbon-monoxide-and-mortality-and-morbid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igital.nhs.uk/data-and-information/publications/statistical/hospital-admitted-patient-care-activity/hospital-episode-statistics-admitted-patient-care-england-2011-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tionalarchives.gov.uk/doc/open-government-licence/version/3/" TargetMode="External"/><Relationship Id="rId5" Type="http://schemas.openxmlformats.org/officeDocument/2006/relationships/footnotes" Target="footnotes.xml"/><Relationship Id="rId10" Type="http://schemas.openxmlformats.org/officeDocument/2006/relationships/hyperlink" Target="https://www.ons.gov.uk/peoplepopulationandcommunity/%20birthsdeathsandmarriages/deaths/datasets/deathsregisteredbyareaofusualresidenceenglandandwales" TargetMode="External"/><Relationship Id="rId4" Type="http://schemas.openxmlformats.org/officeDocument/2006/relationships/webSettings" Target="webSettings.xml"/><Relationship Id="rId9" Type="http://schemas.openxmlformats.org/officeDocument/2006/relationships/hyperlink" Target="http://www.nationalarchives.gov.uk/doc/open-government-licence/version/3/"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F2F1-219B-4386-9A3F-CF74ADA8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1546</Words>
  <Characters>8349</Characters>
  <Application>Microsoft Office Word</Application>
  <DocSecurity>0</DocSecurity>
  <Lines>69</Lines>
  <Paragraphs>19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esamoli</dc:creator>
  <cp:lastModifiedBy>Eleni Mousse Chocolat</cp:lastModifiedBy>
  <cp:revision>3</cp:revision>
  <dcterms:created xsi:type="dcterms:W3CDTF">2020-05-04T07:58:00Z</dcterms:created>
  <dcterms:modified xsi:type="dcterms:W3CDTF">2020-05-04T08:01:00Z</dcterms:modified>
</cp:coreProperties>
</file>