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0CCE" w14:textId="3CF6AC63" w:rsidR="00430E1F" w:rsidRDefault="004A24B2" w:rsidP="004A24B2">
      <w:pPr>
        <w:jc w:val="center"/>
      </w:pPr>
      <w:r>
        <w:rPr>
          <w:noProof/>
        </w:rPr>
        <w:drawing>
          <wp:inline distT="0" distB="0" distL="0" distR="0" wp14:anchorId="396A256D" wp14:editId="440955E6">
            <wp:extent cx="6667500" cy="666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D726A" w14:textId="4CA0BD2F" w:rsidR="004A24B2" w:rsidRDefault="004A24B2" w:rsidP="004A24B2">
      <w:pPr>
        <w:spacing w:after="0" w:line="480" w:lineRule="auto"/>
      </w:pPr>
      <w:r>
        <w:t xml:space="preserve">Supplemental Figure 3. Exposure-response surface of </w:t>
      </w:r>
      <w:r w:rsidR="006F4AF5">
        <w:t xml:space="preserve">predicted </w:t>
      </w:r>
      <w:r>
        <w:t xml:space="preserve">SRS-2 Total Scores </w:t>
      </w:r>
      <w:r w:rsidR="006F4AF5">
        <w:t>as a function of</w:t>
      </w:r>
      <w:bookmarkStart w:id="0" w:name="_GoBack"/>
      <w:bookmarkEnd w:id="0"/>
      <w:r>
        <w:t xml:space="preserve"> infant toenail concentrations of As and Se, with other metals fixed at their medians and adjusted for </w:t>
      </w:r>
      <w:r w:rsidRPr="005115B8">
        <w:t>maternal age (quadratic), maternal BMI (quadratic), highest level of parental education (high school or less, any college, any graduate), sex (male, female), parity (0, ≥1), smoking status (no second- or first-hand, ever second-hand only, ever first-hand), age at last breastfeeding (&lt;365 days, ≥365 days), maternal marital status (married, other), birthyear (2010-2011, 2012-2013, 2014-2015), Healthy Eating Index (linear), Parenting Relationship Questionnaire (first three principal components), and age at assessment (linear).</w:t>
      </w:r>
    </w:p>
    <w:p w14:paraId="5E402DFA" w14:textId="4CA49192" w:rsidR="004A24B2" w:rsidRDefault="004A24B2" w:rsidP="004A24B2">
      <w:pPr>
        <w:jc w:val="center"/>
      </w:pPr>
      <w:r>
        <w:rPr>
          <w:noProof/>
        </w:rPr>
        <w:lastRenderedPageBreak/>
        <w:drawing>
          <wp:inline distT="0" distB="0" distL="0" distR="0" wp14:anchorId="5A3B3954" wp14:editId="1BEFFD11">
            <wp:extent cx="6667500" cy="666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550AE" w14:textId="5A90F120" w:rsidR="004A24B2" w:rsidRDefault="004A24B2" w:rsidP="004A24B2">
      <w:pPr>
        <w:spacing w:after="0" w:line="480" w:lineRule="auto"/>
      </w:pPr>
      <w:r>
        <w:t xml:space="preserve">Supplemental Figure 4. Exposure-response surface of </w:t>
      </w:r>
      <w:r w:rsidR="006F4AF5">
        <w:t xml:space="preserve">predicted </w:t>
      </w:r>
      <w:r>
        <w:t xml:space="preserve">BASC-2 Adaptive Skills Scores </w:t>
      </w:r>
      <w:r w:rsidR="006F4AF5">
        <w:t xml:space="preserve">as a function of </w:t>
      </w:r>
      <w:r>
        <w:t xml:space="preserve">infant toenail concentrations of As and Se, with other metals fixed at their medians and adjusted for </w:t>
      </w:r>
      <w:r w:rsidRPr="005115B8">
        <w:t>maternal age (quadratic), maternal BMI (quadratic), highest level of parental education (high school or less, any college, any graduate), sex (male, female), parity (0, ≥1), smoking status (no second- or first-hand, ever second-hand only, ever first-hand), age at last breastfeeding (&lt;365 days, ≥365 days), maternal marital status (married, other), birthyear (2010-2011, 2012-2013, 2014-2015), Healthy Eating Index (linear), Parenting Relationship Questionnaire (first three principal components), and age at assessment (linear).</w:t>
      </w:r>
    </w:p>
    <w:p w14:paraId="2B913257" w14:textId="747865D5" w:rsidR="004A24B2" w:rsidRDefault="004A24B2" w:rsidP="004A24B2">
      <w:pPr>
        <w:spacing w:after="0" w:line="480" w:lineRule="auto"/>
        <w:jc w:val="center"/>
      </w:pPr>
      <w:r>
        <w:rPr>
          <w:noProof/>
        </w:rPr>
        <w:lastRenderedPageBreak/>
        <w:drawing>
          <wp:inline distT="0" distB="0" distL="0" distR="0" wp14:anchorId="3ED8E040" wp14:editId="569D8807">
            <wp:extent cx="6667500" cy="666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17870" w14:textId="6E272735" w:rsidR="004A24B2" w:rsidRDefault="004A24B2" w:rsidP="004A24B2">
      <w:pPr>
        <w:spacing w:after="0" w:line="480" w:lineRule="auto"/>
      </w:pPr>
      <w:r>
        <w:t xml:space="preserve">Supplemental Figure 5. Exposure-response surface of </w:t>
      </w:r>
      <w:r w:rsidR="006F4AF5">
        <w:t xml:space="preserve">predicted </w:t>
      </w:r>
      <w:r>
        <w:t xml:space="preserve">BASC-2 Internalizing Problems Scores </w:t>
      </w:r>
      <w:r w:rsidR="006F4AF5">
        <w:t xml:space="preserve">as a function of </w:t>
      </w:r>
      <w:r>
        <w:t xml:space="preserve">maternal prenatal toenail concentrations of As and Se, with other metals fixed at their medians and adjusted for </w:t>
      </w:r>
      <w:r w:rsidRPr="005115B8">
        <w:t>maternal age (quadratic), maternal BMI (quadratic), highest level of parental education (high school or less, any college, any graduate), sex (male, female), parity (0, ≥1), smoking status (no second- or first-hand, ever second-hand only, ever first-hand), age at last breastfeeding (&lt;365 days, ≥365 days), maternal marital status (married, other), birthyear (2010-2011, 2012-2013, 2014-2015), Healthy Eating Index (linear), Parenting Relationship Questionnaire (first three principal components), and age at assessment (linear).</w:t>
      </w:r>
    </w:p>
    <w:sectPr w:rsidR="004A24B2" w:rsidSect="00D26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B2"/>
    <w:rsid w:val="00344DA9"/>
    <w:rsid w:val="00380A7E"/>
    <w:rsid w:val="00430E1F"/>
    <w:rsid w:val="004A24B2"/>
    <w:rsid w:val="006F4AF5"/>
    <w:rsid w:val="00D26CCF"/>
    <w:rsid w:val="00E1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144C"/>
  <w15:chartTrackingRefBased/>
  <w15:docId w15:val="{1783F9E1-63CC-4F1C-A5F3-717137FA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A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DA9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DA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0A7E"/>
    <w:pPr>
      <w:keepNext/>
      <w:keepLines/>
      <w:spacing w:before="40" w:after="0"/>
      <w:outlineLvl w:val="2"/>
    </w:pPr>
    <w:rPr>
      <w:rFonts w:eastAsiaTheme="majorEastAsia" w:cstheme="majorBidi"/>
      <w:b/>
      <w:color w:val="00B05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1354"/>
    <w:pPr>
      <w:keepNext/>
      <w:keepLines/>
      <w:spacing w:before="40" w:after="0"/>
      <w:outlineLvl w:val="3"/>
    </w:pPr>
    <w:rPr>
      <w:rFonts w:eastAsiaTheme="majorEastAsia" w:cstheme="majorBidi"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DA9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DA9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A7E"/>
    <w:rPr>
      <w:rFonts w:ascii="Arial" w:eastAsiaTheme="majorEastAsia" w:hAnsi="Arial" w:cstheme="majorBidi"/>
      <w:b/>
      <w:color w:val="00B05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1354"/>
    <w:rPr>
      <w:rFonts w:ascii="Arial" w:eastAsiaTheme="majorEastAsia" w:hAnsi="Arial" w:cstheme="majorBidi"/>
      <w:iCs/>
      <w:color w:val="FF0000"/>
    </w:rPr>
  </w:style>
  <w:style w:type="paragraph" w:styleId="NoSpacing">
    <w:name w:val="No Spacing"/>
    <w:uiPriority w:val="1"/>
    <w:qFormat/>
    <w:rsid w:val="00344DA9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Doherty</dc:creator>
  <cp:keywords/>
  <dc:description/>
  <cp:lastModifiedBy>Brett Doherty</cp:lastModifiedBy>
  <cp:revision>2</cp:revision>
  <dcterms:created xsi:type="dcterms:W3CDTF">2020-01-13T15:00:00Z</dcterms:created>
  <dcterms:modified xsi:type="dcterms:W3CDTF">2020-01-13T15:08:00Z</dcterms:modified>
</cp:coreProperties>
</file>