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1" w:rsidRDefault="005343D1">
      <w:pPr>
        <w:rPr>
          <w:noProof/>
          <w:lang w:val="en-US"/>
        </w:rPr>
      </w:pPr>
      <w:r>
        <w:rPr>
          <w:noProof/>
          <w:lang w:val="en-US"/>
        </w:rPr>
        <w:t xml:space="preserve">Supplementary file 1: Bias characteristics in included studies. </w:t>
      </w:r>
    </w:p>
    <w:p w:rsidR="005343D1" w:rsidRDefault="005343D1">
      <w:pPr>
        <w:rPr>
          <w:noProof/>
          <w:lang w:val="en-US"/>
        </w:rPr>
      </w:pPr>
    </w:p>
    <w:p w:rsidR="005343D1" w:rsidRDefault="005343D1">
      <w:pPr>
        <w:rPr>
          <w:noProof/>
          <w:lang w:val="en-US"/>
        </w:rPr>
      </w:pPr>
    </w:p>
    <w:tbl>
      <w:tblPr>
        <w:tblW w:w="1411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9"/>
        <w:gridCol w:w="2002"/>
        <w:gridCol w:w="1473"/>
        <w:gridCol w:w="1387"/>
        <w:gridCol w:w="1409"/>
        <w:gridCol w:w="1640"/>
        <w:gridCol w:w="1380"/>
        <w:gridCol w:w="1318"/>
        <w:gridCol w:w="1575"/>
      </w:tblGrid>
      <w:tr w:rsidR="005343D1">
        <w:trPr>
          <w:cantSplit/>
          <w:trHeight w:val="320"/>
        </w:trPr>
        <w:tc>
          <w:tcPr>
            <w:tcW w:w="1929" w:type="dxa"/>
            <w:vMerge w:val="restart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Authors, years</w:t>
            </w:r>
          </w:p>
        </w:tc>
        <w:tc>
          <w:tcPr>
            <w:tcW w:w="3475" w:type="dxa"/>
            <w:gridSpan w:val="2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Selection bias</w:t>
            </w:r>
          </w:p>
        </w:tc>
        <w:tc>
          <w:tcPr>
            <w:tcW w:w="2796" w:type="dxa"/>
            <w:gridSpan w:val="2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Performance bias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Detection bias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Attrition bias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Reporting bias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Other bias</w:t>
            </w:r>
          </w:p>
        </w:tc>
      </w:tr>
      <w:tr w:rsidR="005343D1">
        <w:trPr>
          <w:cantSplit/>
          <w:trHeight w:val="640"/>
        </w:trPr>
        <w:tc>
          <w:tcPr>
            <w:tcW w:w="1929" w:type="dxa"/>
            <w:vMerge/>
            <w:vAlign w:val="center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</w:p>
        </w:tc>
        <w:tc>
          <w:tcPr>
            <w:tcW w:w="2002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Random sequence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generation</w:t>
            </w:r>
          </w:p>
        </w:tc>
        <w:tc>
          <w:tcPr>
            <w:tcW w:w="1473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Allocation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concealment</w:t>
            </w:r>
          </w:p>
        </w:tc>
        <w:tc>
          <w:tcPr>
            <w:tcW w:w="1387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Blinding of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participants</w:t>
            </w:r>
          </w:p>
        </w:tc>
        <w:tc>
          <w:tcPr>
            <w:tcW w:w="1409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Blinding of 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personnel </w:t>
            </w:r>
          </w:p>
        </w:tc>
        <w:tc>
          <w:tcPr>
            <w:tcW w:w="1640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Blinding of 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outcome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assessment</w:t>
            </w:r>
          </w:p>
        </w:tc>
        <w:tc>
          <w:tcPr>
            <w:tcW w:w="1380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Incomplete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outcome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data</w:t>
            </w:r>
          </w:p>
        </w:tc>
        <w:tc>
          <w:tcPr>
            <w:tcW w:w="1318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Selective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reporting</w:t>
            </w:r>
          </w:p>
        </w:tc>
        <w:tc>
          <w:tcPr>
            <w:tcW w:w="1575" w:type="dxa"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Other sources</w:t>
            </w:r>
          </w:p>
          <w:p w:rsidR="005343D1" w:rsidRDefault="005343D1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of bias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Akkucuk,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2013 (37)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Boldt,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1993 (29)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Chong Sung,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2006 (33)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Van Der Linden,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2013 (36)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Miao,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2015 (31)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Paul,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2003 (30)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unclear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Standl,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2008 (34)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Hanart,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2009 (35)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  <w:tr w:rsidR="005343D1">
        <w:trPr>
          <w:trHeight w:val="320"/>
        </w:trPr>
        <w:tc>
          <w:tcPr>
            <w:tcW w:w="192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 xml:space="preserve">Witt, </w:t>
            </w:r>
          </w:p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2008 (42)</w:t>
            </w:r>
          </w:p>
        </w:tc>
        <w:tc>
          <w:tcPr>
            <w:tcW w:w="2002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473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387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409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64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80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high risk</w:t>
            </w:r>
          </w:p>
        </w:tc>
        <w:tc>
          <w:tcPr>
            <w:tcW w:w="1318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  <w:tc>
          <w:tcPr>
            <w:tcW w:w="1575" w:type="dxa"/>
            <w:noWrap/>
            <w:vAlign w:val="bottom"/>
          </w:tcPr>
          <w:p w:rsidR="005343D1" w:rsidRDefault="005343D1">
            <w:pPr>
              <w:widowControl/>
              <w:autoSpaceDE/>
              <w:autoSpaceDN/>
              <w:adjustRightInd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  <w:lang w:val="en-US"/>
              </w:rPr>
              <w:t>low risk</w:t>
            </w:r>
          </w:p>
        </w:tc>
      </w:tr>
    </w:tbl>
    <w:p w:rsidR="005343D1" w:rsidRDefault="005343D1">
      <w:bookmarkStart w:id="0" w:name="_GoBack"/>
      <w:bookmarkEnd w:id="0"/>
    </w:p>
    <w:p w:rsidR="005343D1" w:rsidRDefault="005343D1">
      <w:pPr>
        <w:spacing w:line="140" w:lineRule="atLeast"/>
        <w:rPr>
          <w:noProof/>
          <w:color w:val="000000"/>
          <w:lang w:val="en-US"/>
        </w:rPr>
      </w:pPr>
      <w:r>
        <w:br w:type="page"/>
      </w:r>
      <w:r>
        <w:rPr>
          <w:b/>
          <w:bCs/>
          <w:noProof/>
          <w:color w:val="000000"/>
          <w:lang w:val="en-US"/>
        </w:rPr>
        <w:t>Supplementary file 2</w:t>
      </w:r>
      <w:r>
        <w:rPr>
          <w:noProof/>
          <w:color w:val="000000"/>
          <w:lang w:val="en-US"/>
        </w:rPr>
        <w:t>: Grade analysis of outcomes. 1:</w:t>
      </w:r>
      <w:r>
        <w:rPr>
          <w:b/>
          <w:bCs/>
          <w:noProof/>
          <w:color w:val="000000"/>
          <w:lang w:val="en-US"/>
        </w:rPr>
        <w:t xml:space="preserve"> </w:t>
      </w:r>
      <w:r>
        <w:rPr>
          <w:noProof/>
          <w:color w:val="000000"/>
          <w:lang w:val="en-US"/>
        </w:rPr>
        <w:t>Intravenous fluid intakes on day 1; 2: urine output on day 1; 3: blood loss on day 1.</w:t>
      </w:r>
    </w:p>
    <w:p w:rsidR="005343D1" w:rsidRDefault="005343D1">
      <w:pPr>
        <w:spacing w:line="140" w:lineRule="atLeast"/>
        <w:rPr>
          <w:noProof/>
          <w:color w:val="000000"/>
          <w:lang w:val="en-US"/>
        </w:rPr>
      </w:pPr>
    </w:p>
    <w:p w:rsidR="005343D1" w:rsidRDefault="005343D1">
      <w:pPr>
        <w:spacing w:line="140" w:lineRule="atLeast"/>
        <w:rPr>
          <w:noProof/>
          <w:color w:val="000000"/>
          <w:sz w:val="14"/>
          <w:szCs w:val="14"/>
          <w:lang w:val="en-US"/>
        </w:rPr>
      </w:pPr>
    </w:p>
    <w:tbl>
      <w:tblPr>
        <w:tblW w:w="4889" w:type="pct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04"/>
        <w:gridCol w:w="819"/>
        <w:gridCol w:w="1207"/>
        <w:gridCol w:w="864"/>
        <w:gridCol w:w="1320"/>
        <w:gridCol w:w="1171"/>
        <w:gridCol w:w="1146"/>
        <w:gridCol w:w="1354"/>
        <w:gridCol w:w="14"/>
        <w:gridCol w:w="1030"/>
        <w:gridCol w:w="983"/>
        <w:gridCol w:w="1118"/>
        <w:gridCol w:w="844"/>
        <w:gridCol w:w="966"/>
      </w:tblGrid>
      <w:tr w:rsidR="005343D1">
        <w:trPr>
          <w:cantSplit/>
          <w:tblHeader/>
        </w:trPr>
        <w:tc>
          <w:tcPr>
            <w:tcW w:w="3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Outcome</w:t>
            </w:r>
          </w:p>
        </w:tc>
        <w:tc>
          <w:tcPr>
            <w:tcW w:w="285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Quality assessment</w:t>
            </w:r>
          </w:p>
        </w:tc>
        <w:tc>
          <w:tcPr>
            <w:tcW w:w="7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Number of patients</w:t>
            </w:r>
          </w:p>
        </w:tc>
        <w:tc>
          <w:tcPr>
            <w:tcW w:w="7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Effect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val="en-US"/>
              </w:rPr>
              <w:t>Quality</w:t>
            </w:r>
          </w:p>
        </w:tc>
      </w:tr>
      <w:tr w:rsidR="005343D1">
        <w:trPr>
          <w:cantSplit/>
          <w:tblHeader/>
        </w:trPr>
        <w:tc>
          <w:tcPr>
            <w:tcW w:w="3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b/>
                <w:bCs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rFonts w:cs="Times New Roman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noProof/>
                <w:sz w:val="18"/>
                <w:szCs w:val="18"/>
                <w:lang w:val="en-US"/>
              </w:rPr>
              <w:t>№ of studies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 xml:space="preserve">Study </w:t>
            </w:r>
          </w:p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design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Risk of bias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Inconsistency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Indirectness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Imprecision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Other considerations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HES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Relative</w:t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w:br/>
              <w:t>(95% CI)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43D1" w:rsidRDefault="005343D1">
            <w:pPr>
              <w:jc w:val="center"/>
              <w:rPr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noProof/>
                <w:sz w:val="18"/>
                <w:szCs w:val="18"/>
                <w:lang w:val="en-US"/>
              </w:rPr>
              <w:t>Absolute</w:t>
            </w:r>
            <w:r>
              <w:rPr>
                <w:b/>
                <w:bCs/>
                <w:noProof/>
                <w:sz w:val="18"/>
                <w:szCs w:val="18"/>
                <w:lang w:val="en-US"/>
              </w:rPr>
              <w:br/>
              <w:t>(95% CI)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343D1" w:rsidRDefault="005343D1">
            <w:pPr>
              <w:rPr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5343D1">
        <w:trPr>
          <w:cantSplit/>
          <w:trHeight w:val="676"/>
        </w:trPr>
        <w:tc>
          <w:tcPr>
            <w:tcW w:w="3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6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Randomised</w:t>
            </w:r>
          </w:p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trials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162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>157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>MD 0.04 higher</w:t>
            </w:r>
            <w:r>
              <w:rPr>
                <w:noProof/>
                <w:sz w:val="20"/>
                <w:szCs w:val="20"/>
                <w:lang w:val="en-US"/>
              </w:rPr>
              <w:br/>
            </w:r>
            <w:r>
              <w:rPr>
                <w:rStyle w:val="cell-value"/>
                <w:noProof/>
                <w:sz w:val="20"/>
                <w:szCs w:val="20"/>
                <w:lang w:val="en-US"/>
              </w:rPr>
              <w:t>(1.76 lower to 1.84 higher)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quality-sign"/>
                <w:rFonts w:ascii="Cambria Math" w:hAnsi="Cambria Math" w:cs="Cambria Math"/>
                <w:noProof/>
                <w:sz w:val="20"/>
                <w:szCs w:val="20"/>
                <w:lang w:val="en-US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noProof/>
                <w:sz w:val="20"/>
                <w:szCs w:val="20"/>
                <w:lang w:val="en-US"/>
              </w:rPr>
              <w:t>◯◯◯</w:t>
            </w:r>
            <w:r>
              <w:rPr>
                <w:noProof/>
                <w:sz w:val="20"/>
                <w:szCs w:val="20"/>
                <w:lang w:val="en-US"/>
              </w:rPr>
              <w:br/>
              <w:t xml:space="preserve">VERY LOW </w:t>
            </w:r>
          </w:p>
        </w:tc>
      </w:tr>
      <w:tr w:rsidR="005343D1">
        <w:trPr>
          <w:cantSplit/>
          <w:trHeight w:val="676"/>
        </w:trPr>
        <w:tc>
          <w:tcPr>
            <w:tcW w:w="3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2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Randomised</w:t>
            </w:r>
          </w:p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trials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98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>98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>MD 7.17 lower</w:t>
            </w:r>
            <w:r>
              <w:rPr>
                <w:noProof/>
                <w:sz w:val="20"/>
                <w:szCs w:val="20"/>
                <w:lang w:val="en-US"/>
              </w:rPr>
              <w:br/>
            </w:r>
            <w:r>
              <w:rPr>
                <w:rStyle w:val="cell-value"/>
                <w:noProof/>
                <w:sz w:val="20"/>
                <w:szCs w:val="20"/>
                <w:lang w:val="en-US"/>
              </w:rPr>
              <w:t>(17.29 lower to 2.95 higher)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quality-sign"/>
                <w:rFonts w:ascii="Cambria Math" w:hAnsi="Cambria Math" w:cs="Cambria Math"/>
                <w:noProof/>
                <w:sz w:val="20"/>
                <w:szCs w:val="20"/>
                <w:lang w:val="en-US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noProof/>
                <w:sz w:val="20"/>
                <w:szCs w:val="20"/>
                <w:lang w:val="en-US"/>
              </w:rPr>
              <w:t>◯◯◯</w:t>
            </w:r>
            <w:r>
              <w:rPr>
                <w:noProof/>
                <w:sz w:val="20"/>
                <w:szCs w:val="20"/>
                <w:lang w:val="en-US"/>
              </w:rPr>
              <w:br/>
              <w:t xml:space="preserve">VERY LOW </w:t>
            </w:r>
          </w:p>
        </w:tc>
      </w:tr>
      <w:tr w:rsidR="005343D1">
        <w:trPr>
          <w:cantSplit/>
          <w:trHeight w:val="676"/>
        </w:trPr>
        <w:tc>
          <w:tcPr>
            <w:tcW w:w="3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3</w:t>
            </w:r>
          </w:p>
        </w:tc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4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Randomised</w:t>
            </w:r>
          </w:p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trials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not serious 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serious</w:t>
            </w:r>
            <w:r>
              <w:rPr>
                <w:noProof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none 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 xml:space="preserve">125 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>121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"/>
                <w:noProof/>
                <w:sz w:val="20"/>
                <w:szCs w:val="20"/>
                <w:lang w:val="en-US"/>
              </w:rPr>
              <w:t>-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cell-value"/>
                <w:noProof/>
                <w:sz w:val="20"/>
                <w:szCs w:val="20"/>
                <w:lang w:val="en-US"/>
              </w:rPr>
              <w:t xml:space="preserve">MD 0 </w:t>
            </w:r>
            <w:r>
              <w:rPr>
                <w:noProof/>
                <w:sz w:val="20"/>
                <w:szCs w:val="20"/>
                <w:lang w:val="en-US"/>
              </w:rPr>
              <w:br/>
            </w:r>
            <w:r>
              <w:rPr>
                <w:rStyle w:val="cell-value"/>
                <w:noProof/>
                <w:sz w:val="20"/>
                <w:szCs w:val="20"/>
                <w:lang w:val="en-US"/>
              </w:rPr>
              <w:t>(0.23 lower to 0.24 higher)</w:t>
            </w:r>
          </w:p>
        </w:tc>
        <w:tc>
          <w:tcPr>
            <w:tcW w:w="3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43D1" w:rsidRDefault="005343D1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>
              <w:rPr>
                <w:rStyle w:val="quality-sign"/>
                <w:rFonts w:ascii="Cambria Math" w:hAnsi="Cambria Math" w:cs="Cambria Math"/>
                <w:noProof/>
                <w:sz w:val="20"/>
                <w:szCs w:val="20"/>
                <w:lang w:val="en-US"/>
              </w:rPr>
              <w:t>⨁</w:t>
            </w:r>
            <w:r>
              <w:rPr>
                <w:rStyle w:val="quality-sign"/>
                <w:rFonts w:ascii="MS Mincho" w:eastAsia="MS Mincho" w:hAnsi="MS Mincho" w:cs="MS Mincho" w:hint="eastAsia"/>
                <w:noProof/>
                <w:sz w:val="20"/>
                <w:szCs w:val="20"/>
                <w:lang w:val="en-US"/>
              </w:rPr>
              <w:t>◯◯◯</w:t>
            </w:r>
            <w:r>
              <w:rPr>
                <w:noProof/>
                <w:sz w:val="20"/>
                <w:szCs w:val="20"/>
                <w:lang w:val="en-US"/>
              </w:rPr>
              <w:br/>
              <w:t xml:space="preserve">VERY LOW </w:t>
            </w:r>
          </w:p>
        </w:tc>
      </w:tr>
    </w:tbl>
    <w:p w:rsidR="005343D1" w:rsidRDefault="005343D1">
      <w:pPr>
        <w:pStyle w:val="NormalWeb"/>
        <w:spacing w:line="140" w:lineRule="atLeast"/>
        <w:rPr>
          <w:noProof/>
          <w:color w:val="000000"/>
          <w:lang w:val="en-US"/>
        </w:rPr>
      </w:pPr>
      <w:r>
        <w:rPr>
          <w:noProof/>
          <w:lang w:val="en-US"/>
        </w:rPr>
        <w:t>HES: Hydro Ethyl Starch;</w:t>
      </w:r>
      <w:r>
        <w:rPr>
          <w:noProof/>
          <w:color w:val="000000"/>
          <w:lang w:val="en-US"/>
        </w:rPr>
        <w:t xml:space="preserve"> CI: Confidence interval; MD: Mean difference</w:t>
      </w:r>
    </w:p>
    <w:p w:rsidR="005343D1" w:rsidRDefault="005343D1">
      <w:pPr>
        <w:spacing w:line="140" w:lineRule="atLeast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a. Most study were at high-risk bias; b. Heterogenous studies; c. Underpowered analysis</w:t>
      </w:r>
    </w:p>
    <w:p w:rsidR="005343D1" w:rsidRDefault="005343D1">
      <w:pPr>
        <w:rPr>
          <w:lang w:val="en-US"/>
        </w:rPr>
      </w:pPr>
    </w:p>
    <w:p w:rsidR="005343D1" w:rsidRDefault="005343D1"/>
    <w:sectPr w:rsidR="005343D1" w:rsidSect="005343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5343D1"/>
    <w:rsid w:val="005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ll-value">
    <w:name w:val="cell-value"/>
    <w:uiPriority w:val="99"/>
  </w:style>
  <w:style w:type="character" w:customStyle="1" w:styleId="cell">
    <w:name w:val="cell"/>
    <w:uiPriority w:val="99"/>
  </w:style>
  <w:style w:type="character" w:customStyle="1" w:styleId="quality-sign">
    <w:name w:val="quality-sign"/>
    <w:uiPriority w:val="99"/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308</Words>
  <Characters>1822</Characters>
  <Application>Microsoft Office Outlook</Application>
  <DocSecurity>0</DocSecurity>
  <Lines>0</Lines>
  <Paragraphs>0</Paragraphs>
  <ScaleCrop>false</ScaleCrop>
  <Company>APHP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ORLIAGUET Gilles</dc:creator>
  <cp:keywords/>
  <dc:description/>
  <cp:lastModifiedBy>TEESLWW</cp:lastModifiedBy>
  <cp:revision>9</cp:revision>
  <dcterms:created xsi:type="dcterms:W3CDTF">2017-04-11T15:14:00Z</dcterms:created>
  <dcterms:modified xsi:type="dcterms:W3CDTF">2018-01-17T19:10:00Z</dcterms:modified>
</cp:coreProperties>
</file>