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50" w:rsidRPr="00224E79" w:rsidRDefault="00224E79" w:rsidP="00D10D50">
      <w:pPr>
        <w:spacing w:line="360" w:lineRule="auto"/>
        <w:jc w:val="both"/>
        <w:rPr>
          <w:b/>
          <w:iCs/>
          <w:color w:val="000000"/>
          <w:sz w:val="28"/>
          <w:szCs w:val="22"/>
          <w:lang w:val="en-GB"/>
        </w:rPr>
      </w:pPr>
      <w:bookmarkStart w:id="0" w:name="_GoBack"/>
      <w:bookmarkEnd w:id="0"/>
      <w:r w:rsidRPr="00224E79">
        <w:rPr>
          <w:b/>
          <w:iCs/>
          <w:color w:val="000000"/>
          <w:sz w:val="28"/>
          <w:szCs w:val="22"/>
          <w:lang w:val="en-GB"/>
        </w:rPr>
        <w:t xml:space="preserve">Supplementary data content </w:t>
      </w:r>
      <w:r w:rsidR="00501CAB">
        <w:rPr>
          <w:b/>
          <w:iCs/>
          <w:color w:val="000000"/>
          <w:sz w:val="28"/>
          <w:szCs w:val="22"/>
          <w:lang w:val="en-GB"/>
        </w:rPr>
        <w:t>2</w:t>
      </w:r>
    </w:p>
    <w:p w:rsidR="00D10D50" w:rsidRDefault="00D10D50" w:rsidP="00D10D50">
      <w:pPr>
        <w:spacing w:line="360" w:lineRule="auto"/>
        <w:jc w:val="both"/>
        <w:rPr>
          <w:i/>
          <w:iCs/>
          <w:color w:val="000000"/>
          <w:sz w:val="22"/>
          <w:szCs w:val="22"/>
          <w:lang w:val="en-GB"/>
        </w:rPr>
      </w:pPr>
      <w:r w:rsidRPr="008A6E17">
        <w:rPr>
          <w:i/>
          <w:iCs/>
          <w:color w:val="000000"/>
          <w:sz w:val="22"/>
          <w:szCs w:val="22"/>
          <w:lang w:val="en-GB"/>
        </w:rPr>
        <w:t>Additional resources</w:t>
      </w:r>
    </w:p>
    <w:p w:rsidR="00D10D50" w:rsidRPr="008A6E17" w:rsidRDefault="00D10D50" w:rsidP="00D10D50">
      <w:pPr>
        <w:spacing w:line="360" w:lineRule="auto"/>
        <w:jc w:val="both"/>
        <w:rPr>
          <w:color w:val="000000"/>
          <w:sz w:val="22"/>
          <w:szCs w:val="22"/>
          <w:lang w:val="en-GB"/>
        </w:rPr>
      </w:pPr>
      <w:r w:rsidRPr="008A6E17">
        <w:rPr>
          <w:color w:val="000000"/>
          <w:sz w:val="22"/>
          <w:szCs w:val="22"/>
          <w:lang w:val="en-GB"/>
        </w:rPr>
        <w:t>For trials not yet completed, a search was conducted in clinical trials registries (clinicaltrials.gov;</w:t>
      </w:r>
      <w:r w:rsidR="00224E79">
        <w:rPr>
          <w:color w:val="000000"/>
          <w:sz w:val="22"/>
          <w:szCs w:val="22"/>
          <w:lang w:val="en-GB"/>
        </w:rPr>
        <w:t xml:space="preserve"> </w:t>
      </w:r>
      <w:r w:rsidRPr="008A6E17">
        <w:rPr>
          <w:color w:val="000000"/>
          <w:sz w:val="22"/>
          <w:szCs w:val="22"/>
          <w:lang w:val="en-GB"/>
        </w:rPr>
        <w:t>controlled-trials.com;</w:t>
      </w:r>
      <w:r w:rsidR="00224E79">
        <w:rPr>
          <w:color w:val="000000"/>
          <w:sz w:val="22"/>
          <w:szCs w:val="22"/>
          <w:lang w:val="en-GB"/>
        </w:rPr>
        <w:t xml:space="preserve"> </w:t>
      </w:r>
      <w:r w:rsidRPr="008A6E17">
        <w:rPr>
          <w:color w:val="000000"/>
          <w:sz w:val="22"/>
          <w:szCs w:val="22"/>
          <w:lang w:val="en-GB"/>
        </w:rPr>
        <w:t>anzctr.org.au;</w:t>
      </w:r>
      <w:r w:rsidR="00224E79">
        <w:rPr>
          <w:color w:val="000000"/>
          <w:sz w:val="22"/>
          <w:szCs w:val="22"/>
          <w:lang w:val="en-GB"/>
        </w:rPr>
        <w:t xml:space="preserve"> </w:t>
      </w:r>
      <w:r w:rsidRPr="008A6E17">
        <w:rPr>
          <w:color w:val="000000"/>
          <w:sz w:val="22"/>
          <w:szCs w:val="22"/>
          <w:lang w:val="en-GB"/>
        </w:rPr>
        <w:t>and who.int/</w:t>
      </w:r>
      <w:proofErr w:type="spellStart"/>
      <w:r w:rsidRPr="008A6E17">
        <w:rPr>
          <w:color w:val="000000"/>
          <w:sz w:val="22"/>
          <w:szCs w:val="22"/>
          <w:lang w:val="en-GB"/>
        </w:rPr>
        <w:t>ictrp</w:t>
      </w:r>
      <w:proofErr w:type="spellEnd"/>
      <w:r w:rsidRPr="008A6E17">
        <w:rPr>
          <w:color w:val="000000"/>
          <w:sz w:val="22"/>
          <w:szCs w:val="22"/>
          <w:lang w:val="en-GB"/>
        </w:rPr>
        <w:t xml:space="preserve">). The reference lists of eligible trials were also screened for additional, previously unidentified, studies. </w:t>
      </w:r>
    </w:p>
    <w:p w:rsidR="00D10D50" w:rsidRPr="008A6E17" w:rsidRDefault="00D10D50" w:rsidP="00224E79">
      <w:pPr>
        <w:spacing w:before="120" w:line="360" w:lineRule="auto"/>
        <w:jc w:val="both"/>
        <w:rPr>
          <w:color w:val="000000"/>
          <w:sz w:val="22"/>
          <w:szCs w:val="22"/>
          <w:lang w:val="en-GB"/>
        </w:rPr>
      </w:pPr>
      <w:r w:rsidRPr="008A6E17">
        <w:rPr>
          <w:color w:val="000000"/>
          <w:sz w:val="22"/>
          <w:szCs w:val="22"/>
          <w:lang w:val="en-GB"/>
        </w:rPr>
        <w:t xml:space="preserve">The following were not </w:t>
      </w:r>
      <w:proofErr w:type="gramStart"/>
      <w:r w:rsidRPr="008A6E17">
        <w:rPr>
          <w:color w:val="000000"/>
          <w:sz w:val="22"/>
          <w:szCs w:val="22"/>
          <w:lang w:val="en-GB"/>
        </w:rPr>
        <w:t>sought:</w:t>
      </w:r>
      <w:proofErr w:type="gramEnd"/>
      <w:r w:rsidRPr="008A6E17">
        <w:rPr>
          <w:color w:val="000000"/>
          <w:sz w:val="22"/>
          <w:szCs w:val="22"/>
          <w:lang w:val="en-GB"/>
        </w:rPr>
        <w:t xml:space="preserve"> published abstracts from conference proceedings of any society or new studies of potential interest. Trial authors were also not contacted to determine whether any additional data were pending. </w:t>
      </w:r>
    </w:p>
    <w:p w:rsidR="00D10D50" w:rsidRDefault="00D10D50" w:rsidP="00D10D50">
      <w:pPr>
        <w:spacing w:line="360" w:lineRule="auto"/>
        <w:jc w:val="both"/>
        <w:rPr>
          <w:i/>
          <w:iCs/>
          <w:color w:val="000000"/>
          <w:sz w:val="22"/>
          <w:szCs w:val="22"/>
          <w:lang w:val="en-GB"/>
        </w:rPr>
      </w:pPr>
    </w:p>
    <w:p w:rsidR="00D10D50" w:rsidRDefault="00D10D50" w:rsidP="00D10D50">
      <w:pPr>
        <w:spacing w:line="360" w:lineRule="auto"/>
        <w:jc w:val="both"/>
        <w:rPr>
          <w:i/>
          <w:iCs/>
          <w:color w:val="000000"/>
          <w:sz w:val="22"/>
          <w:szCs w:val="22"/>
          <w:lang w:val="en-GB"/>
        </w:rPr>
      </w:pPr>
    </w:p>
    <w:p w:rsidR="00D10D50" w:rsidRPr="008A6E17" w:rsidRDefault="00D10D50" w:rsidP="00D10D50">
      <w:pPr>
        <w:spacing w:line="360" w:lineRule="auto"/>
        <w:jc w:val="both"/>
        <w:rPr>
          <w:i/>
          <w:iCs/>
          <w:color w:val="000000"/>
          <w:sz w:val="22"/>
          <w:szCs w:val="22"/>
          <w:lang w:val="en-GB"/>
        </w:rPr>
      </w:pPr>
      <w:r w:rsidRPr="008A6E17">
        <w:rPr>
          <w:i/>
          <w:iCs/>
          <w:color w:val="000000"/>
          <w:sz w:val="22"/>
          <w:szCs w:val="22"/>
          <w:lang w:val="en-GB"/>
        </w:rPr>
        <w:t>Data synthesis for outcomes for which comparable study data were found</w:t>
      </w:r>
    </w:p>
    <w:p w:rsidR="00D10D50" w:rsidRDefault="00D10D50" w:rsidP="00D10D50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Meta-analyses were conducted f</w:t>
      </w:r>
      <w:r w:rsidRPr="008A6E17">
        <w:rPr>
          <w:color w:val="000000"/>
          <w:sz w:val="22"/>
          <w:szCs w:val="22"/>
          <w:lang w:val="en-GB"/>
        </w:rPr>
        <w:t xml:space="preserve">or outcomes </w:t>
      </w:r>
      <w:r>
        <w:rPr>
          <w:color w:val="000000"/>
          <w:sz w:val="22"/>
          <w:szCs w:val="22"/>
          <w:lang w:val="en-GB"/>
        </w:rPr>
        <w:t>in</w:t>
      </w:r>
      <w:r w:rsidRPr="008A6E17">
        <w:rPr>
          <w:color w:val="000000"/>
          <w:sz w:val="22"/>
          <w:szCs w:val="22"/>
          <w:lang w:val="en-GB"/>
        </w:rPr>
        <w:t xml:space="preserve"> which comparable study data were identified</w:t>
      </w:r>
      <w:r>
        <w:rPr>
          <w:color w:val="000000"/>
          <w:sz w:val="22"/>
          <w:szCs w:val="22"/>
          <w:lang w:val="en-GB"/>
        </w:rPr>
        <w:t xml:space="preserve">. </w:t>
      </w:r>
      <w:r w:rsidRPr="008A6E17">
        <w:rPr>
          <w:color w:val="000000"/>
          <w:sz w:val="22"/>
          <w:szCs w:val="22"/>
          <w:lang w:val="en-GB"/>
        </w:rPr>
        <w:t xml:space="preserve"> Separate analyses were performed for comparisons with </w:t>
      </w:r>
      <w:r>
        <w:rPr>
          <w:color w:val="000000"/>
          <w:sz w:val="22"/>
          <w:szCs w:val="22"/>
          <w:lang w:val="en-GB"/>
        </w:rPr>
        <w:t>COT</w:t>
      </w:r>
      <w:r w:rsidRPr="008A6E17">
        <w:rPr>
          <w:color w:val="000000"/>
          <w:sz w:val="22"/>
          <w:szCs w:val="22"/>
          <w:lang w:val="en-GB"/>
        </w:rPr>
        <w:t xml:space="preserve"> and between </w:t>
      </w:r>
      <w:r>
        <w:rPr>
          <w:color w:val="000000"/>
          <w:sz w:val="22"/>
          <w:szCs w:val="22"/>
          <w:lang w:val="en-GB"/>
        </w:rPr>
        <w:t>non-invasive respiratory support techniques</w:t>
      </w:r>
      <w:r w:rsidRPr="008A6E17">
        <w:rPr>
          <w:color w:val="000000"/>
          <w:sz w:val="22"/>
          <w:szCs w:val="22"/>
          <w:lang w:val="en-GB"/>
        </w:rPr>
        <w:t>. The level of heterogeneity was classified using the I</w:t>
      </w:r>
      <w:r w:rsidRPr="008A6E17">
        <w:rPr>
          <w:color w:val="000000"/>
          <w:sz w:val="22"/>
          <w:szCs w:val="22"/>
          <w:vertAlign w:val="superscript"/>
          <w:lang w:val="en-GB"/>
        </w:rPr>
        <w:t>2</w:t>
      </w:r>
      <w:r w:rsidRPr="008A6E17">
        <w:rPr>
          <w:color w:val="000000"/>
          <w:sz w:val="22"/>
          <w:szCs w:val="22"/>
          <w:lang w:val="en-GB"/>
        </w:rPr>
        <w:t xml:space="preserve"> statistic with 0%</w:t>
      </w:r>
      <w:r w:rsidR="00224E79">
        <w:rPr>
          <w:color w:val="000000"/>
          <w:sz w:val="22"/>
          <w:szCs w:val="22"/>
          <w:lang w:val="en-GB"/>
        </w:rPr>
        <w:t xml:space="preserve"> to 40% considered low; 30% to </w:t>
      </w:r>
      <w:r w:rsidRPr="008A6E17">
        <w:rPr>
          <w:color w:val="000000"/>
          <w:sz w:val="22"/>
          <w:szCs w:val="22"/>
          <w:lang w:val="en-GB"/>
        </w:rPr>
        <w:t>60% moderate heterogeneity; 50%</w:t>
      </w:r>
      <w:r w:rsidR="00224E79">
        <w:rPr>
          <w:color w:val="000000"/>
          <w:sz w:val="22"/>
          <w:szCs w:val="22"/>
          <w:lang w:val="en-GB"/>
        </w:rPr>
        <w:t xml:space="preserve"> to </w:t>
      </w:r>
      <w:r w:rsidRPr="008A6E17">
        <w:rPr>
          <w:color w:val="000000"/>
          <w:sz w:val="22"/>
          <w:szCs w:val="22"/>
          <w:lang w:val="en-GB"/>
        </w:rPr>
        <w:t>90% substantial heterogeneity; and 75%</w:t>
      </w:r>
      <w:r w:rsidR="00224E79">
        <w:rPr>
          <w:color w:val="000000"/>
          <w:sz w:val="22"/>
          <w:szCs w:val="22"/>
          <w:lang w:val="en-GB"/>
        </w:rPr>
        <w:t xml:space="preserve"> </w:t>
      </w:r>
      <w:r w:rsidRPr="008A6E17">
        <w:rPr>
          <w:color w:val="000000"/>
          <w:sz w:val="22"/>
          <w:szCs w:val="22"/>
          <w:lang w:val="en-GB"/>
        </w:rPr>
        <w:t>to 100% considerable heterogeneity.</w:t>
      </w:r>
      <w:r w:rsidRPr="007D2F1D">
        <w:rPr>
          <w:color w:val="000000"/>
          <w:sz w:val="22"/>
          <w:szCs w:val="22"/>
          <w:vertAlign w:val="superscript"/>
          <w:lang w:val="en-GB"/>
        </w:rPr>
        <w:t>7</w:t>
      </w:r>
      <w:r w:rsidRPr="008A6E17">
        <w:rPr>
          <w:color w:val="000000"/>
          <w:sz w:val="22"/>
          <w:szCs w:val="22"/>
          <w:lang w:val="en-GB"/>
        </w:rPr>
        <w:t xml:space="preserve"> Random-effects models were used rather than fixed-effect model, owing to the large heterogeneity and overall small sample sizes for the outcome</w:t>
      </w:r>
      <w:r>
        <w:rPr>
          <w:color w:val="000000"/>
          <w:sz w:val="22"/>
          <w:szCs w:val="22"/>
          <w:lang w:val="en-GB"/>
        </w:rPr>
        <w:t>s</w:t>
      </w:r>
      <w:r w:rsidRPr="008A6E17">
        <w:rPr>
          <w:color w:val="000000"/>
          <w:sz w:val="22"/>
          <w:szCs w:val="22"/>
          <w:lang w:val="en-GB"/>
        </w:rPr>
        <w:t xml:space="preserve">. The data </w:t>
      </w:r>
      <w:r>
        <w:rPr>
          <w:color w:val="000000"/>
          <w:sz w:val="22"/>
          <w:szCs w:val="22"/>
          <w:lang w:val="en-GB"/>
        </w:rPr>
        <w:t>are</w:t>
      </w:r>
      <w:r w:rsidRPr="008A6E17">
        <w:rPr>
          <w:color w:val="000000"/>
          <w:sz w:val="22"/>
          <w:szCs w:val="22"/>
          <w:lang w:val="en-GB"/>
        </w:rPr>
        <w:t xml:space="preserve"> presented </w:t>
      </w:r>
      <w:r w:rsidRPr="008A6E17">
        <w:rPr>
          <w:sz w:val="22"/>
          <w:szCs w:val="22"/>
          <w:lang w:val="en-GB"/>
        </w:rPr>
        <w:t>with corresponding 95% confidence intervals (CI).</w:t>
      </w:r>
      <w:r w:rsidRPr="008A6E17">
        <w:rPr>
          <w:color w:val="000000"/>
          <w:sz w:val="22"/>
          <w:szCs w:val="22"/>
          <w:lang w:val="en-GB"/>
        </w:rPr>
        <w:t xml:space="preserve"> </w:t>
      </w:r>
      <w:r w:rsidRPr="008A6E17">
        <w:rPr>
          <w:sz w:val="22"/>
          <w:szCs w:val="22"/>
          <w:lang w:val="en-GB"/>
        </w:rPr>
        <w:t xml:space="preserve">All data syntheses were carried out using Review Manager version 5.3 (Cochrane). </w:t>
      </w:r>
    </w:p>
    <w:p w:rsidR="00D10D50" w:rsidRDefault="00D10D50" w:rsidP="00D10D50">
      <w:pPr>
        <w:spacing w:line="360" w:lineRule="auto"/>
        <w:jc w:val="both"/>
        <w:rPr>
          <w:sz w:val="22"/>
          <w:szCs w:val="22"/>
          <w:lang w:val="en-GB"/>
        </w:rPr>
      </w:pPr>
    </w:p>
    <w:p w:rsidR="00D10D50" w:rsidRPr="004B15E7" w:rsidRDefault="00D10D50" w:rsidP="00D10D50">
      <w:pPr>
        <w:shd w:val="clear" w:color="auto" w:fill="FFFFFF"/>
        <w:spacing w:line="360" w:lineRule="auto"/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fr-FR"/>
        </w:rPr>
      </w:pPr>
      <w:r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fr-FR"/>
        </w:rPr>
        <w:t>Member</w:t>
      </w:r>
      <w:r w:rsidRPr="004B15E7"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fr-FR"/>
        </w:rPr>
        <w:t xml:space="preserve"> Panel </w:t>
      </w:r>
      <w:r w:rsidR="00224E79"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fr-FR"/>
        </w:rPr>
        <w:t>s</w:t>
      </w:r>
      <w:r w:rsidRPr="004B15E7">
        <w:rPr>
          <w:rFonts w:eastAsia="Times New Roman" w:cstheme="minorHAnsi"/>
          <w:i/>
          <w:iCs/>
          <w:color w:val="000000" w:themeColor="text1"/>
          <w:sz w:val="22"/>
          <w:szCs w:val="22"/>
          <w:lang w:val="en-US" w:eastAsia="fr-FR"/>
        </w:rPr>
        <w:t>election</w:t>
      </w:r>
    </w:p>
    <w:p w:rsidR="00D10D50" w:rsidRPr="004B15E7" w:rsidRDefault="00D10D50" w:rsidP="00D10D50">
      <w:pPr>
        <w:shd w:val="clear" w:color="auto" w:fill="FFFFFF"/>
        <w:spacing w:line="360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</w:pP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An official ESA application form was addressed to the guideline committee for assessment by Marc Leone who at the time was a member of the guideline committee, and by Sharon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Einav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who was the acting chair of the ESA intensive care subcommittee. The application and the proposition for the composition of the guideline 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panel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was reviewed by </w:t>
      </w:r>
      <w:r w:rsidR="00224E79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the 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ESA guideline committee and approved by both ESA and ESICM offices. The guideline committee appointed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Arash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Afshari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as the group methodologist and Morten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Hylander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as the second methodologist to assist with the design and conduct of this entire guideline. The literature search was designed by the Cochrane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Anaesthesia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and Cochrane Critical Care Trial search specialist in close collaboration with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Arash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Afshari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and Marc Leone based on the PICOs, which were proposed by the guideline 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panel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and were revised several times to increase sensitivity and precision of the search. </w:t>
      </w:r>
    </w:p>
    <w:p w:rsidR="00D10D50" w:rsidRPr="004B15E7" w:rsidRDefault="00D10D50" w:rsidP="00224E79">
      <w:pPr>
        <w:shd w:val="clear" w:color="auto" w:fill="FFFFFF"/>
        <w:spacing w:before="120" w:line="360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</w:pP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The decision on who to include as a member in the 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panel of members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was carried out </w:t>
      </w:r>
      <w:r w:rsidR="00224E79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after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a review of applicants (open call process in both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organi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s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ations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) by Sharon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Einav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, Marc Leone and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Arash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</w:t>
      </w:r>
      <w:proofErr w:type="spellStart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Afshari</w:t>
      </w:r>
      <w:proofErr w:type="spellEnd"/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 xml:space="preserve"> based on academic knowledge and previous experience with guideline creation and work dedication. </w:t>
      </w:r>
      <w:r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lastRenderedPageBreak/>
        <w:t xml:space="preserve">Each expert had the possibility to design a young investigator to participate to the entire guidelines process. </w:t>
      </w:r>
      <w:r w:rsidRPr="004B15E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Regarding this panel of 19 experts, 10 disclosed no conflicts of interests, 7 disclosed conflicts of interests outside the field of this guideline and 2 disclosed conflicts of interests in the field of this guideline.</w:t>
      </w:r>
    </w:p>
    <w:p w:rsidR="00D10D50" w:rsidRPr="00D10D50" w:rsidRDefault="00D10D50" w:rsidP="00D10D50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n-US"/>
        </w:rPr>
      </w:pPr>
    </w:p>
    <w:p w:rsidR="00D10D50" w:rsidRPr="00D10D50" w:rsidRDefault="00D10D50">
      <w:pPr>
        <w:rPr>
          <w:lang w:val="en-GB"/>
        </w:rPr>
      </w:pPr>
    </w:p>
    <w:p w:rsidR="00D10D50" w:rsidRDefault="00D10D50">
      <w:pPr>
        <w:rPr>
          <w:lang w:val="en-US"/>
        </w:rPr>
      </w:pPr>
    </w:p>
    <w:p w:rsidR="00D10D50" w:rsidRDefault="00D10D50">
      <w:pPr>
        <w:rPr>
          <w:lang w:val="en-US"/>
        </w:rPr>
      </w:pPr>
    </w:p>
    <w:p w:rsidR="00D10D50" w:rsidRDefault="00D10D50">
      <w:pPr>
        <w:rPr>
          <w:lang w:val="en-US"/>
        </w:rPr>
      </w:pPr>
    </w:p>
    <w:sectPr w:rsidR="00D10D50" w:rsidSect="000D334D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0B" w:rsidRDefault="000A0C0B" w:rsidP="00CF1138">
      <w:r>
        <w:separator/>
      </w:r>
    </w:p>
  </w:endnote>
  <w:endnote w:type="continuationSeparator" w:id="0">
    <w:p w:rsidR="000A0C0B" w:rsidRDefault="000A0C0B" w:rsidP="00CF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98125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F1138" w:rsidRDefault="00B101E1" w:rsidP="007D593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CF1138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F1138" w:rsidRDefault="00CF1138" w:rsidP="00CF1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96196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F1138" w:rsidRDefault="00B101E1" w:rsidP="007D593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CF1138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01CAB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F1138" w:rsidRDefault="00CF1138" w:rsidP="00CF11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0B" w:rsidRDefault="000A0C0B" w:rsidP="00CF1138">
      <w:r>
        <w:separator/>
      </w:r>
    </w:p>
  </w:footnote>
  <w:footnote w:type="continuationSeparator" w:id="0">
    <w:p w:rsidR="000A0C0B" w:rsidRDefault="000A0C0B" w:rsidP="00CF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A4"/>
    <w:rsid w:val="00027065"/>
    <w:rsid w:val="00095D23"/>
    <w:rsid w:val="000A0C0B"/>
    <w:rsid w:val="000D334D"/>
    <w:rsid w:val="00224E79"/>
    <w:rsid w:val="003D16A4"/>
    <w:rsid w:val="003E7741"/>
    <w:rsid w:val="00430287"/>
    <w:rsid w:val="00475C6F"/>
    <w:rsid w:val="00501CAB"/>
    <w:rsid w:val="00646407"/>
    <w:rsid w:val="007943CB"/>
    <w:rsid w:val="00B101E1"/>
    <w:rsid w:val="00BB06AF"/>
    <w:rsid w:val="00CF1138"/>
    <w:rsid w:val="00D10D50"/>
    <w:rsid w:val="00E4788F"/>
    <w:rsid w:val="00E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F565-D39E-AC43-A79E-61EE6931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6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6AF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F1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138"/>
  </w:style>
  <w:style w:type="character" w:styleId="Numrodepage">
    <w:name w:val="page number"/>
    <w:basedOn w:val="Policepardfaut"/>
    <w:uiPriority w:val="99"/>
    <w:semiHidden/>
    <w:unhideWhenUsed/>
    <w:rsid w:val="00C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2467</Characters>
  <Application>Microsoft Office Word</Application>
  <DocSecurity>0</DocSecurity>
  <Lines>20</Lines>
  <Paragraphs>5</Paragraphs>
  <ScaleCrop>false</ScaleCrop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leone</dc:creator>
  <cp:lastModifiedBy>marc leone</cp:lastModifiedBy>
  <cp:revision>2</cp:revision>
  <dcterms:created xsi:type="dcterms:W3CDTF">2020-01-19T16:28:00Z</dcterms:created>
  <dcterms:modified xsi:type="dcterms:W3CDTF">2020-01-19T16:28:00Z</dcterms:modified>
</cp:coreProperties>
</file>