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968E" w14:textId="77777777" w:rsidR="00DE50D8" w:rsidRPr="00BE3275" w:rsidRDefault="003F3ABE" w:rsidP="003F3ABE">
      <w:pPr>
        <w:spacing w:line="276" w:lineRule="auto"/>
        <w:jc w:val="both"/>
        <w:rPr>
          <w:b/>
          <w:lang w:val="en-GB"/>
        </w:rPr>
      </w:pPr>
      <w:r w:rsidRPr="00BE3275">
        <w:rPr>
          <w:b/>
          <w:lang w:val="en-GB"/>
        </w:rPr>
        <w:t xml:space="preserve">Appendix </w:t>
      </w:r>
      <w:r w:rsidR="00DE50D8" w:rsidRPr="00BE3275">
        <w:rPr>
          <w:b/>
          <w:lang w:val="en-GB"/>
        </w:rPr>
        <w:t>3</w:t>
      </w:r>
    </w:p>
    <w:p w14:paraId="12168E92" w14:textId="77777777" w:rsidR="003F3ABE" w:rsidRPr="00BE3275" w:rsidRDefault="003F3ABE" w:rsidP="003F3ABE">
      <w:pPr>
        <w:spacing w:line="276" w:lineRule="auto"/>
        <w:jc w:val="both"/>
        <w:rPr>
          <w:lang w:val="en-GB"/>
        </w:rPr>
      </w:pPr>
      <w:r w:rsidRPr="00BE3275">
        <w:rPr>
          <w:lang w:val="en-GB"/>
        </w:rPr>
        <w:t>Grades of recommendation – Grading of Recommendations Assessment, Development and Evaluation System</w:t>
      </w:r>
    </w:p>
    <w:tbl>
      <w:tblPr>
        <w:tblpPr w:leftFromText="141" w:rightFromText="141" w:vertAnchor="text" w:horzAnchor="margin" w:tblpY="253"/>
        <w:tblW w:w="10624" w:type="dxa"/>
        <w:tblCellMar>
          <w:top w:w="15" w:type="dxa"/>
          <w:left w:w="15" w:type="dxa"/>
          <w:bottom w:w="15" w:type="dxa"/>
          <w:right w:w="15" w:type="dxa"/>
        </w:tblCellMar>
        <w:tblLook w:val="04A0" w:firstRow="1" w:lastRow="0" w:firstColumn="1" w:lastColumn="0" w:noHBand="0" w:noVBand="1"/>
      </w:tblPr>
      <w:tblGrid>
        <w:gridCol w:w="2230"/>
        <w:gridCol w:w="1417"/>
        <w:gridCol w:w="3575"/>
        <w:gridCol w:w="3402"/>
      </w:tblGrid>
      <w:tr w:rsidR="003F3ABE" w:rsidRPr="00BE3275" w14:paraId="2096CB1E"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6F6F6"/>
            <w:noWrap/>
            <w:hideMark/>
          </w:tcPr>
          <w:p w14:paraId="0668275F"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eastAsia="it-IT"/>
              </w:rPr>
              <w:t>Grade of Recommendation</w:t>
            </w:r>
          </w:p>
        </w:tc>
        <w:tc>
          <w:tcPr>
            <w:tcW w:w="1417" w:type="dxa"/>
            <w:tcBorders>
              <w:top w:val="single" w:sz="6" w:space="0" w:color="DADADA"/>
              <w:left w:val="single" w:sz="6" w:space="0" w:color="DADADA"/>
              <w:bottom w:val="single" w:sz="6" w:space="0" w:color="DADADA"/>
              <w:right w:val="single" w:sz="6" w:space="0" w:color="DADADA"/>
            </w:tcBorders>
            <w:shd w:val="clear" w:color="auto" w:fill="F6F6F6"/>
            <w:noWrap/>
            <w:hideMark/>
          </w:tcPr>
          <w:p w14:paraId="64BB210E"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eastAsia="it-IT"/>
              </w:rPr>
              <w:t>Clarity of risk/benefit</w:t>
            </w:r>
          </w:p>
        </w:tc>
        <w:tc>
          <w:tcPr>
            <w:tcW w:w="3575" w:type="dxa"/>
            <w:tcBorders>
              <w:top w:val="single" w:sz="6" w:space="0" w:color="DADADA"/>
              <w:left w:val="single" w:sz="6" w:space="0" w:color="DADADA"/>
              <w:bottom w:val="single" w:sz="6" w:space="0" w:color="DADADA"/>
              <w:right w:val="single" w:sz="6" w:space="0" w:color="DADADA"/>
            </w:tcBorders>
            <w:shd w:val="clear" w:color="auto" w:fill="F6F6F6"/>
            <w:noWrap/>
            <w:hideMark/>
          </w:tcPr>
          <w:p w14:paraId="79F0031A"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eastAsia="it-IT"/>
              </w:rPr>
              <w:t>Quality of supporting evidence</w:t>
            </w:r>
          </w:p>
        </w:tc>
        <w:tc>
          <w:tcPr>
            <w:tcW w:w="3402" w:type="dxa"/>
            <w:tcBorders>
              <w:top w:val="single" w:sz="6" w:space="0" w:color="DADADA"/>
              <w:left w:val="single" w:sz="6" w:space="0" w:color="DADADA"/>
              <w:bottom w:val="single" w:sz="6" w:space="0" w:color="DADADA"/>
              <w:right w:val="single" w:sz="6" w:space="0" w:color="DADADA"/>
            </w:tcBorders>
            <w:shd w:val="clear" w:color="auto" w:fill="F6F6F6"/>
            <w:noWrap/>
            <w:hideMark/>
          </w:tcPr>
          <w:p w14:paraId="07B407AA"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eastAsia="it-IT"/>
              </w:rPr>
              <w:t>Implications</w:t>
            </w:r>
          </w:p>
        </w:tc>
      </w:tr>
      <w:tr w:rsidR="003F3ABE" w:rsidRPr="00BE3275" w14:paraId="7FD4ED06"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53FB06E1"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1A.</w:t>
            </w:r>
          </w:p>
          <w:p w14:paraId="6043BC6E"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 high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21A0A7DF"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Benefits clearly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2B54DCAC"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Consistent evidence from well performed randomized, controlled trials or overwhelming evidence of some other form. Further research is unlikely to change our confidence in the estimate of benefit and risk.</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71A270F9"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recommendations, can apply to most patients in most circumstances without reservation. Clinicians should follow a strong recommendation unless a clear and compelling rationale for an alternative approach is present.</w:t>
            </w:r>
          </w:p>
        </w:tc>
      </w:tr>
      <w:tr w:rsidR="003F3ABE" w:rsidRPr="00BE3275" w14:paraId="13C0DA8F"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6960707"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1B.</w:t>
            </w:r>
          </w:p>
          <w:p w14:paraId="64985728"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 moderate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43547B8A"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Benefits clearly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1B142717"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6F2C5B8B"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 and applies to most patients. Clinicians should follow a strong recommendation unless a clear and compelling rationale for an alternative approach is present.</w:t>
            </w:r>
          </w:p>
        </w:tc>
      </w:tr>
      <w:tr w:rsidR="003F3ABE" w:rsidRPr="00BE3275" w14:paraId="632C64C9"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688D6B8D"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1C.</w:t>
            </w:r>
          </w:p>
          <w:p w14:paraId="1463E4A1"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 low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5746B740"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Benefits appear to outweigh risk and burdens, or vice versa.</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4EF0E605"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val="en-US" w:eastAsia="it-IT"/>
              </w:rPr>
              <w:t xml:space="preserve">Evidence from observational studies, unsystematic clinical experience, or from randomized, controlled trials with serious flaws. </w:t>
            </w:r>
            <w:r w:rsidRPr="00BE3275">
              <w:rPr>
                <w:rFonts w:eastAsia="Times New Roman" w:cstheme="minorHAnsi"/>
                <w:color w:val="474747"/>
                <w:sz w:val="18"/>
                <w:szCs w:val="18"/>
                <w:lang w:eastAsia="it-IT"/>
              </w:rPr>
              <w:t>Any estimate of effect is uncertain.</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0AB52A82"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Strong recommendation, and applies to most patients. Some of the evidence base supporting the recommendation is, however, of low quality.</w:t>
            </w:r>
          </w:p>
        </w:tc>
      </w:tr>
      <w:tr w:rsidR="003F3ABE" w:rsidRPr="00BE3275" w14:paraId="025CF145"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39236FA0"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2A.</w:t>
            </w:r>
          </w:p>
          <w:p w14:paraId="1F7E2997"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Weak recommendation, high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460E3EE0"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Benefits closely balanced with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2B8EF9FB"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Consistent evidence from well performed randomized, controlled trials or overwhelming evidence of some other form. Further research is unlikely to change our confidence in the estimate of benefit and risk.</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2718ED86"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Weak recommendation, best action may differ depending on circumstances or patients or societal values.</w:t>
            </w:r>
          </w:p>
        </w:tc>
      </w:tr>
      <w:tr w:rsidR="003F3ABE" w:rsidRPr="00BE3275" w14:paraId="0A8F149D"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42A09166"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2B.</w:t>
            </w:r>
          </w:p>
          <w:p w14:paraId="24F6CBC7"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Weak recommendation, moderate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2AF453FB"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Benefits closely balanced with risks and burdens, some uncertainly in the estimates of benefits,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7A4690FB"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0034F45C"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Weak recommendation, alternative approaches likely to be better for some patients under some circumstances.</w:t>
            </w:r>
          </w:p>
        </w:tc>
      </w:tr>
      <w:tr w:rsidR="003F3ABE" w:rsidRPr="00DE50D8" w14:paraId="6CF1FB5D" w14:textId="77777777" w:rsidTr="00741096">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E167E70"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2C.</w:t>
            </w:r>
          </w:p>
          <w:p w14:paraId="2FFD67C5"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Weak recommendation, low quality evidence</w:t>
            </w:r>
          </w:p>
        </w:tc>
        <w:tc>
          <w:tcPr>
            <w:tcW w:w="1417" w:type="dxa"/>
            <w:tcBorders>
              <w:top w:val="single" w:sz="6" w:space="0" w:color="DADADA"/>
              <w:left w:val="single" w:sz="6" w:space="0" w:color="DADADA"/>
              <w:bottom w:val="single" w:sz="6" w:space="0" w:color="DADADA"/>
              <w:right w:val="single" w:sz="6" w:space="0" w:color="DADADA"/>
            </w:tcBorders>
            <w:shd w:val="clear" w:color="auto" w:fill="FFFFFF"/>
            <w:hideMark/>
          </w:tcPr>
          <w:p w14:paraId="2782BA09" w14:textId="77777777" w:rsidR="003F3ABE" w:rsidRPr="00BE3275"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Uncertainty in the estimates of benefits, risks, and burdens; benefits may be closely balanced with risks and burdens.</w:t>
            </w:r>
          </w:p>
        </w:tc>
        <w:tc>
          <w:tcPr>
            <w:tcW w:w="3575" w:type="dxa"/>
            <w:tcBorders>
              <w:top w:val="single" w:sz="6" w:space="0" w:color="DADADA"/>
              <w:left w:val="single" w:sz="6" w:space="0" w:color="DADADA"/>
              <w:bottom w:val="single" w:sz="6" w:space="0" w:color="DADADA"/>
              <w:right w:val="single" w:sz="6" w:space="0" w:color="DADADA"/>
            </w:tcBorders>
            <w:shd w:val="clear" w:color="auto" w:fill="FFFFFF"/>
            <w:hideMark/>
          </w:tcPr>
          <w:p w14:paraId="5D27B5B6" w14:textId="77777777" w:rsidR="003F3ABE" w:rsidRPr="00BE3275" w:rsidRDefault="003F3ABE" w:rsidP="00741096">
            <w:pPr>
              <w:spacing w:after="240"/>
              <w:rPr>
                <w:rFonts w:eastAsia="Times New Roman" w:cstheme="minorHAnsi"/>
                <w:color w:val="474747"/>
                <w:sz w:val="18"/>
                <w:szCs w:val="18"/>
                <w:lang w:eastAsia="it-IT"/>
              </w:rPr>
            </w:pPr>
            <w:r w:rsidRPr="00BE3275">
              <w:rPr>
                <w:rFonts w:eastAsia="Times New Roman" w:cstheme="minorHAnsi"/>
                <w:color w:val="474747"/>
                <w:sz w:val="18"/>
                <w:szCs w:val="18"/>
                <w:lang w:val="en-US" w:eastAsia="it-IT"/>
              </w:rPr>
              <w:t xml:space="preserve">Evidence from observational studies, unsystematic clinical experience, or from randomized, controlled trials with serious flaws. </w:t>
            </w:r>
            <w:r w:rsidRPr="00BE3275">
              <w:rPr>
                <w:rFonts w:eastAsia="Times New Roman" w:cstheme="minorHAnsi"/>
                <w:color w:val="474747"/>
                <w:sz w:val="18"/>
                <w:szCs w:val="18"/>
                <w:lang w:eastAsia="it-IT"/>
              </w:rPr>
              <w:t>Any estimate of effect is uncertain.</w:t>
            </w:r>
          </w:p>
        </w:tc>
        <w:tc>
          <w:tcPr>
            <w:tcW w:w="3402" w:type="dxa"/>
            <w:tcBorders>
              <w:top w:val="single" w:sz="6" w:space="0" w:color="DADADA"/>
              <w:left w:val="single" w:sz="6" w:space="0" w:color="DADADA"/>
              <w:bottom w:val="single" w:sz="6" w:space="0" w:color="DADADA"/>
              <w:right w:val="single" w:sz="6" w:space="0" w:color="DADADA"/>
            </w:tcBorders>
            <w:shd w:val="clear" w:color="auto" w:fill="FFFFFF"/>
            <w:hideMark/>
          </w:tcPr>
          <w:p w14:paraId="5772DF6B" w14:textId="77777777" w:rsidR="003F3ABE" w:rsidRPr="007D7DFF" w:rsidRDefault="003F3ABE" w:rsidP="00741096">
            <w:pPr>
              <w:spacing w:after="240"/>
              <w:rPr>
                <w:rFonts w:eastAsia="Times New Roman" w:cstheme="minorHAnsi"/>
                <w:color w:val="474747"/>
                <w:sz w:val="18"/>
                <w:szCs w:val="18"/>
                <w:lang w:val="en-US" w:eastAsia="it-IT"/>
              </w:rPr>
            </w:pPr>
            <w:r w:rsidRPr="00BE3275">
              <w:rPr>
                <w:rFonts w:eastAsia="Times New Roman" w:cstheme="minorHAnsi"/>
                <w:color w:val="474747"/>
                <w:sz w:val="18"/>
                <w:szCs w:val="18"/>
                <w:lang w:val="en-US" w:eastAsia="it-IT"/>
              </w:rPr>
              <w:t>Very weak recommendation; other alternatives may be equally reasonable.</w:t>
            </w:r>
            <w:bookmarkStart w:id="0" w:name="_GoBack"/>
            <w:bookmarkEnd w:id="0"/>
          </w:p>
        </w:tc>
      </w:tr>
    </w:tbl>
    <w:p w14:paraId="1A45036B" w14:textId="77777777" w:rsidR="003F3ABE" w:rsidRPr="0094264E" w:rsidRDefault="003F3ABE" w:rsidP="003F3ABE">
      <w:pPr>
        <w:spacing w:line="276" w:lineRule="auto"/>
        <w:jc w:val="both"/>
        <w:rPr>
          <w:lang w:val="en-GB"/>
        </w:rPr>
      </w:pPr>
    </w:p>
    <w:p w14:paraId="64A0D13F" w14:textId="77777777" w:rsidR="003F3ABE" w:rsidRPr="0094264E" w:rsidRDefault="003F3ABE" w:rsidP="003F3ABE">
      <w:pPr>
        <w:spacing w:line="276" w:lineRule="auto"/>
        <w:jc w:val="both"/>
        <w:rPr>
          <w:lang w:val="en-GB"/>
        </w:rPr>
      </w:pPr>
    </w:p>
    <w:p w14:paraId="088852A1" w14:textId="77777777" w:rsidR="00D741D4" w:rsidRPr="00DE50D8" w:rsidRDefault="00D741D4">
      <w:pPr>
        <w:rPr>
          <w:lang w:val="en-US"/>
        </w:rPr>
      </w:pPr>
    </w:p>
    <w:sectPr w:rsidR="00D741D4" w:rsidRPr="00DE50D8" w:rsidSect="00635C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E"/>
    <w:rsid w:val="00002053"/>
    <w:rsid w:val="000114D7"/>
    <w:rsid w:val="0001472D"/>
    <w:rsid w:val="00040419"/>
    <w:rsid w:val="0005561D"/>
    <w:rsid w:val="0007379C"/>
    <w:rsid w:val="000D3FEF"/>
    <w:rsid w:val="000F7B1F"/>
    <w:rsid w:val="001037C2"/>
    <w:rsid w:val="0017036F"/>
    <w:rsid w:val="001805C5"/>
    <w:rsid w:val="00187DC5"/>
    <w:rsid w:val="001C3356"/>
    <w:rsid w:val="001E1564"/>
    <w:rsid w:val="001E3421"/>
    <w:rsid w:val="00237F50"/>
    <w:rsid w:val="00280163"/>
    <w:rsid w:val="00287493"/>
    <w:rsid w:val="002942FE"/>
    <w:rsid w:val="002C57D7"/>
    <w:rsid w:val="002D613E"/>
    <w:rsid w:val="002F160E"/>
    <w:rsid w:val="003148ED"/>
    <w:rsid w:val="00373B44"/>
    <w:rsid w:val="00387856"/>
    <w:rsid w:val="003A5198"/>
    <w:rsid w:val="003D3025"/>
    <w:rsid w:val="003F3ABE"/>
    <w:rsid w:val="00494DB7"/>
    <w:rsid w:val="004A1718"/>
    <w:rsid w:val="004A5D32"/>
    <w:rsid w:val="004C5408"/>
    <w:rsid w:val="00502008"/>
    <w:rsid w:val="005406BA"/>
    <w:rsid w:val="00577786"/>
    <w:rsid w:val="005A5F84"/>
    <w:rsid w:val="005C0376"/>
    <w:rsid w:val="00630B8B"/>
    <w:rsid w:val="00635CA2"/>
    <w:rsid w:val="006378D9"/>
    <w:rsid w:val="006533F5"/>
    <w:rsid w:val="00655167"/>
    <w:rsid w:val="00663778"/>
    <w:rsid w:val="00692E27"/>
    <w:rsid w:val="00692F23"/>
    <w:rsid w:val="006C0CCD"/>
    <w:rsid w:val="006C3072"/>
    <w:rsid w:val="006F351F"/>
    <w:rsid w:val="007070B7"/>
    <w:rsid w:val="007310AE"/>
    <w:rsid w:val="00767B19"/>
    <w:rsid w:val="0077053C"/>
    <w:rsid w:val="00772CB4"/>
    <w:rsid w:val="007B61B7"/>
    <w:rsid w:val="007C7706"/>
    <w:rsid w:val="00837671"/>
    <w:rsid w:val="00886999"/>
    <w:rsid w:val="008B451D"/>
    <w:rsid w:val="008B4EE3"/>
    <w:rsid w:val="008C66EB"/>
    <w:rsid w:val="008D5BAC"/>
    <w:rsid w:val="008E00DE"/>
    <w:rsid w:val="008F3ACD"/>
    <w:rsid w:val="0091739F"/>
    <w:rsid w:val="00935836"/>
    <w:rsid w:val="0093664C"/>
    <w:rsid w:val="00940209"/>
    <w:rsid w:val="00973029"/>
    <w:rsid w:val="009935F7"/>
    <w:rsid w:val="009C132D"/>
    <w:rsid w:val="009C158A"/>
    <w:rsid w:val="00A1622A"/>
    <w:rsid w:val="00A75EAB"/>
    <w:rsid w:val="00AD282F"/>
    <w:rsid w:val="00AF2823"/>
    <w:rsid w:val="00B81E98"/>
    <w:rsid w:val="00BB16B1"/>
    <w:rsid w:val="00BD58B5"/>
    <w:rsid w:val="00BE3275"/>
    <w:rsid w:val="00C26A87"/>
    <w:rsid w:val="00C378E7"/>
    <w:rsid w:val="00C91D54"/>
    <w:rsid w:val="00CE6C35"/>
    <w:rsid w:val="00CE7750"/>
    <w:rsid w:val="00D06F57"/>
    <w:rsid w:val="00D338A1"/>
    <w:rsid w:val="00D34E59"/>
    <w:rsid w:val="00D46FF7"/>
    <w:rsid w:val="00D50E00"/>
    <w:rsid w:val="00D526E7"/>
    <w:rsid w:val="00D6401A"/>
    <w:rsid w:val="00D70855"/>
    <w:rsid w:val="00D717E5"/>
    <w:rsid w:val="00D741D4"/>
    <w:rsid w:val="00DC173A"/>
    <w:rsid w:val="00DE50D8"/>
    <w:rsid w:val="00E3232A"/>
    <w:rsid w:val="00E40C84"/>
    <w:rsid w:val="00E4491C"/>
    <w:rsid w:val="00EE2B25"/>
    <w:rsid w:val="00EE4C42"/>
    <w:rsid w:val="00F046BC"/>
    <w:rsid w:val="00F30837"/>
    <w:rsid w:val="00F316F9"/>
    <w:rsid w:val="00F324CE"/>
    <w:rsid w:val="00F478AF"/>
    <w:rsid w:val="00F5053A"/>
    <w:rsid w:val="00F6451D"/>
    <w:rsid w:val="00F82E3C"/>
    <w:rsid w:val="00F86EAB"/>
    <w:rsid w:val="00FB7793"/>
    <w:rsid w:val="00FC0318"/>
    <w:rsid w:val="00FC1586"/>
    <w:rsid w:val="00FC3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1EA8"/>
  <w14:defaultImageDpi w14:val="32767"/>
  <w15:chartTrackingRefBased/>
  <w15:docId w15:val="{B75E59AF-FB5C-5146-AEC3-33F4243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Lamperti</dc:creator>
  <cp:keywords/>
  <dc:description/>
  <cp:lastModifiedBy>Ian Russell</cp:lastModifiedBy>
  <cp:revision>5</cp:revision>
  <dcterms:created xsi:type="dcterms:W3CDTF">2019-05-07T10:11:00Z</dcterms:created>
  <dcterms:modified xsi:type="dcterms:W3CDTF">2020-01-08T09:03:00Z</dcterms:modified>
</cp:coreProperties>
</file>