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6E324" w14:textId="7998ACE4" w:rsidR="00AA68A9" w:rsidRPr="004B1E04" w:rsidRDefault="00AA68A9" w:rsidP="00AA68A9">
      <w:pPr>
        <w:spacing w:line="360" w:lineRule="auto"/>
        <w:rPr>
          <w:color w:val="000000" w:themeColor="text1"/>
          <w:lang w:val="en-US"/>
        </w:rPr>
      </w:pPr>
      <w:r w:rsidRPr="004B1E04">
        <w:rPr>
          <w:color w:val="000000" w:themeColor="text1"/>
          <w:lang w:val="en-US"/>
        </w:rPr>
        <w:t xml:space="preserve">Addendum </w:t>
      </w:r>
      <w:r w:rsidR="00090CAE">
        <w:rPr>
          <w:color w:val="000000" w:themeColor="text1"/>
          <w:lang w:val="en-US"/>
        </w:rPr>
        <w:t>1</w:t>
      </w:r>
      <w:r w:rsidRPr="004B1E04">
        <w:rPr>
          <w:color w:val="000000" w:themeColor="text1"/>
          <w:lang w:val="en-US"/>
        </w:rPr>
        <w:t xml:space="preserve"> </w:t>
      </w:r>
    </w:p>
    <w:p w14:paraId="7044B491" w14:textId="77777777" w:rsidR="00AA68A9" w:rsidRPr="004B1E04" w:rsidRDefault="00AA68A9" w:rsidP="00AA68A9">
      <w:pPr>
        <w:spacing w:line="360" w:lineRule="auto"/>
        <w:rPr>
          <w:b/>
          <w:color w:val="000000" w:themeColor="text1"/>
          <w:lang w:val="en-US"/>
        </w:rPr>
      </w:pPr>
      <w:r w:rsidRPr="004B1E04">
        <w:rPr>
          <w:b/>
          <w:color w:val="000000" w:themeColor="text1"/>
          <w:lang w:val="en-US"/>
        </w:rPr>
        <w:t>Post anesthetic discharge scoring system (PADS)</w:t>
      </w:r>
      <w:r w:rsidRPr="00DB363E">
        <w:rPr>
          <w:b/>
          <w:color w:val="000000" w:themeColor="text1"/>
        </w:rPr>
        <w:fldChar w:fldCharType="begin"/>
      </w:r>
      <w:r w:rsidRPr="004B1E04">
        <w:rPr>
          <w:b/>
          <w:color w:val="000000" w:themeColor="text1"/>
          <w:lang w:val="en-US"/>
        </w:rPr>
        <w:instrText xml:space="preserve"> ADDIN PAPERS2_CITATIONS &lt;citation&gt;&lt;priority&gt;0&lt;/priority&gt;&lt;uuid&gt;35164555-D6EF-479F-8C98-249D78850291&lt;/uuid&gt;&lt;publications&gt;&lt;publication&gt;&lt;subtype&gt;400&lt;/subtype&gt;&lt;title&gt;A post-anesthetic discharge scoring system for home readiness after ambulatory surgery.&lt;/title&gt;&lt;url&gt;http://eutils.ncbi.nlm.nih.gov/entrez/eutils/elink.fcgi?dbfrom=pubmed&amp;amp;id=8534468&amp;amp;retmode=ref&amp;amp;cmd=prlinks&lt;/url&gt;&lt;volume&gt;7&lt;/volume&gt;&lt;publication_date&gt;99199509001200000000220000&lt;/publication_date&gt;&lt;uuid&gt;64AD0253-05F1-4F62-AE79-AFAE688939DB&lt;/uuid&gt;&lt;type&gt;400&lt;/type&gt;&lt;number&gt;6&lt;/number&gt;&lt;citekey&gt;Chung:1995vw&lt;/citekey&gt;&lt;institution&gt;Department of Anaesthesia, Toronto Western Division, Toronto Hospital, Canada.&lt;/institution&gt;&lt;startpage&gt;500&lt;/startpage&gt;&lt;endpage&gt;506&lt;/endpage&gt;&lt;bundle&gt;&lt;publication&gt;&lt;title&gt;Journal of Clinical Anesthesia&lt;/title&gt;&lt;uuid&gt;36104916-60E6-40E9-9475-8B520BB1B294&lt;/uuid&gt;&lt;subtype&gt;-100&lt;/subtype&gt;&lt;publisher&gt;Elsevier Inc.&lt;/publisher&gt;&lt;type&gt;-100&lt;/type&gt;&lt;/publication&gt;&lt;/bundle&gt;&lt;authors&gt;&lt;author&gt;&lt;lastName&gt;Chung&lt;/lastName&gt;&lt;firstName&gt;F&lt;/firstName&gt;&lt;/author&gt;&lt;author&gt;&lt;lastName&gt;Chan&lt;/lastName&gt;&lt;firstName&gt;V&lt;/firstName&gt;&lt;middleNames&gt;W&lt;/middleNames&gt;&lt;/author&gt;&lt;author&gt;&lt;lastName&gt;Ong&lt;/lastName&gt;&lt;firstName&gt;D&lt;/firstName&gt;&lt;/author&gt;&lt;/authors&gt;&lt;/publication&gt;&lt;/publications&gt;&lt;cites&gt;&lt;/cites&gt;&lt;/citation&gt;</w:instrText>
      </w:r>
      <w:r w:rsidRPr="00DB363E">
        <w:rPr>
          <w:b/>
          <w:color w:val="000000" w:themeColor="text1"/>
        </w:rPr>
        <w:fldChar w:fldCharType="separate"/>
      </w:r>
      <w:r w:rsidRPr="00DB363E">
        <w:rPr>
          <w:color w:val="000000" w:themeColor="text1"/>
          <w:vertAlign w:val="superscript"/>
          <w:lang w:val="en-US"/>
        </w:rPr>
        <w:t>17</w:t>
      </w:r>
      <w:r w:rsidRPr="00DB363E">
        <w:rPr>
          <w:b/>
          <w:color w:val="000000" w:themeColor="text1"/>
        </w:rPr>
        <w:fldChar w:fldCharType="end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647"/>
        <w:gridCol w:w="425"/>
      </w:tblGrid>
      <w:tr w:rsidR="00AA68A9" w:rsidRPr="00DB363E" w14:paraId="46776F5B" w14:textId="77777777" w:rsidTr="002E10E5">
        <w:tc>
          <w:tcPr>
            <w:tcW w:w="9072" w:type="dxa"/>
            <w:gridSpan w:val="2"/>
            <w:hideMark/>
          </w:tcPr>
          <w:p w14:paraId="16D00C60" w14:textId="77777777" w:rsidR="00AA68A9" w:rsidRPr="00DB363E" w:rsidRDefault="00AA68A9" w:rsidP="002E10E5">
            <w:pPr>
              <w:spacing w:before="100" w:beforeAutospacing="1" w:after="100" w:afterAutospacing="1" w:line="360" w:lineRule="auto"/>
              <w:rPr>
                <w:b/>
                <w:color w:val="000000" w:themeColor="text1"/>
              </w:rPr>
            </w:pPr>
            <w:r w:rsidRPr="00DB363E">
              <w:rPr>
                <w:b/>
                <w:color w:val="000000" w:themeColor="text1"/>
              </w:rPr>
              <w:t>Vital signs</w:t>
            </w:r>
          </w:p>
        </w:tc>
      </w:tr>
      <w:tr w:rsidR="00AA68A9" w:rsidRPr="00DB363E" w14:paraId="7C1A3F52" w14:textId="77777777" w:rsidTr="002E10E5">
        <w:tc>
          <w:tcPr>
            <w:tcW w:w="8647" w:type="dxa"/>
            <w:hideMark/>
          </w:tcPr>
          <w:p w14:paraId="6EF7BD8A" w14:textId="457B2C70" w:rsidR="00AA68A9" w:rsidRPr="00DB363E" w:rsidRDefault="00AA68A9" w:rsidP="002E10E5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DB363E">
              <w:rPr>
                <w:color w:val="000000" w:themeColor="text1"/>
              </w:rPr>
              <w:t>Within 20% of pre</w:t>
            </w:r>
            <w:r w:rsidR="00090CAE">
              <w:rPr>
                <w:color w:val="000000" w:themeColor="text1"/>
              </w:rPr>
              <w:t>-</w:t>
            </w:r>
            <w:r w:rsidRPr="00DB363E">
              <w:rPr>
                <w:color w:val="000000" w:themeColor="text1"/>
              </w:rPr>
              <w:t>operative baseline</w:t>
            </w:r>
          </w:p>
        </w:tc>
        <w:tc>
          <w:tcPr>
            <w:tcW w:w="425" w:type="dxa"/>
            <w:hideMark/>
          </w:tcPr>
          <w:p w14:paraId="312F3BEA" w14:textId="77777777" w:rsidR="00AA68A9" w:rsidRPr="00DB363E" w:rsidRDefault="00AA68A9" w:rsidP="002E10E5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DB363E">
              <w:rPr>
                <w:color w:val="000000" w:themeColor="text1"/>
              </w:rPr>
              <w:t>2</w:t>
            </w:r>
          </w:p>
        </w:tc>
      </w:tr>
      <w:tr w:rsidR="00AA68A9" w:rsidRPr="00DB363E" w14:paraId="03369D10" w14:textId="77777777" w:rsidTr="002E10E5">
        <w:tc>
          <w:tcPr>
            <w:tcW w:w="8647" w:type="dxa"/>
            <w:hideMark/>
          </w:tcPr>
          <w:p w14:paraId="15FC194A" w14:textId="2164A07A" w:rsidR="00AA68A9" w:rsidRPr="00DB363E" w:rsidRDefault="00AA68A9" w:rsidP="002E10E5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DB363E">
              <w:rPr>
                <w:color w:val="000000" w:themeColor="text1"/>
              </w:rPr>
              <w:t>20%–40% of pre</w:t>
            </w:r>
            <w:r w:rsidR="00090CAE">
              <w:rPr>
                <w:color w:val="000000" w:themeColor="text1"/>
              </w:rPr>
              <w:t>-</w:t>
            </w:r>
            <w:r w:rsidRPr="00DB363E">
              <w:rPr>
                <w:color w:val="000000" w:themeColor="text1"/>
              </w:rPr>
              <w:t>operative baseline</w:t>
            </w:r>
          </w:p>
        </w:tc>
        <w:tc>
          <w:tcPr>
            <w:tcW w:w="425" w:type="dxa"/>
            <w:hideMark/>
          </w:tcPr>
          <w:p w14:paraId="0362DFF6" w14:textId="77777777" w:rsidR="00AA68A9" w:rsidRPr="00DB363E" w:rsidRDefault="00AA68A9" w:rsidP="002E10E5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DB363E">
              <w:rPr>
                <w:color w:val="000000" w:themeColor="text1"/>
              </w:rPr>
              <w:t>1</w:t>
            </w:r>
          </w:p>
        </w:tc>
      </w:tr>
      <w:tr w:rsidR="00AA68A9" w:rsidRPr="00DB363E" w14:paraId="1A717EC4" w14:textId="77777777" w:rsidTr="002E10E5">
        <w:tc>
          <w:tcPr>
            <w:tcW w:w="8647" w:type="dxa"/>
            <w:hideMark/>
          </w:tcPr>
          <w:p w14:paraId="6134273B" w14:textId="2C6D2F5B" w:rsidR="00AA68A9" w:rsidRPr="00DB363E" w:rsidRDefault="00AA68A9" w:rsidP="002E10E5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DB363E">
              <w:rPr>
                <w:color w:val="000000" w:themeColor="text1"/>
              </w:rPr>
              <w:t>40% of pre</w:t>
            </w:r>
            <w:r w:rsidR="00090CAE">
              <w:rPr>
                <w:color w:val="000000" w:themeColor="text1"/>
              </w:rPr>
              <w:t>-</w:t>
            </w:r>
            <w:r w:rsidRPr="00DB363E">
              <w:rPr>
                <w:color w:val="000000" w:themeColor="text1"/>
              </w:rPr>
              <w:t>operative baseline</w:t>
            </w:r>
          </w:p>
        </w:tc>
        <w:tc>
          <w:tcPr>
            <w:tcW w:w="425" w:type="dxa"/>
            <w:hideMark/>
          </w:tcPr>
          <w:p w14:paraId="28D1FA06" w14:textId="77777777" w:rsidR="00AA68A9" w:rsidRPr="00DB363E" w:rsidRDefault="00AA68A9" w:rsidP="002E10E5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DB363E">
              <w:rPr>
                <w:color w:val="000000" w:themeColor="text1"/>
              </w:rPr>
              <w:t>0</w:t>
            </w:r>
          </w:p>
        </w:tc>
      </w:tr>
      <w:tr w:rsidR="00AA68A9" w:rsidRPr="00DB363E" w14:paraId="47D895E6" w14:textId="77777777" w:rsidTr="002E10E5">
        <w:tc>
          <w:tcPr>
            <w:tcW w:w="9072" w:type="dxa"/>
            <w:gridSpan w:val="2"/>
            <w:hideMark/>
          </w:tcPr>
          <w:p w14:paraId="0F18DCBA" w14:textId="77777777" w:rsidR="00AA68A9" w:rsidRPr="00DB363E" w:rsidRDefault="00AA68A9" w:rsidP="002E10E5">
            <w:pPr>
              <w:spacing w:before="100" w:beforeAutospacing="1" w:after="100" w:afterAutospacing="1" w:line="360" w:lineRule="auto"/>
              <w:rPr>
                <w:b/>
                <w:color w:val="000000" w:themeColor="text1"/>
              </w:rPr>
            </w:pPr>
            <w:r w:rsidRPr="00DB363E">
              <w:rPr>
                <w:b/>
                <w:color w:val="000000" w:themeColor="text1"/>
              </w:rPr>
              <w:t>Activity level</w:t>
            </w:r>
          </w:p>
        </w:tc>
      </w:tr>
      <w:tr w:rsidR="00AA68A9" w:rsidRPr="00DB363E" w14:paraId="1578A4AE" w14:textId="77777777" w:rsidTr="002E10E5">
        <w:tc>
          <w:tcPr>
            <w:tcW w:w="8647" w:type="dxa"/>
            <w:hideMark/>
          </w:tcPr>
          <w:p w14:paraId="5AFB7996" w14:textId="73BE7106" w:rsidR="00AA68A9" w:rsidRPr="00DB363E" w:rsidRDefault="00AA68A9" w:rsidP="002E10E5">
            <w:pPr>
              <w:spacing w:before="100" w:beforeAutospacing="1" w:after="100" w:afterAutospacing="1" w:line="360" w:lineRule="auto"/>
              <w:rPr>
                <w:color w:val="000000" w:themeColor="text1"/>
                <w:lang w:val="en-US"/>
              </w:rPr>
            </w:pPr>
            <w:r w:rsidRPr="00DB363E">
              <w:rPr>
                <w:color w:val="000000" w:themeColor="text1"/>
                <w:lang w:val="en-US"/>
              </w:rPr>
              <w:t>Steady gait, no dizziness, consistent with pre</w:t>
            </w:r>
            <w:r w:rsidR="00090CAE">
              <w:rPr>
                <w:color w:val="000000" w:themeColor="text1"/>
                <w:lang w:val="en-US"/>
              </w:rPr>
              <w:t>-</w:t>
            </w:r>
            <w:r w:rsidRPr="00DB363E">
              <w:rPr>
                <w:color w:val="000000" w:themeColor="text1"/>
                <w:lang w:val="en-US"/>
              </w:rPr>
              <w:t>operative level</w:t>
            </w:r>
          </w:p>
        </w:tc>
        <w:tc>
          <w:tcPr>
            <w:tcW w:w="425" w:type="dxa"/>
            <w:hideMark/>
          </w:tcPr>
          <w:p w14:paraId="7C7451F2" w14:textId="77777777" w:rsidR="00AA68A9" w:rsidRPr="00DB363E" w:rsidRDefault="00AA68A9" w:rsidP="002E10E5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DB363E">
              <w:rPr>
                <w:color w:val="000000" w:themeColor="text1"/>
              </w:rPr>
              <w:t>2</w:t>
            </w:r>
          </w:p>
        </w:tc>
      </w:tr>
      <w:tr w:rsidR="00AA68A9" w:rsidRPr="00DB363E" w14:paraId="3A6C896B" w14:textId="77777777" w:rsidTr="002E10E5">
        <w:tc>
          <w:tcPr>
            <w:tcW w:w="8647" w:type="dxa"/>
            <w:hideMark/>
          </w:tcPr>
          <w:p w14:paraId="5052731D" w14:textId="77777777" w:rsidR="00AA68A9" w:rsidRPr="00DB363E" w:rsidRDefault="00AA68A9" w:rsidP="002E10E5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DB363E">
              <w:rPr>
                <w:color w:val="000000" w:themeColor="text1"/>
              </w:rPr>
              <w:t>Requires assistance</w:t>
            </w:r>
          </w:p>
        </w:tc>
        <w:tc>
          <w:tcPr>
            <w:tcW w:w="425" w:type="dxa"/>
            <w:hideMark/>
          </w:tcPr>
          <w:p w14:paraId="0616F974" w14:textId="77777777" w:rsidR="00AA68A9" w:rsidRPr="00DB363E" w:rsidRDefault="00AA68A9" w:rsidP="002E10E5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DB363E">
              <w:rPr>
                <w:color w:val="000000" w:themeColor="text1"/>
              </w:rPr>
              <w:t>1</w:t>
            </w:r>
          </w:p>
        </w:tc>
      </w:tr>
      <w:tr w:rsidR="00AA68A9" w:rsidRPr="00DB363E" w14:paraId="3A0C5D84" w14:textId="77777777" w:rsidTr="002E10E5">
        <w:tc>
          <w:tcPr>
            <w:tcW w:w="8647" w:type="dxa"/>
            <w:hideMark/>
          </w:tcPr>
          <w:p w14:paraId="70E0A323" w14:textId="77777777" w:rsidR="00AA68A9" w:rsidRPr="00DB363E" w:rsidRDefault="00AA68A9" w:rsidP="002E10E5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DB363E">
              <w:rPr>
                <w:color w:val="000000" w:themeColor="text1"/>
              </w:rPr>
              <w:t>Unable to ambulate/assess</w:t>
            </w:r>
          </w:p>
        </w:tc>
        <w:tc>
          <w:tcPr>
            <w:tcW w:w="425" w:type="dxa"/>
            <w:hideMark/>
          </w:tcPr>
          <w:p w14:paraId="74DF6AAD" w14:textId="77777777" w:rsidR="00AA68A9" w:rsidRPr="00DB363E" w:rsidRDefault="00AA68A9" w:rsidP="002E10E5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DB363E">
              <w:rPr>
                <w:color w:val="000000" w:themeColor="text1"/>
              </w:rPr>
              <w:t>0</w:t>
            </w:r>
          </w:p>
        </w:tc>
      </w:tr>
      <w:tr w:rsidR="00AA68A9" w:rsidRPr="00DB363E" w14:paraId="66ED6C89" w14:textId="77777777" w:rsidTr="002E10E5">
        <w:tc>
          <w:tcPr>
            <w:tcW w:w="9072" w:type="dxa"/>
            <w:gridSpan w:val="2"/>
            <w:hideMark/>
          </w:tcPr>
          <w:p w14:paraId="076C75BC" w14:textId="77777777" w:rsidR="00AA68A9" w:rsidRPr="00DB363E" w:rsidRDefault="00AA68A9" w:rsidP="002E10E5">
            <w:pPr>
              <w:spacing w:before="100" w:beforeAutospacing="1" w:after="100" w:afterAutospacing="1" w:line="360" w:lineRule="auto"/>
              <w:rPr>
                <w:b/>
                <w:color w:val="000000" w:themeColor="text1"/>
              </w:rPr>
            </w:pPr>
            <w:r w:rsidRPr="00DB363E">
              <w:rPr>
                <w:b/>
                <w:color w:val="000000" w:themeColor="text1"/>
              </w:rPr>
              <w:t>Nausea and vomiting</w:t>
            </w:r>
          </w:p>
        </w:tc>
      </w:tr>
      <w:tr w:rsidR="00AA68A9" w:rsidRPr="00DB363E" w14:paraId="5D69FF4D" w14:textId="77777777" w:rsidTr="002E10E5">
        <w:tc>
          <w:tcPr>
            <w:tcW w:w="8647" w:type="dxa"/>
            <w:hideMark/>
          </w:tcPr>
          <w:p w14:paraId="3D69A94C" w14:textId="77777777" w:rsidR="00AA68A9" w:rsidRPr="00DB363E" w:rsidRDefault="00AA68A9" w:rsidP="002E10E5">
            <w:pPr>
              <w:spacing w:before="100" w:beforeAutospacing="1" w:after="100" w:afterAutospacing="1" w:line="360" w:lineRule="auto"/>
              <w:rPr>
                <w:color w:val="000000" w:themeColor="text1"/>
                <w:lang w:val="en-US"/>
              </w:rPr>
            </w:pPr>
            <w:r w:rsidRPr="00DB363E">
              <w:rPr>
                <w:color w:val="000000" w:themeColor="text1"/>
                <w:lang w:val="en-US"/>
              </w:rPr>
              <w:t>Minimal: mild, no treatment needed</w:t>
            </w:r>
          </w:p>
        </w:tc>
        <w:tc>
          <w:tcPr>
            <w:tcW w:w="425" w:type="dxa"/>
            <w:hideMark/>
          </w:tcPr>
          <w:p w14:paraId="1990A72C" w14:textId="77777777" w:rsidR="00AA68A9" w:rsidRPr="00DB363E" w:rsidRDefault="00AA68A9" w:rsidP="002E10E5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DB363E">
              <w:rPr>
                <w:color w:val="000000" w:themeColor="text1"/>
              </w:rPr>
              <w:t>2</w:t>
            </w:r>
          </w:p>
        </w:tc>
      </w:tr>
      <w:tr w:rsidR="00AA68A9" w:rsidRPr="00DB363E" w14:paraId="223A33D5" w14:textId="77777777" w:rsidTr="002E10E5">
        <w:tc>
          <w:tcPr>
            <w:tcW w:w="8647" w:type="dxa"/>
            <w:hideMark/>
          </w:tcPr>
          <w:p w14:paraId="46740F47" w14:textId="77777777" w:rsidR="00AA68A9" w:rsidRPr="00DB363E" w:rsidRDefault="00AA68A9" w:rsidP="002E10E5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DB363E">
              <w:rPr>
                <w:color w:val="000000" w:themeColor="text1"/>
              </w:rPr>
              <w:t>Moderate: treatment effective</w:t>
            </w:r>
          </w:p>
        </w:tc>
        <w:tc>
          <w:tcPr>
            <w:tcW w:w="425" w:type="dxa"/>
            <w:hideMark/>
          </w:tcPr>
          <w:p w14:paraId="6D7AFC9E" w14:textId="77777777" w:rsidR="00AA68A9" w:rsidRPr="00DB363E" w:rsidRDefault="00AA68A9" w:rsidP="002E10E5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DB363E">
              <w:rPr>
                <w:color w:val="000000" w:themeColor="text1"/>
              </w:rPr>
              <w:t>1</w:t>
            </w:r>
          </w:p>
        </w:tc>
      </w:tr>
      <w:tr w:rsidR="00AA68A9" w:rsidRPr="00DB363E" w14:paraId="0ED75FC8" w14:textId="77777777" w:rsidTr="002E10E5">
        <w:tc>
          <w:tcPr>
            <w:tcW w:w="8647" w:type="dxa"/>
            <w:hideMark/>
          </w:tcPr>
          <w:p w14:paraId="2DE344BA" w14:textId="77777777" w:rsidR="00AA68A9" w:rsidRPr="00DB363E" w:rsidRDefault="00AA68A9" w:rsidP="002E10E5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DB363E">
              <w:rPr>
                <w:color w:val="000000" w:themeColor="text1"/>
              </w:rPr>
              <w:t>Severe: treatment not effective</w:t>
            </w:r>
          </w:p>
        </w:tc>
        <w:tc>
          <w:tcPr>
            <w:tcW w:w="425" w:type="dxa"/>
            <w:hideMark/>
          </w:tcPr>
          <w:p w14:paraId="02D05EF4" w14:textId="77777777" w:rsidR="00AA68A9" w:rsidRPr="00DB363E" w:rsidRDefault="00AA68A9" w:rsidP="002E10E5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DB363E">
              <w:rPr>
                <w:color w:val="000000" w:themeColor="text1"/>
              </w:rPr>
              <w:t>0</w:t>
            </w:r>
          </w:p>
        </w:tc>
      </w:tr>
      <w:tr w:rsidR="00AA68A9" w:rsidRPr="00DB363E" w14:paraId="56BC0685" w14:textId="77777777" w:rsidTr="002E10E5">
        <w:tc>
          <w:tcPr>
            <w:tcW w:w="9072" w:type="dxa"/>
            <w:gridSpan w:val="2"/>
            <w:hideMark/>
          </w:tcPr>
          <w:p w14:paraId="7782246B" w14:textId="77777777" w:rsidR="00AA68A9" w:rsidRPr="00DB363E" w:rsidRDefault="00AA68A9" w:rsidP="002E10E5">
            <w:pPr>
              <w:spacing w:before="100" w:beforeAutospacing="1" w:after="100" w:afterAutospacing="1" w:line="360" w:lineRule="auto"/>
              <w:rPr>
                <w:b/>
                <w:color w:val="000000" w:themeColor="text1"/>
              </w:rPr>
            </w:pPr>
            <w:r w:rsidRPr="00DB363E">
              <w:rPr>
                <w:b/>
                <w:color w:val="000000" w:themeColor="text1"/>
              </w:rPr>
              <w:t>Pain</w:t>
            </w:r>
          </w:p>
        </w:tc>
      </w:tr>
      <w:tr w:rsidR="00AA68A9" w:rsidRPr="00DB363E" w14:paraId="550C2BB8" w14:textId="77777777" w:rsidTr="002E10E5">
        <w:tc>
          <w:tcPr>
            <w:tcW w:w="8647" w:type="dxa"/>
            <w:hideMark/>
          </w:tcPr>
          <w:p w14:paraId="0652FAA8" w14:textId="77777777" w:rsidR="00AA68A9" w:rsidRPr="00DB363E" w:rsidRDefault="00AA68A9" w:rsidP="002E10E5">
            <w:pPr>
              <w:spacing w:before="100" w:beforeAutospacing="1" w:after="100" w:afterAutospacing="1" w:line="360" w:lineRule="auto"/>
              <w:rPr>
                <w:color w:val="000000" w:themeColor="text1"/>
                <w:lang w:val="en-US"/>
              </w:rPr>
            </w:pPr>
            <w:r w:rsidRPr="00DB363E">
              <w:rPr>
                <w:color w:val="000000" w:themeColor="text1"/>
                <w:lang w:val="en-US"/>
              </w:rPr>
              <w:t>VAS = 0–3: the patient has minimal or no pain before discharge</w:t>
            </w:r>
          </w:p>
        </w:tc>
        <w:tc>
          <w:tcPr>
            <w:tcW w:w="425" w:type="dxa"/>
            <w:hideMark/>
          </w:tcPr>
          <w:p w14:paraId="3866A672" w14:textId="77777777" w:rsidR="00AA68A9" w:rsidRPr="00DB363E" w:rsidRDefault="00AA68A9" w:rsidP="002E10E5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DB363E">
              <w:rPr>
                <w:color w:val="000000" w:themeColor="text1"/>
              </w:rPr>
              <w:t>2</w:t>
            </w:r>
          </w:p>
        </w:tc>
      </w:tr>
      <w:tr w:rsidR="00AA68A9" w:rsidRPr="00DB363E" w14:paraId="1416E66D" w14:textId="77777777" w:rsidTr="002E10E5">
        <w:tc>
          <w:tcPr>
            <w:tcW w:w="8647" w:type="dxa"/>
            <w:hideMark/>
          </w:tcPr>
          <w:p w14:paraId="4EF6168C" w14:textId="77777777" w:rsidR="00AA68A9" w:rsidRPr="00DB363E" w:rsidRDefault="00AA68A9" w:rsidP="002E10E5">
            <w:pPr>
              <w:spacing w:before="100" w:beforeAutospacing="1" w:after="100" w:afterAutospacing="1" w:line="360" w:lineRule="auto"/>
              <w:rPr>
                <w:color w:val="000000" w:themeColor="text1"/>
                <w:lang w:val="en-US"/>
              </w:rPr>
            </w:pPr>
            <w:r w:rsidRPr="00DB363E">
              <w:rPr>
                <w:color w:val="000000" w:themeColor="text1"/>
                <w:lang w:val="en-US"/>
              </w:rPr>
              <w:t>VAS = 4–6: the patient has moderate pain</w:t>
            </w:r>
          </w:p>
        </w:tc>
        <w:tc>
          <w:tcPr>
            <w:tcW w:w="425" w:type="dxa"/>
            <w:hideMark/>
          </w:tcPr>
          <w:p w14:paraId="51CBD77E" w14:textId="77777777" w:rsidR="00AA68A9" w:rsidRPr="00DB363E" w:rsidRDefault="00AA68A9" w:rsidP="002E10E5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DB363E">
              <w:rPr>
                <w:color w:val="000000" w:themeColor="text1"/>
              </w:rPr>
              <w:t>1</w:t>
            </w:r>
          </w:p>
        </w:tc>
      </w:tr>
      <w:tr w:rsidR="00AA68A9" w:rsidRPr="00DB363E" w14:paraId="09972F74" w14:textId="77777777" w:rsidTr="002E10E5">
        <w:tc>
          <w:tcPr>
            <w:tcW w:w="8647" w:type="dxa"/>
            <w:hideMark/>
          </w:tcPr>
          <w:p w14:paraId="4D929B6B" w14:textId="77777777" w:rsidR="00AA68A9" w:rsidRPr="00DB363E" w:rsidRDefault="00AA68A9" w:rsidP="002E10E5">
            <w:pPr>
              <w:spacing w:before="100" w:beforeAutospacing="1" w:after="100" w:afterAutospacing="1" w:line="360" w:lineRule="auto"/>
              <w:rPr>
                <w:color w:val="000000" w:themeColor="text1"/>
                <w:lang w:val="en-US"/>
              </w:rPr>
            </w:pPr>
            <w:r w:rsidRPr="00DB363E">
              <w:rPr>
                <w:color w:val="000000" w:themeColor="text1"/>
                <w:lang w:val="en-US"/>
              </w:rPr>
              <w:t>VAS = 7–10: the patient has severe pain</w:t>
            </w:r>
          </w:p>
        </w:tc>
        <w:tc>
          <w:tcPr>
            <w:tcW w:w="425" w:type="dxa"/>
            <w:hideMark/>
          </w:tcPr>
          <w:p w14:paraId="0C613E14" w14:textId="77777777" w:rsidR="00AA68A9" w:rsidRPr="00DB363E" w:rsidRDefault="00AA68A9" w:rsidP="002E10E5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DB363E">
              <w:rPr>
                <w:color w:val="000000" w:themeColor="text1"/>
              </w:rPr>
              <w:t>0</w:t>
            </w:r>
          </w:p>
        </w:tc>
      </w:tr>
      <w:tr w:rsidR="00AA68A9" w:rsidRPr="00DB363E" w14:paraId="241B159D" w14:textId="77777777" w:rsidTr="002E10E5">
        <w:tc>
          <w:tcPr>
            <w:tcW w:w="9072" w:type="dxa"/>
            <w:gridSpan w:val="2"/>
            <w:hideMark/>
          </w:tcPr>
          <w:p w14:paraId="080432BC" w14:textId="77777777" w:rsidR="00AA68A9" w:rsidRPr="00DB363E" w:rsidRDefault="00AA68A9" w:rsidP="002E10E5">
            <w:pPr>
              <w:spacing w:before="100" w:beforeAutospacing="1" w:after="100" w:afterAutospacing="1" w:line="360" w:lineRule="auto"/>
              <w:rPr>
                <w:b/>
                <w:color w:val="000000" w:themeColor="text1"/>
              </w:rPr>
            </w:pPr>
            <w:r w:rsidRPr="00DB363E">
              <w:rPr>
                <w:b/>
                <w:color w:val="000000" w:themeColor="text1"/>
              </w:rPr>
              <w:t>Surgical bleeding</w:t>
            </w:r>
          </w:p>
        </w:tc>
      </w:tr>
      <w:tr w:rsidR="00AA68A9" w:rsidRPr="00DB363E" w14:paraId="09A29C82" w14:textId="77777777" w:rsidTr="002E10E5">
        <w:tc>
          <w:tcPr>
            <w:tcW w:w="8647" w:type="dxa"/>
            <w:hideMark/>
          </w:tcPr>
          <w:p w14:paraId="3E18EE2B" w14:textId="77777777" w:rsidR="00AA68A9" w:rsidRPr="00DB363E" w:rsidRDefault="00AA68A9" w:rsidP="002E10E5">
            <w:pPr>
              <w:spacing w:before="100" w:beforeAutospacing="1" w:after="100" w:afterAutospacing="1" w:line="360" w:lineRule="auto"/>
              <w:rPr>
                <w:color w:val="000000" w:themeColor="text1"/>
                <w:lang w:val="en-US"/>
              </w:rPr>
            </w:pPr>
            <w:r w:rsidRPr="00DB363E">
              <w:rPr>
                <w:color w:val="000000" w:themeColor="text1"/>
                <w:lang w:val="en-US"/>
              </w:rPr>
              <w:t>Minimal: does not require dressing change</w:t>
            </w:r>
          </w:p>
        </w:tc>
        <w:tc>
          <w:tcPr>
            <w:tcW w:w="425" w:type="dxa"/>
            <w:hideMark/>
          </w:tcPr>
          <w:p w14:paraId="5D75C20F" w14:textId="77777777" w:rsidR="00AA68A9" w:rsidRPr="00DB363E" w:rsidRDefault="00AA68A9" w:rsidP="002E10E5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DB363E">
              <w:rPr>
                <w:color w:val="000000" w:themeColor="text1"/>
              </w:rPr>
              <w:t>2</w:t>
            </w:r>
          </w:p>
        </w:tc>
      </w:tr>
      <w:tr w:rsidR="00AA68A9" w:rsidRPr="00DB363E" w14:paraId="7D1474FB" w14:textId="77777777" w:rsidTr="002E10E5">
        <w:tc>
          <w:tcPr>
            <w:tcW w:w="8647" w:type="dxa"/>
            <w:hideMark/>
          </w:tcPr>
          <w:p w14:paraId="3E5ADFA6" w14:textId="77777777" w:rsidR="00AA68A9" w:rsidRPr="00DB363E" w:rsidRDefault="00AA68A9" w:rsidP="002E10E5">
            <w:pPr>
              <w:spacing w:before="100" w:beforeAutospacing="1" w:after="100" w:afterAutospacing="1" w:line="360" w:lineRule="auto"/>
              <w:rPr>
                <w:color w:val="000000" w:themeColor="text1"/>
                <w:lang w:val="en-US"/>
              </w:rPr>
            </w:pPr>
            <w:r w:rsidRPr="00DB363E">
              <w:rPr>
                <w:color w:val="000000" w:themeColor="text1"/>
                <w:lang w:val="en-US"/>
              </w:rPr>
              <w:t>Moderate: required up to 2 dressing changes with no further bleeding</w:t>
            </w:r>
          </w:p>
        </w:tc>
        <w:tc>
          <w:tcPr>
            <w:tcW w:w="425" w:type="dxa"/>
            <w:hideMark/>
          </w:tcPr>
          <w:p w14:paraId="3F42B487" w14:textId="77777777" w:rsidR="00AA68A9" w:rsidRPr="00DB363E" w:rsidRDefault="00AA68A9" w:rsidP="002E10E5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DB363E">
              <w:rPr>
                <w:color w:val="000000" w:themeColor="text1"/>
              </w:rPr>
              <w:t>1</w:t>
            </w:r>
          </w:p>
        </w:tc>
      </w:tr>
      <w:tr w:rsidR="00AA68A9" w:rsidRPr="00DB363E" w14:paraId="54CF9D36" w14:textId="77777777" w:rsidTr="002E10E5">
        <w:tc>
          <w:tcPr>
            <w:tcW w:w="8647" w:type="dxa"/>
            <w:hideMark/>
          </w:tcPr>
          <w:p w14:paraId="14D8CE80" w14:textId="77777777" w:rsidR="00AA68A9" w:rsidRPr="00DB363E" w:rsidRDefault="00AA68A9" w:rsidP="002E10E5">
            <w:pPr>
              <w:spacing w:before="100" w:beforeAutospacing="1" w:after="100" w:afterAutospacing="1" w:line="360" w:lineRule="auto"/>
              <w:rPr>
                <w:color w:val="000000" w:themeColor="text1"/>
                <w:lang w:val="en-US"/>
              </w:rPr>
            </w:pPr>
            <w:r w:rsidRPr="00DB363E">
              <w:rPr>
                <w:color w:val="000000" w:themeColor="text1"/>
                <w:lang w:val="en-US"/>
              </w:rPr>
              <w:t>Severe: required 3 or more dressing changes and continues to bleed</w:t>
            </w:r>
          </w:p>
        </w:tc>
        <w:tc>
          <w:tcPr>
            <w:tcW w:w="425" w:type="dxa"/>
            <w:hideMark/>
          </w:tcPr>
          <w:p w14:paraId="5C76CE27" w14:textId="77777777" w:rsidR="00AA68A9" w:rsidRPr="00DB363E" w:rsidRDefault="00AA68A9" w:rsidP="002E10E5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DB363E">
              <w:rPr>
                <w:color w:val="000000" w:themeColor="text1"/>
              </w:rPr>
              <w:t>0</w:t>
            </w:r>
          </w:p>
        </w:tc>
      </w:tr>
    </w:tbl>
    <w:p w14:paraId="3BCF01CD" w14:textId="77777777" w:rsidR="00AA68A9" w:rsidRPr="00DB363E" w:rsidRDefault="00AA68A9" w:rsidP="00AA68A9">
      <w:pPr>
        <w:spacing w:before="100" w:beforeAutospacing="1" w:after="100" w:afterAutospacing="1" w:line="360" w:lineRule="auto"/>
        <w:rPr>
          <w:color w:val="000000" w:themeColor="text1"/>
          <w:lang w:val="en-US"/>
        </w:rPr>
      </w:pPr>
      <w:r w:rsidRPr="00DB363E">
        <w:rPr>
          <w:color w:val="000000" w:themeColor="text1"/>
          <w:lang w:val="en-US"/>
        </w:rPr>
        <w:t xml:space="preserve">Maximum score = 10; patients scoring ≥9 </w:t>
      </w:r>
      <w:proofErr w:type="gramStart"/>
      <w:r w:rsidRPr="00DB363E">
        <w:rPr>
          <w:color w:val="000000" w:themeColor="text1"/>
          <w:lang w:val="en-US"/>
        </w:rPr>
        <w:t>are</w:t>
      </w:r>
      <w:proofErr w:type="gramEnd"/>
      <w:r w:rsidRPr="00DB363E">
        <w:rPr>
          <w:color w:val="000000" w:themeColor="text1"/>
          <w:lang w:val="en-US"/>
        </w:rPr>
        <w:t xml:space="preserve"> fit for discharge.</w:t>
      </w:r>
    </w:p>
    <w:p w14:paraId="0F84DF81" w14:textId="77777777" w:rsidR="00AA68A9" w:rsidRPr="004B1E04" w:rsidRDefault="00AA68A9" w:rsidP="00AA68A9">
      <w:pPr>
        <w:spacing w:line="360" w:lineRule="auto"/>
        <w:rPr>
          <w:color w:val="000000" w:themeColor="text1"/>
          <w:lang w:val="en-US"/>
        </w:rPr>
      </w:pPr>
    </w:p>
    <w:p w14:paraId="777F1D05" w14:textId="77777777" w:rsidR="00AA68A9" w:rsidRPr="004B1E04" w:rsidRDefault="00AA68A9" w:rsidP="00AA68A9">
      <w:pPr>
        <w:spacing w:line="360" w:lineRule="auto"/>
        <w:rPr>
          <w:b/>
          <w:color w:val="000000" w:themeColor="text1"/>
          <w:lang w:val="en-US"/>
        </w:rPr>
      </w:pPr>
    </w:p>
    <w:p w14:paraId="62893BC1" w14:textId="77777777" w:rsidR="00AA68A9" w:rsidRPr="004B1E04" w:rsidRDefault="00AA68A9" w:rsidP="00AA68A9">
      <w:pPr>
        <w:spacing w:line="360" w:lineRule="auto"/>
        <w:rPr>
          <w:b/>
          <w:color w:val="000000" w:themeColor="text1"/>
          <w:lang w:val="en-US"/>
        </w:rPr>
      </w:pPr>
    </w:p>
    <w:p w14:paraId="6417332F" w14:textId="77777777" w:rsidR="00F72C5E" w:rsidRPr="00AA68A9" w:rsidRDefault="00F72C5E">
      <w:pPr>
        <w:rPr>
          <w:lang w:val="en-US"/>
        </w:rPr>
      </w:pPr>
    </w:p>
    <w:sectPr w:rsidR="00F72C5E" w:rsidRPr="00AA68A9" w:rsidSect="001C75EA">
      <w:pgSz w:w="11900" w:h="16840"/>
      <w:pgMar w:top="1418" w:right="1418" w:bottom="1418" w:left="1418" w:header="709" w:footer="709" w:gutter="0"/>
      <w:lnNumType w:countBy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8A9"/>
    <w:rsid w:val="00090CAE"/>
    <w:rsid w:val="00AA68A9"/>
    <w:rsid w:val="00F7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DBF9D"/>
  <w15:chartTrackingRefBased/>
  <w15:docId w15:val="{E8FB66BA-A9A4-4DF0-8030-3997132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68A9"/>
    <w:pPr>
      <w:spacing w:after="0" w:line="240" w:lineRule="auto"/>
    </w:pPr>
    <w:rPr>
      <w:rFonts w:eastAsiaTheme="minorEastAsia"/>
      <w:sz w:val="24"/>
      <w:szCs w:val="24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AA6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Lyons</dc:creator>
  <cp:keywords/>
  <dc:description/>
  <cp:lastModifiedBy>Gordon Lyons</cp:lastModifiedBy>
  <cp:revision>2</cp:revision>
  <dcterms:created xsi:type="dcterms:W3CDTF">2020-04-29T11:28:00Z</dcterms:created>
  <dcterms:modified xsi:type="dcterms:W3CDTF">2020-04-29T15:23:00Z</dcterms:modified>
</cp:coreProperties>
</file>