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9BCBF" w14:textId="77777777" w:rsidR="00207FB3" w:rsidRDefault="00207FB3" w:rsidP="00207FB3">
      <w:pPr>
        <w:rPr>
          <w:rFonts w:eastAsia="DFKai-SB"/>
          <w:b/>
          <w:lang w:eastAsia="zh-TW"/>
        </w:rPr>
      </w:pPr>
      <w:r w:rsidRPr="00552992">
        <w:rPr>
          <w:rFonts w:eastAsia="DFKai-SB" w:hint="eastAsia"/>
          <w:b/>
          <w:lang w:eastAsia="zh-TW"/>
        </w:rPr>
        <w:t>S</w:t>
      </w:r>
      <w:r w:rsidRPr="00552992">
        <w:rPr>
          <w:rFonts w:eastAsia="DFKai-SB"/>
          <w:b/>
          <w:lang w:eastAsia="zh-TW"/>
        </w:rPr>
        <w:t>upplemental Table 1 Summary of findings for the main comparison</w:t>
      </w:r>
    </w:p>
    <w:p w14:paraId="5F5A9F29" w14:textId="77777777" w:rsidR="00207FB3" w:rsidRDefault="00207FB3" w:rsidP="00207FB3">
      <w:pPr>
        <w:rPr>
          <w:rFonts w:eastAsia="DFKai-SB"/>
          <w:b/>
          <w:lang w:eastAsia="zh-TW"/>
        </w:rPr>
      </w:pPr>
    </w:p>
    <w:tbl>
      <w:tblPr>
        <w:tblW w:w="5000" w:type="pct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180"/>
        <w:gridCol w:w="1098"/>
        <w:gridCol w:w="1098"/>
        <w:gridCol w:w="1077"/>
        <w:gridCol w:w="1077"/>
        <w:gridCol w:w="1155"/>
        <w:gridCol w:w="2341"/>
      </w:tblGrid>
      <w:tr w:rsidR="00207FB3" w:rsidRPr="00453123" w14:paraId="58673EBA" w14:textId="77777777" w:rsidTr="00A60067">
        <w:trPr>
          <w:cantSplit/>
          <w:tblHeader/>
        </w:trPr>
        <w:tc>
          <w:tcPr>
            <w:tcW w:w="0" w:type="auto"/>
            <w:gridSpan w:val="7"/>
            <w:vAlign w:val="center"/>
            <w:hideMark/>
          </w:tcPr>
          <w:p w14:paraId="3298D571" w14:textId="77777777" w:rsidR="00207FB3" w:rsidRDefault="00207FB3" w:rsidP="00A60067">
            <w:pPr>
              <w:rPr>
                <w:rFonts w:ascii="Arial Narrow" w:eastAsia="PMingLiU" w:hAnsi="Arial Narrow"/>
                <w:b/>
                <w:bCs/>
                <w:kern w:val="2"/>
                <w:sz w:val="16"/>
                <w:szCs w:val="16"/>
                <w:lang w:eastAsia="zh-TW"/>
              </w:rPr>
            </w:pPr>
            <w:r w:rsidRPr="00453123">
              <w:rPr>
                <w:rFonts w:ascii="Arial Narrow" w:eastAsia="PMingLiU" w:hAnsi="Arial Narrow"/>
                <w:b/>
                <w:bCs/>
                <w:kern w:val="2"/>
                <w:sz w:val="16"/>
                <w:szCs w:val="16"/>
                <w:lang w:eastAsia="zh-TW"/>
              </w:rPr>
              <w:t>Summary of findings for the main comparison</w:t>
            </w:r>
          </w:p>
          <w:p w14:paraId="2C4118F5" w14:textId="77777777" w:rsidR="00207FB3" w:rsidRPr="00453123" w:rsidRDefault="00207FB3" w:rsidP="00A60067">
            <w:pPr>
              <w:rPr>
                <w:rFonts w:ascii="Arial Narrow" w:eastAsia="PMingLiU" w:hAnsi="Arial Narrow"/>
                <w:sz w:val="16"/>
                <w:szCs w:val="16"/>
                <w:lang w:eastAsia="zh-TW"/>
              </w:rPr>
            </w:pPr>
          </w:p>
        </w:tc>
      </w:tr>
      <w:tr w:rsidR="00207FB3" w:rsidRPr="00453123" w14:paraId="69BA5F3A" w14:textId="77777777" w:rsidTr="00A60067">
        <w:trPr>
          <w:cantSplit/>
          <w:tblHeader/>
        </w:trPr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BDE499A" w14:textId="77777777" w:rsidR="00207FB3" w:rsidRPr="00453123" w:rsidRDefault="00207FB3" w:rsidP="00A60067">
            <w:pPr>
              <w:rPr>
                <w:rFonts w:ascii="Arial Narrow" w:eastAsia="PMingLiU" w:hAnsi="Arial Narrow" w:cs="PMingLiU"/>
                <w:kern w:val="2"/>
                <w:sz w:val="22"/>
                <w:szCs w:val="22"/>
                <w:lang w:eastAsia="zh-TW"/>
              </w:rPr>
            </w:pPr>
            <w:r w:rsidRPr="00453123">
              <w:rPr>
                <w:rFonts w:ascii="Arial Narrow" w:eastAsia="PMingLiU" w:hAnsi="Arial Narrow" w:cs="PMingLiU"/>
                <w:b/>
                <w:bCs/>
                <w:kern w:val="2"/>
                <w:sz w:val="22"/>
                <w:szCs w:val="22"/>
                <w:lang w:eastAsia="zh-TW"/>
              </w:rPr>
              <w:t>Desflurane compared to sevoflurane in ambulatory surgery</w:t>
            </w:r>
          </w:p>
        </w:tc>
      </w:tr>
      <w:tr w:rsidR="00207FB3" w:rsidRPr="00453123" w14:paraId="689F9E81" w14:textId="77777777" w:rsidTr="00A60067">
        <w:trPr>
          <w:cantSplit/>
          <w:tblHeader/>
        </w:trPr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DE41C72" w14:textId="77777777" w:rsidR="00207FB3" w:rsidRPr="00453123" w:rsidRDefault="00207FB3" w:rsidP="00A60067">
            <w:pPr>
              <w:widowControl w:val="0"/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</w:pPr>
            <w:r w:rsidRPr="00453123">
              <w:rPr>
                <w:rFonts w:ascii="Arial Narrow" w:eastAsia="PMingLiU" w:hAnsi="Arial Narrow"/>
                <w:b/>
                <w:bCs/>
                <w:kern w:val="2"/>
                <w:sz w:val="16"/>
                <w:szCs w:val="16"/>
                <w:lang w:eastAsia="zh-TW"/>
              </w:rPr>
              <w:t>Patient or population</w:t>
            </w: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t>: Adults or paediatrics, receiving general anaesthesia, non-sedation procedure</w:t>
            </w:r>
          </w:p>
          <w:p w14:paraId="23241C3B" w14:textId="77777777" w:rsidR="00207FB3" w:rsidRPr="00453123" w:rsidRDefault="00207FB3" w:rsidP="00A60067">
            <w:pPr>
              <w:widowControl w:val="0"/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</w:pPr>
            <w:r w:rsidRPr="00453123">
              <w:rPr>
                <w:rFonts w:ascii="Arial Narrow" w:eastAsia="PMingLiU" w:hAnsi="Arial Narrow"/>
                <w:b/>
                <w:bCs/>
                <w:kern w:val="2"/>
                <w:sz w:val="16"/>
                <w:szCs w:val="16"/>
                <w:lang w:eastAsia="zh-TW"/>
              </w:rPr>
              <w:t>Setting</w:t>
            </w: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t>: ambulatory surgery</w:t>
            </w:r>
          </w:p>
          <w:p w14:paraId="3B5BBC9B" w14:textId="77777777" w:rsidR="00207FB3" w:rsidRPr="00453123" w:rsidRDefault="00207FB3" w:rsidP="00A60067">
            <w:pPr>
              <w:widowControl w:val="0"/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</w:pPr>
            <w:r w:rsidRPr="00453123">
              <w:rPr>
                <w:rFonts w:ascii="Arial Narrow" w:eastAsia="PMingLiU" w:hAnsi="Arial Narrow"/>
                <w:b/>
                <w:bCs/>
                <w:kern w:val="2"/>
                <w:sz w:val="16"/>
                <w:szCs w:val="16"/>
                <w:lang w:eastAsia="zh-TW"/>
              </w:rPr>
              <w:t>Intervention</w:t>
            </w: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t xml:space="preserve">: Desflurane </w:t>
            </w:r>
          </w:p>
          <w:p w14:paraId="495F507D" w14:textId="77777777" w:rsidR="00207FB3" w:rsidRPr="00453123" w:rsidRDefault="00207FB3" w:rsidP="00A60067">
            <w:pPr>
              <w:widowControl w:val="0"/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</w:pPr>
            <w:r w:rsidRPr="00453123">
              <w:rPr>
                <w:rFonts w:ascii="Arial Narrow" w:eastAsia="PMingLiU" w:hAnsi="Arial Narrow"/>
                <w:b/>
                <w:bCs/>
                <w:kern w:val="2"/>
                <w:sz w:val="16"/>
                <w:szCs w:val="16"/>
                <w:lang w:eastAsia="zh-TW"/>
              </w:rPr>
              <w:t>Comparison</w:t>
            </w: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t xml:space="preserve">: Sevoflurane </w:t>
            </w:r>
          </w:p>
        </w:tc>
      </w:tr>
      <w:tr w:rsidR="00207FB3" w:rsidRPr="00453123" w14:paraId="2F84B094" w14:textId="77777777" w:rsidTr="00A60067">
        <w:trPr>
          <w:cantSplit/>
          <w:tblHeader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FEFEF"/>
            </w:tcBorders>
            <w:shd w:val="clear" w:color="auto" w:fill="3271AA"/>
            <w:vAlign w:val="center"/>
            <w:hideMark/>
          </w:tcPr>
          <w:p w14:paraId="4E90A590" w14:textId="77777777" w:rsidR="00207FB3" w:rsidRPr="00453123" w:rsidRDefault="00207FB3" w:rsidP="00A60067">
            <w:pPr>
              <w:jc w:val="center"/>
              <w:rPr>
                <w:rFonts w:ascii="Arial Narrow" w:eastAsia="PMingLiU" w:hAnsi="Arial Narrow" w:cs="PMingLiU"/>
                <w:color w:val="FFFFFF"/>
                <w:kern w:val="2"/>
                <w:sz w:val="16"/>
                <w:szCs w:val="16"/>
                <w:lang w:eastAsia="zh-TW"/>
              </w:rPr>
            </w:pPr>
            <w:r w:rsidRPr="00453123">
              <w:rPr>
                <w:rFonts w:ascii="Arial Narrow" w:eastAsia="PMingLiU" w:hAnsi="Arial Narrow" w:cs="PMingLiU"/>
                <w:color w:val="FFFFFF"/>
                <w:kern w:val="2"/>
                <w:sz w:val="16"/>
                <w:szCs w:val="16"/>
                <w:lang w:eastAsia="zh-TW"/>
              </w:rPr>
              <w:t>Outcomes</w:t>
            </w: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nil"/>
              <w:bottom w:val="nil"/>
              <w:right w:val="single" w:sz="6" w:space="0" w:color="EFEFEF"/>
            </w:tcBorders>
            <w:shd w:val="clear" w:color="auto" w:fill="E0E0E0"/>
            <w:hideMark/>
          </w:tcPr>
          <w:p w14:paraId="1E2C51F7" w14:textId="77777777" w:rsidR="00207FB3" w:rsidRPr="00453123" w:rsidRDefault="00207FB3" w:rsidP="00A60067">
            <w:pPr>
              <w:jc w:val="center"/>
              <w:rPr>
                <w:rFonts w:ascii="Arial Narrow" w:eastAsia="PMingLiU" w:hAnsi="Arial Narrow" w:cs="PMingLiU"/>
                <w:b/>
                <w:bCs/>
                <w:kern w:val="2"/>
                <w:sz w:val="16"/>
                <w:szCs w:val="16"/>
                <w:lang w:eastAsia="zh-TW"/>
              </w:rPr>
            </w:pPr>
            <w:r w:rsidRPr="00453123">
              <w:rPr>
                <w:rFonts w:ascii="Arial Narrow" w:eastAsia="PMingLiU" w:hAnsi="Arial Narrow" w:cs="PMingLiU"/>
                <w:b/>
                <w:bCs/>
                <w:kern w:val="2"/>
                <w:sz w:val="16"/>
                <w:szCs w:val="16"/>
                <w:lang w:eastAsia="zh-TW"/>
              </w:rPr>
              <w:t>Anticipated absolute effects</w:t>
            </w:r>
            <w:r w:rsidRPr="00453123">
              <w:rPr>
                <w:rFonts w:ascii="Arial Narrow" w:eastAsia="PMingLiU" w:hAnsi="Arial Narrow" w:cs="PMingLiU"/>
                <w:b/>
                <w:bCs/>
                <w:kern w:val="2"/>
                <w:sz w:val="16"/>
                <w:szCs w:val="16"/>
                <w:vertAlign w:val="superscript"/>
                <w:lang w:eastAsia="zh-TW"/>
              </w:rPr>
              <w:t>*</w:t>
            </w:r>
            <w:r w:rsidRPr="00453123">
              <w:rPr>
                <w:rFonts w:ascii="Arial Narrow" w:eastAsia="PMingLiU" w:hAnsi="Arial Narrow" w:cs="PMingLiU"/>
                <w:b/>
                <w:bCs/>
                <w:kern w:val="2"/>
                <w:sz w:val="16"/>
                <w:szCs w:val="16"/>
                <w:lang w:eastAsia="zh-TW"/>
              </w:rPr>
              <w:t xml:space="preserve"> </w:t>
            </w:r>
            <w:r w:rsidRPr="00453123">
              <w:rPr>
                <w:rFonts w:ascii="Arial Narrow" w:eastAsia="PMingLiU" w:hAnsi="Arial Narrow" w:cs="PMingLiU"/>
                <w:kern w:val="2"/>
                <w:sz w:val="16"/>
                <w:szCs w:val="16"/>
                <w:lang w:eastAsia="zh-TW"/>
              </w:rPr>
              <w:t>(95% CI)</w:t>
            </w:r>
            <w:r w:rsidRPr="00453123">
              <w:rPr>
                <w:rFonts w:ascii="Arial Narrow" w:eastAsia="PMingLiU" w:hAnsi="Arial Narrow" w:cs="PMingLiU"/>
                <w:b/>
                <w:bCs/>
                <w:kern w:val="2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FEFEF"/>
            </w:tcBorders>
            <w:shd w:val="clear" w:color="auto" w:fill="3271AA"/>
            <w:vAlign w:val="center"/>
            <w:hideMark/>
          </w:tcPr>
          <w:p w14:paraId="2551439A" w14:textId="77777777" w:rsidR="00207FB3" w:rsidRPr="00453123" w:rsidRDefault="00207FB3" w:rsidP="00A60067">
            <w:pPr>
              <w:jc w:val="center"/>
              <w:rPr>
                <w:rFonts w:ascii="Arial Narrow" w:eastAsia="PMingLiU" w:hAnsi="Arial Narrow" w:cs="PMingLiU"/>
                <w:color w:val="FFFFFF"/>
                <w:kern w:val="2"/>
                <w:sz w:val="16"/>
                <w:szCs w:val="16"/>
                <w:lang w:eastAsia="zh-TW"/>
              </w:rPr>
            </w:pPr>
            <w:r w:rsidRPr="00453123">
              <w:rPr>
                <w:rFonts w:ascii="Arial Narrow" w:eastAsia="PMingLiU" w:hAnsi="Arial Narrow" w:cs="PMingLiU"/>
                <w:color w:val="FFFFFF"/>
                <w:kern w:val="2"/>
                <w:sz w:val="16"/>
                <w:szCs w:val="16"/>
                <w:lang w:eastAsia="zh-TW"/>
              </w:rPr>
              <w:t>Relative effect</w:t>
            </w:r>
            <w:r w:rsidRPr="00453123">
              <w:rPr>
                <w:rFonts w:ascii="Arial Narrow" w:eastAsia="PMingLiU" w:hAnsi="Arial Narrow" w:cs="PMingLiU"/>
                <w:color w:val="FFFFFF"/>
                <w:kern w:val="2"/>
                <w:sz w:val="16"/>
                <w:szCs w:val="16"/>
                <w:lang w:eastAsia="zh-TW"/>
              </w:rPr>
              <w:br/>
              <w:t xml:space="preserve">(95% CI)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FEFEF"/>
            </w:tcBorders>
            <w:shd w:val="clear" w:color="auto" w:fill="3271AA"/>
            <w:vAlign w:val="center"/>
            <w:hideMark/>
          </w:tcPr>
          <w:p w14:paraId="399B40BD" w14:textId="77777777" w:rsidR="00207FB3" w:rsidRPr="00453123" w:rsidRDefault="00207FB3" w:rsidP="00A60067">
            <w:pPr>
              <w:jc w:val="center"/>
              <w:rPr>
                <w:rFonts w:ascii="Arial Narrow" w:eastAsia="PMingLiU" w:hAnsi="Arial Narrow" w:cs="PMingLiU"/>
                <w:color w:val="FFFFFF"/>
                <w:kern w:val="2"/>
                <w:sz w:val="16"/>
                <w:szCs w:val="16"/>
                <w:lang w:eastAsia="zh-TW"/>
              </w:rPr>
            </w:pPr>
            <w:r w:rsidRPr="00453123">
              <w:rPr>
                <w:rFonts w:ascii="Arial Narrow" w:eastAsia="PMingLiU" w:hAnsi="Arial Narrow" w:cs="PMingLiU"/>
                <w:color w:val="FFFFFF"/>
                <w:kern w:val="2"/>
                <w:sz w:val="16"/>
                <w:szCs w:val="16"/>
                <w:lang w:eastAsia="zh-TW"/>
              </w:rPr>
              <w:t xml:space="preserve">№ of participants </w:t>
            </w:r>
            <w:r w:rsidRPr="00453123">
              <w:rPr>
                <w:rFonts w:ascii="Arial Narrow" w:eastAsia="PMingLiU" w:hAnsi="Arial Narrow" w:cs="PMingLiU"/>
                <w:color w:val="FFFFFF"/>
                <w:kern w:val="2"/>
                <w:sz w:val="16"/>
                <w:szCs w:val="16"/>
                <w:lang w:eastAsia="zh-TW"/>
              </w:rPr>
              <w:br/>
              <w:t xml:space="preserve">(studies)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FEFEF"/>
            </w:tcBorders>
            <w:shd w:val="clear" w:color="auto" w:fill="3271AA"/>
            <w:vAlign w:val="center"/>
            <w:hideMark/>
          </w:tcPr>
          <w:p w14:paraId="140F6BAE" w14:textId="77777777" w:rsidR="00207FB3" w:rsidRPr="00453123" w:rsidRDefault="00207FB3" w:rsidP="00A60067">
            <w:pPr>
              <w:jc w:val="center"/>
              <w:rPr>
                <w:rFonts w:ascii="Arial Narrow" w:eastAsia="PMingLiU" w:hAnsi="Arial Narrow" w:cs="PMingLiU"/>
                <w:color w:val="FFFFFF"/>
                <w:kern w:val="2"/>
                <w:sz w:val="16"/>
                <w:szCs w:val="16"/>
                <w:lang w:eastAsia="zh-TW"/>
              </w:rPr>
            </w:pPr>
            <w:r w:rsidRPr="00453123">
              <w:rPr>
                <w:rFonts w:ascii="Arial Narrow" w:eastAsia="PMingLiU" w:hAnsi="Arial Narrow" w:cs="PMingLiU"/>
                <w:color w:val="FFFFFF"/>
                <w:kern w:val="2"/>
                <w:sz w:val="16"/>
                <w:szCs w:val="16"/>
                <w:lang w:eastAsia="zh-TW"/>
              </w:rPr>
              <w:t>Certainty of the evidence</w:t>
            </w:r>
            <w:r w:rsidRPr="00453123">
              <w:rPr>
                <w:rFonts w:ascii="Arial Narrow" w:eastAsia="PMingLiU" w:hAnsi="Arial Narrow" w:cs="PMingLiU"/>
                <w:color w:val="FFFFFF"/>
                <w:kern w:val="2"/>
                <w:sz w:val="16"/>
                <w:szCs w:val="16"/>
                <w:lang w:eastAsia="zh-TW"/>
              </w:rPr>
              <w:br/>
              <w:t xml:space="preserve">(GRADE) 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nil"/>
              <w:right w:val="single" w:sz="6" w:space="0" w:color="EFEFEF"/>
            </w:tcBorders>
            <w:shd w:val="clear" w:color="auto" w:fill="3271AA"/>
            <w:vAlign w:val="center"/>
            <w:hideMark/>
          </w:tcPr>
          <w:p w14:paraId="2EA29D99" w14:textId="77777777" w:rsidR="00207FB3" w:rsidRPr="00453123" w:rsidRDefault="00207FB3" w:rsidP="00A60067">
            <w:pPr>
              <w:jc w:val="center"/>
              <w:rPr>
                <w:rFonts w:ascii="Arial Narrow" w:eastAsia="PMingLiU" w:hAnsi="Arial Narrow" w:cs="PMingLiU"/>
                <w:color w:val="FFFFFF"/>
                <w:kern w:val="2"/>
                <w:sz w:val="16"/>
                <w:szCs w:val="16"/>
                <w:lang w:eastAsia="zh-TW"/>
              </w:rPr>
            </w:pPr>
            <w:r w:rsidRPr="00453123">
              <w:rPr>
                <w:rFonts w:ascii="Arial Narrow" w:eastAsia="PMingLiU" w:hAnsi="Arial Narrow" w:cs="PMingLiU"/>
                <w:color w:val="FFFFFF"/>
                <w:kern w:val="2"/>
                <w:sz w:val="16"/>
                <w:szCs w:val="16"/>
                <w:lang w:eastAsia="zh-TW"/>
              </w:rPr>
              <w:t>Comments</w:t>
            </w:r>
          </w:p>
        </w:tc>
      </w:tr>
      <w:tr w:rsidR="00207FB3" w:rsidRPr="00453123" w14:paraId="77BF7844" w14:textId="77777777" w:rsidTr="00A60067">
        <w:trPr>
          <w:cantSplit/>
          <w:tblHeader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FEFEF"/>
            </w:tcBorders>
            <w:vAlign w:val="center"/>
            <w:hideMark/>
          </w:tcPr>
          <w:p w14:paraId="1076E7DF" w14:textId="77777777" w:rsidR="00207FB3" w:rsidRPr="00453123" w:rsidRDefault="00207FB3" w:rsidP="00A60067">
            <w:pPr>
              <w:rPr>
                <w:rFonts w:ascii="Arial Narrow" w:eastAsia="PMingLiU" w:hAnsi="Arial Narrow" w:cs="PMingLiU"/>
                <w:color w:val="FFFFFF"/>
                <w:kern w:val="2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single" w:sz="6" w:space="0" w:color="EFEFEF"/>
            </w:tcBorders>
            <w:shd w:val="clear" w:color="auto" w:fill="E0E0E0"/>
            <w:hideMark/>
          </w:tcPr>
          <w:p w14:paraId="3CAA2224" w14:textId="77777777" w:rsidR="00207FB3" w:rsidRPr="00453123" w:rsidRDefault="00207FB3" w:rsidP="00A6006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eastAsia="PMingLiU" w:hAnsi="Arial Narrow" w:cs="PMingLiU"/>
                <w:b/>
                <w:bCs/>
                <w:kern w:val="2"/>
                <w:sz w:val="16"/>
                <w:szCs w:val="16"/>
                <w:lang w:eastAsia="zh-TW"/>
              </w:rPr>
            </w:pPr>
            <w:r w:rsidRPr="00453123">
              <w:rPr>
                <w:rFonts w:ascii="Arial Narrow" w:eastAsia="PMingLiU" w:hAnsi="Arial Narrow" w:cs="PMingLiU"/>
                <w:b/>
                <w:bCs/>
                <w:kern w:val="2"/>
                <w:sz w:val="16"/>
                <w:szCs w:val="16"/>
                <w:lang w:eastAsia="zh-TW"/>
              </w:rPr>
              <w:t>Risk with Sevoflurane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single" w:sz="6" w:space="0" w:color="EFEFEF"/>
            </w:tcBorders>
            <w:shd w:val="clear" w:color="auto" w:fill="E0E0E0"/>
            <w:hideMark/>
          </w:tcPr>
          <w:p w14:paraId="65EC8788" w14:textId="77777777" w:rsidR="00207FB3" w:rsidRPr="00453123" w:rsidRDefault="00207FB3" w:rsidP="00A6006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eastAsia="PMingLiU" w:hAnsi="Arial Narrow" w:cs="PMingLiU"/>
                <w:b/>
                <w:bCs/>
                <w:kern w:val="2"/>
                <w:sz w:val="16"/>
                <w:szCs w:val="16"/>
                <w:lang w:eastAsia="zh-TW"/>
              </w:rPr>
            </w:pPr>
            <w:r w:rsidRPr="00453123">
              <w:rPr>
                <w:rFonts w:ascii="Arial Narrow" w:eastAsia="PMingLiU" w:hAnsi="Arial Narrow" w:cs="PMingLiU"/>
                <w:b/>
                <w:bCs/>
                <w:kern w:val="2"/>
                <w:sz w:val="16"/>
                <w:szCs w:val="16"/>
                <w:lang w:eastAsia="zh-TW"/>
              </w:rPr>
              <w:t>Risk with Desflurane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FEFEF"/>
            </w:tcBorders>
            <w:vAlign w:val="center"/>
            <w:hideMark/>
          </w:tcPr>
          <w:p w14:paraId="3E185F0C" w14:textId="77777777" w:rsidR="00207FB3" w:rsidRPr="00453123" w:rsidRDefault="00207FB3" w:rsidP="00A60067">
            <w:pPr>
              <w:rPr>
                <w:rFonts w:ascii="Arial Narrow" w:eastAsia="PMingLiU" w:hAnsi="Arial Narrow" w:cs="PMingLiU"/>
                <w:color w:val="FFFFFF"/>
                <w:kern w:val="2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FEFEF"/>
            </w:tcBorders>
            <w:vAlign w:val="center"/>
            <w:hideMark/>
          </w:tcPr>
          <w:p w14:paraId="480325C0" w14:textId="77777777" w:rsidR="00207FB3" w:rsidRPr="00453123" w:rsidRDefault="00207FB3" w:rsidP="00A60067">
            <w:pPr>
              <w:rPr>
                <w:rFonts w:ascii="Arial Narrow" w:eastAsia="PMingLiU" w:hAnsi="Arial Narrow" w:cs="PMingLiU"/>
                <w:color w:val="FFFFFF"/>
                <w:kern w:val="2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FEFEF"/>
            </w:tcBorders>
            <w:vAlign w:val="center"/>
            <w:hideMark/>
          </w:tcPr>
          <w:p w14:paraId="3BCC2126" w14:textId="77777777" w:rsidR="00207FB3" w:rsidRPr="00453123" w:rsidRDefault="00207FB3" w:rsidP="00A60067">
            <w:pPr>
              <w:rPr>
                <w:rFonts w:ascii="Arial Narrow" w:eastAsia="PMingLiU" w:hAnsi="Arial Narrow" w:cs="PMingLiU"/>
                <w:color w:val="FFFFFF"/>
                <w:kern w:val="2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FEFEF"/>
            </w:tcBorders>
            <w:vAlign w:val="center"/>
            <w:hideMark/>
          </w:tcPr>
          <w:p w14:paraId="212085F3" w14:textId="77777777" w:rsidR="00207FB3" w:rsidRPr="00453123" w:rsidRDefault="00207FB3" w:rsidP="00A60067">
            <w:pPr>
              <w:rPr>
                <w:rFonts w:ascii="Arial Narrow" w:eastAsia="PMingLiU" w:hAnsi="Arial Narrow" w:cs="PMingLiU"/>
                <w:color w:val="FFFFFF"/>
                <w:kern w:val="2"/>
                <w:sz w:val="16"/>
                <w:szCs w:val="16"/>
                <w:lang w:eastAsia="zh-TW"/>
              </w:rPr>
            </w:pPr>
          </w:p>
        </w:tc>
      </w:tr>
      <w:tr w:rsidR="00207FB3" w:rsidRPr="00453123" w14:paraId="10B2D811" w14:textId="77777777" w:rsidTr="00A60067">
        <w:trPr>
          <w:cantSplit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775C35D" w14:textId="77777777" w:rsidR="00207FB3" w:rsidRPr="00453123" w:rsidRDefault="00207FB3" w:rsidP="00A60067">
            <w:pPr>
              <w:widowControl w:val="0"/>
              <w:jc w:val="center"/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</w:pPr>
            <w:r w:rsidRPr="00453123">
              <w:rPr>
                <w:rFonts w:ascii="Arial Narrow" w:eastAsia="PMingLiU" w:hAnsi="Arial Narrow"/>
                <w:kern w:val="2"/>
                <w:sz w:val="18"/>
                <w:szCs w:val="18"/>
                <w:lang w:eastAsia="zh-TW"/>
              </w:rPr>
              <w:t>adverse respiratory events</w:t>
            </w: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BD48799" w14:textId="77777777" w:rsidR="00207FB3" w:rsidRPr="00453123" w:rsidRDefault="00207FB3" w:rsidP="00A60067">
            <w:pPr>
              <w:widowControl w:val="0"/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</w:pP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t xml:space="preserve">128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3362D6FE" w14:textId="77777777" w:rsidR="00207FB3" w:rsidRPr="00453123" w:rsidRDefault="00207FB3" w:rsidP="00A60067">
            <w:pPr>
              <w:widowControl w:val="0"/>
              <w:jc w:val="center"/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</w:pPr>
            <w:r w:rsidRPr="00453123">
              <w:rPr>
                <w:rFonts w:ascii="Arial Narrow" w:eastAsia="PMingLiU" w:hAnsi="Arial Narrow"/>
                <w:b/>
                <w:bCs/>
                <w:kern w:val="2"/>
                <w:sz w:val="18"/>
                <w:szCs w:val="18"/>
                <w:lang w:eastAsia="zh-TW"/>
              </w:rPr>
              <w:t>207 per 1,000</w:t>
            </w:r>
            <w:r w:rsidRPr="00453123">
              <w:rPr>
                <w:rFonts w:ascii="Arial Narrow" w:eastAsia="PMingLiU" w:hAnsi="Arial Narrow"/>
                <w:kern w:val="2"/>
                <w:sz w:val="18"/>
                <w:szCs w:val="18"/>
                <w:lang w:eastAsia="zh-TW"/>
              </w:rPr>
              <w:br/>
              <w:t>(147 to 292)</w:t>
            </w: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1DEA304" w14:textId="77777777" w:rsidR="00207FB3" w:rsidRPr="00453123" w:rsidRDefault="00207FB3" w:rsidP="00A60067">
            <w:pPr>
              <w:widowControl w:val="0"/>
              <w:jc w:val="center"/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</w:pPr>
            <w:r w:rsidRPr="00453123">
              <w:rPr>
                <w:rFonts w:ascii="Arial Narrow" w:eastAsia="PMingLiU" w:hAnsi="Arial Narrow"/>
                <w:b/>
                <w:bCs/>
                <w:kern w:val="2"/>
                <w:sz w:val="16"/>
                <w:szCs w:val="16"/>
                <w:lang w:eastAsia="zh-TW"/>
              </w:rPr>
              <w:t>RR 1.</w:t>
            </w:r>
            <w:r>
              <w:rPr>
                <w:rFonts w:ascii="Arial Narrow" w:eastAsia="PMingLiU" w:hAnsi="Arial Narrow"/>
                <w:b/>
                <w:bCs/>
                <w:kern w:val="2"/>
                <w:sz w:val="16"/>
                <w:szCs w:val="16"/>
                <w:lang w:eastAsia="zh-TW"/>
              </w:rPr>
              <w:t>59</w:t>
            </w: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br/>
              <w:t>(1.15 to 2.2</w:t>
            </w:r>
            <w:r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t>0</w:t>
            </w: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t xml:space="preserve">)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520BB01" w14:textId="77777777" w:rsidR="00207FB3" w:rsidRPr="00453123" w:rsidRDefault="00207FB3" w:rsidP="00A60067">
            <w:pPr>
              <w:widowControl w:val="0"/>
              <w:jc w:val="center"/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</w:pP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t>1267</w:t>
            </w: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br/>
              <w:t xml:space="preserve">(13 RCTs) 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3B2D43A" w14:textId="77777777" w:rsidR="00207FB3" w:rsidRPr="00453123" w:rsidRDefault="00207FB3" w:rsidP="00A60067">
            <w:pPr>
              <w:widowControl w:val="0"/>
              <w:jc w:val="center"/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</w:pPr>
            <w:r w:rsidRPr="00453123">
              <w:rPr>
                <w:rFonts w:ascii="Cambria Math" w:eastAsia="PMingLiU" w:hAnsi="Cambria Math" w:cs="Cambria Math"/>
                <w:kern w:val="2"/>
                <w:sz w:val="21"/>
                <w:szCs w:val="21"/>
                <w:lang w:eastAsia="zh-TW"/>
              </w:rPr>
              <w:t>⨁⨁</w:t>
            </w:r>
            <w:r w:rsidRPr="00453123">
              <w:rPr>
                <w:rFonts w:ascii="MS Mincho" w:eastAsia="MS Mincho" w:hAnsi="MS Mincho" w:cs="MS Mincho" w:hint="eastAsia"/>
                <w:kern w:val="2"/>
                <w:sz w:val="21"/>
                <w:szCs w:val="21"/>
                <w:lang w:eastAsia="zh-TW"/>
              </w:rPr>
              <w:t>◯◯</w:t>
            </w: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br/>
              <w:t xml:space="preserve">LOW </w:t>
            </w: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vertAlign w:val="superscript"/>
                <w:lang w:eastAsia="zh-TW"/>
              </w:rPr>
              <w:t>a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E849E20" w14:textId="77777777" w:rsidR="00207FB3" w:rsidRPr="00453123" w:rsidRDefault="00207FB3" w:rsidP="00A60067">
            <w:pPr>
              <w:widowControl w:val="0"/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</w:pPr>
          </w:p>
        </w:tc>
      </w:tr>
      <w:tr w:rsidR="00207FB3" w:rsidRPr="00453123" w14:paraId="1144C735" w14:textId="77777777" w:rsidTr="00A60067">
        <w:trPr>
          <w:cantSplit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817BE9F" w14:textId="77777777" w:rsidR="00207FB3" w:rsidRPr="00453123" w:rsidRDefault="00207FB3" w:rsidP="00A60067">
            <w:pPr>
              <w:widowControl w:val="0"/>
              <w:jc w:val="center"/>
              <w:rPr>
                <w:rFonts w:ascii="Arial Narrow" w:eastAsia="PMingLiU" w:hAnsi="Arial Narrow" w:cs="PMingLiU"/>
                <w:kern w:val="2"/>
                <w:sz w:val="16"/>
                <w:szCs w:val="16"/>
                <w:lang w:eastAsia="zh-TW"/>
              </w:rPr>
            </w:pPr>
            <w:r w:rsidRPr="00453123">
              <w:rPr>
                <w:rFonts w:ascii="Arial Narrow" w:eastAsia="PMingLiU" w:hAnsi="Arial Narrow"/>
                <w:kern w:val="2"/>
                <w:sz w:val="18"/>
                <w:szCs w:val="18"/>
                <w:lang w:eastAsia="zh-TW"/>
              </w:rPr>
              <w:t>emergence agitation</w:t>
            </w: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1F8A751" w14:textId="77777777" w:rsidR="00207FB3" w:rsidRPr="00453123" w:rsidRDefault="00207FB3" w:rsidP="00A60067">
            <w:pPr>
              <w:widowControl w:val="0"/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</w:pP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t xml:space="preserve">272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3B3781D4" w14:textId="77777777" w:rsidR="00207FB3" w:rsidRPr="00453123" w:rsidRDefault="00207FB3" w:rsidP="00A60067">
            <w:pPr>
              <w:widowControl w:val="0"/>
              <w:jc w:val="center"/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</w:pPr>
            <w:r w:rsidRPr="00453123">
              <w:rPr>
                <w:rFonts w:ascii="Arial Narrow" w:eastAsia="PMingLiU" w:hAnsi="Arial Narrow"/>
                <w:b/>
                <w:bCs/>
                <w:kern w:val="2"/>
                <w:sz w:val="18"/>
                <w:szCs w:val="18"/>
                <w:lang w:eastAsia="zh-TW"/>
              </w:rPr>
              <w:t>285 per 1,000</w:t>
            </w:r>
            <w:r w:rsidRPr="00453123">
              <w:rPr>
                <w:rFonts w:ascii="Arial Narrow" w:eastAsia="PMingLiU" w:hAnsi="Arial Narrow"/>
                <w:kern w:val="2"/>
                <w:sz w:val="18"/>
                <w:szCs w:val="18"/>
                <w:lang w:eastAsia="zh-TW"/>
              </w:rPr>
              <w:br/>
              <w:t>(228 to 353)</w:t>
            </w: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B7C6CB8" w14:textId="77777777" w:rsidR="00207FB3" w:rsidRPr="00453123" w:rsidRDefault="00207FB3" w:rsidP="00A60067">
            <w:pPr>
              <w:widowControl w:val="0"/>
              <w:jc w:val="center"/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</w:pPr>
            <w:r w:rsidRPr="00453123">
              <w:rPr>
                <w:rFonts w:ascii="Arial Narrow" w:eastAsia="PMingLiU" w:hAnsi="Arial Narrow"/>
                <w:b/>
                <w:bCs/>
                <w:kern w:val="2"/>
                <w:sz w:val="16"/>
                <w:szCs w:val="16"/>
                <w:lang w:eastAsia="zh-TW"/>
              </w:rPr>
              <w:t>RR 1.05</w:t>
            </w: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br/>
              <w:t xml:space="preserve">(0.84 to 1.30)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F63C35B" w14:textId="77777777" w:rsidR="00207FB3" w:rsidRPr="00453123" w:rsidRDefault="00207FB3" w:rsidP="00A60067">
            <w:pPr>
              <w:widowControl w:val="0"/>
              <w:jc w:val="center"/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</w:pP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t>626</w:t>
            </w: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br/>
              <w:t xml:space="preserve">(5 RCTs) 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14A6535" w14:textId="77777777" w:rsidR="00207FB3" w:rsidRPr="00453123" w:rsidRDefault="00207FB3" w:rsidP="00A60067">
            <w:pPr>
              <w:widowControl w:val="0"/>
              <w:jc w:val="center"/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</w:pPr>
            <w:r w:rsidRPr="00453123">
              <w:rPr>
                <w:rFonts w:ascii="Cambria Math" w:eastAsia="PMingLiU" w:hAnsi="Cambria Math" w:cs="Cambria Math"/>
                <w:kern w:val="2"/>
                <w:sz w:val="21"/>
                <w:szCs w:val="21"/>
                <w:lang w:eastAsia="zh-TW"/>
              </w:rPr>
              <w:t>⨁⨁</w:t>
            </w:r>
            <w:r w:rsidRPr="00453123">
              <w:rPr>
                <w:rFonts w:ascii="MS Mincho" w:eastAsia="MS Mincho" w:hAnsi="MS Mincho" w:cs="MS Mincho" w:hint="eastAsia"/>
                <w:kern w:val="2"/>
                <w:sz w:val="21"/>
                <w:szCs w:val="21"/>
                <w:lang w:eastAsia="zh-TW"/>
              </w:rPr>
              <w:t>◯◯</w:t>
            </w: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br/>
              <w:t xml:space="preserve">LOW </w:t>
            </w: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vertAlign w:val="superscript"/>
                <w:lang w:eastAsia="zh-TW"/>
              </w:rPr>
              <w:t>a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E19725A" w14:textId="77777777" w:rsidR="00207FB3" w:rsidRPr="00453123" w:rsidRDefault="00207FB3" w:rsidP="00A60067">
            <w:pPr>
              <w:widowControl w:val="0"/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</w:pPr>
          </w:p>
        </w:tc>
      </w:tr>
      <w:tr w:rsidR="00207FB3" w:rsidRPr="00453123" w14:paraId="4BA85697" w14:textId="77777777" w:rsidTr="00A60067">
        <w:trPr>
          <w:cantSplit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69AEDEF" w14:textId="77777777" w:rsidR="00207FB3" w:rsidRPr="00453123" w:rsidRDefault="00207FB3" w:rsidP="00A60067">
            <w:pPr>
              <w:widowControl w:val="0"/>
              <w:jc w:val="center"/>
              <w:rPr>
                <w:rFonts w:ascii="Arial Narrow" w:eastAsia="PMingLiU" w:hAnsi="Arial Narrow" w:cs="PMingLiU"/>
                <w:kern w:val="2"/>
                <w:sz w:val="16"/>
                <w:szCs w:val="16"/>
                <w:lang w:eastAsia="zh-TW"/>
              </w:rPr>
            </w:pPr>
            <w:r w:rsidRPr="00453123">
              <w:rPr>
                <w:rFonts w:ascii="Arial Narrow" w:eastAsia="PMingLiU" w:hAnsi="Arial Narrow"/>
                <w:kern w:val="2"/>
                <w:sz w:val="18"/>
                <w:szCs w:val="18"/>
                <w:lang w:eastAsia="zh-TW"/>
              </w:rPr>
              <w:t>PONV</w:t>
            </w: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0A6ADB5" w14:textId="77777777" w:rsidR="00207FB3" w:rsidRPr="00453123" w:rsidRDefault="00207FB3" w:rsidP="00A60067">
            <w:pPr>
              <w:widowControl w:val="0"/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</w:pP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t xml:space="preserve">210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2562E853" w14:textId="77777777" w:rsidR="00207FB3" w:rsidRPr="00453123" w:rsidRDefault="00207FB3" w:rsidP="00A60067">
            <w:pPr>
              <w:widowControl w:val="0"/>
              <w:jc w:val="center"/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</w:pPr>
            <w:r w:rsidRPr="00453123">
              <w:rPr>
                <w:rFonts w:ascii="Arial Narrow" w:eastAsia="PMingLiU" w:hAnsi="Arial Narrow"/>
                <w:b/>
                <w:bCs/>
                <w:kern w:val="2"/>
                <w:sz w:val="18"/>
                <w:szCs w:val="18"/>
                <w:lang w:eastAsia="zh-TW"/>
              </w:rPr>
              <w:t>191 per 1,000</w:t>
            </w:r>
            <w:r w:rsidRPr="00453123">
              <w:rPr>
                <w:rFonts w:ascii="Arial Narrow" w:eastAsia="PMingLiU" w:hAnsi="Arial Narrow"/>
                <w:kern w:val="2"/>
                <w:sz w:val="18"/>
                <w:szCs w:val="18"/>
                <w:lang w:eastAsia="zh-TW"/>
              </w:rPr>
              <w:br/>
              <w:t>(158 to 233)</w:t>
            </w: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E777D62" w14:textId="77777777" w:rsidR="00207FB3" w:rsidRPr="00453123" w:rsidRDefault="00207FB3" w:rsidP="00A60067">
            <w:pPr>
              <w:widowControl w:val="0"/>
              <w:jc w:val="center"/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</w:pPr>
            <w:r w:rsidRPr="00453123">
              <w:rPr>
                <w:rFonts w:ascii="Arial Narrow" w:eastAsia="PMingLiU" w:hAnsi="Arial Narrow"/>
                <w:b/>
                <w:bCs/>
                <w:kern w:val="2"/>
                <w:sz w:val="16"/>
                <w:szCs w:val="16"/>
                <w:lang w:eastAsia="zh-TW"/>
              </w:rPr>
              <w:t>RR 0.9</w:t>
            </w:r>
            <w:r>
              <w:rPr>
                <w:rFonts w:ascii="Arial Narrow" w:eastAsia="PMingLiU" w:hAnsi="Arial Narrow"/>
                <w:b/>
                <w:bCs/>
                <w:kern w:val="2"/>
                <w:sz w:val="16"/>
                <w:szCs w:val="16"/>
                <w:lang w:eastAsia="zh-TW"/>
              </w:rPr>
              <w:t>5</w:t>
            </w: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br/>
              <w:t>(0.7</w:t>
            </w:r>
            <w:r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t>1</w:t>
            </w: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t xml:space="preserve"> to 1.</w:t>
            </w:r>
            <w:r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t>26</w:t>
            </w: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t xml:space="preserve">)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9121283" w14:textId="77777777" w:rsidR="00207FB3" w:rsidRPr="00453123" w:rsidRDefault="00207FB3" w:rsidP="00A60067">
            <w:pPr>
              <w:widowControl w:val="0"/>
              <w:jc w:val="center"/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</w:pP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t>989</w:t>
            </w: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br/>
              <w:t xml:space="preserve">(9 RCTs) 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55CF35F" w14:textId="77777777" w:rsidR="00207FB3" w:rsidRPr="00453123" w:rsidRDefault="00207FB3" w:rsidP="00A60067">
            <w:pPr>
              <w:widowControl w:val="0"/>
              <w:jc w:val="center"/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</w:pPr>
            <w:r w:rsidRPr="00453123">
              <w:rPr>
                <w:rFonts w:ascii="Cambria Math" w:eastAsia="PMingLiU" w:hAnsi="Cambria Math" w:cs="Cambria Math"/>
                <w:kern w:val="2"/>
                <w:sz w:val="21"/>
                <w:szCs w:val="21"/>
                <w:lang w:eastAsia="zh-TW"/>
              </w:rPr>
              <w:t>⨁⨁</w:t>
            </w:r>
            <w:r w:rsidRPr="00453123">
              <w:rPr>
                <w:rFonts w:ascii="MS Mincho" w:eastAsia="MS Mincho" w:hAnsi="MS Mincho" w:cs="MS Mincho" w:hint="eastAsia"/>
                <w:kern w:val="2"/>
                <w:sz w:val="21"/>
                <w:szCs w:val="21"/>
                <w:lang w:eastAsia="zh-TW"/>
              </w:rPr>
              <w:t>◯◯</w:t>
            </w: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br/>
              <w:t xml:space="preserve">LOW </w:t>
            </w: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vertAlign w:val="superscript"/>
                <w:lang w:eastAsia="zh-TW"/>
              </w:rPr>
              <w:t>a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9F15DCD" w14:textId="77777777" w:rsidR="00207FB3" w:rsidRPr="00453123" w:rsidRDefault="00207FB3" w:rsidP="00A60067">
            <w:pPr>
              <w:widowControl w:val="0"/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</w:pPr>
          </w:p>
        </w:tc>
      </w:tr>
      <w:tr w:rsidR="00207FB3" w:rsidRPr="00453123" w14:paraId="7FEB2478" w14:textId="77777777" w:rsidTr="00A60067">
        <w:trPr>
          <w:cantSplit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40EC5E3" w14:textId="77777777" w:rsidR="00207FB3" w:rsidRPr="00453123" w:rsidRDefault="00207FB3" w:rsidP="00A60067">
            <w:pPr>
              <w:widowControl w:val="0"/>
              <w:jc w:val="center"/>
              <w:rPr>
                <w:rFonts w:ascii="Arial Narrow" w:eastAsia="PMingLiU" w:hAnsi="Arial Narrow" w:cs="PMingLiU"/>
                <w:kern w:val="2"/>
                <w:sz w:val="16"/>
                <w:szCs w:val="16"/>
                <w:lang w:eastAsia="zh-TW"/>
              </w:rPr>
            </w:pPr>
            <w:r w:rsidRPr="00453123">
              <w:rPr>
                <w:rFonts w:ascii="Arial Narrow" w:eastAsia="PMingLiU" w:hAnsi="Arial Narrow"/>
                <w:kern w:val="2"/>
                <w:sz w:val="18"/>
                <w:szCs w:val="18"/>
                <w:lang w:eastAsia="zh-TW"/>
              </w:rPr>
              <w:t>time to eye open</w:t>
            </w: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vAlign w:val="center"/>
            <w:hideMark/>
          </w:tcPr>
          <w:p w14:paraId="15CA3F94" w14:textId="77777777" w:rsidR="00207FB3" w:rsidRPr="00453123" w:rsidRDefault="00207FB3" w:rsidP="00A60067">
            <w:pPr>
              <w:widowControl w:val="0"/>
              <w:jc w:val="center"/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</w:pP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t xml:space="preserve">-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0AF5C764" w14:textId="77777777" w:rsidR="00207FB3" w:rsidRPr="00453123" w:rsidRDefault="00207FB3" w:rsidP="00A60067">
            <w:pPr>
              <w:widowControl w:val="0"/>
              <w:jc w:val="center"/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</w:pPr>
            <w:r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t>W</w:t>
            </w: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t xml:space="preserve">MD </w:t>
            </w:r>
            <w:r w:rsidRPr="00FD3693">
              <w:rPr>
                <w:rFonts w:ascii="Arial Narrow" w:eastAsia="PMingLiU" w:hAnsi="Arial Narrow"/>
                <w:b/>
                <w:bCs/>
                <w:kern w:val="2"/>
                <w:sz w:val="16"/>
                <w:szCs w:val="16"/>
                <w:lang w:eastAsia="zh-TW"/>
              </w:rPr>
              <w:t xml:space="preserve">3.32 </w:t>
            </w:r>
            <w:r w:rsidRPr="00453123">
              <w:rPr>
                <w:rFonts w:ascii="Arial Narrow" w:eastAsia="PMingLiU" w:hAnsi="Arial Narrow"/>
                <w:b/>
                <w:bCs/>
                <w:kern w:val="2"/>
                <w:sz w:val="16"/>
                <w:szCs w:val="16"/>
                <w:lang w:eastAsia="zh-TW"/>
              </w:rPr>
              <w:t>lower</w:t>
            </w: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br/>
              <w:t>(</w:t>
            </w:r>
            <w:r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t>4.02</w:t>
            </w: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t xml:space="preserve"> lower to </w:t>
            </w:r>
            <w:r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t>2.61</w:t>
            </w: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t xml:space="preserve"> lower)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1EF0AC4" w14:textId="77777777" w:rsidR="00207FB3" w:rsidRPr="00453123" w:rsidRDefault="00207FB3" w:rsidP="00A60067">
            <w:pPr>
              <w:widowControl w:val="0"/>
              <w:jc w:val="center"/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</w:pP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t xml:space="preserve">-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A7CC6F7" w14:textId="77777777" w:rsidR="00207FB3" w:rsidRPr="00453123" w:rsidRDefault="00207FB3" w:rsidP="00A60067">
            <w:pPr>
              <w:widowControl w:val="0"/>
              <w:jc w:val="center"/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</w:pP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t>1070</w:t>
            </w: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br/>
              <w:t xml:space="preserve">(11 RCTs) 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FE9A954" w14:textId="77777777" w:rsidR="00207FB3" w:rsidRPr="00453123" w:rsidRDefault="00207FB3" w:rsidP="00A60067">
            <w:pPr>
              <w:widowControl w:val="0"/>
              <w:jc w:val="center"/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</w:pPr>
            <w:r w:rsidRPr="00453123">
              <w:rPr>
                <w:rFonts w:ascii="Cambria Math" w:eastAsia="PMingLiU" w:hAnsi="Cambria Math" w:cs="Cambria Math"/>
                <w:kern w:val="2"/>
                <w:sz w:val="21"/>
                <w:szCs w:val="21"/>
                <w:lang w:eastAsia="zh-TW"/>
              </w:rPr>
              <w:t>⨁</w:t>
            </w:r>
            <w:r w:rsidRPr="00453123">
              <w:rPr>
                <w:rFonts w:ascii="MS Mincho" w:eastAsia="MS Mincho" w:hAnsi="MS Mincho" w:cs="MS Mincho" w:hint="eastAsia"/>
                <w:kern w:val="2"/>
                <w:sz w:val="21"/>
                <w:szCs w:val="21"/>
                <w:lang w:eastAsia="zh-TW"/>
              </w:rPr>
              <w:t>◯◯◯</w:t>
            </w: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br/>
              <w:t xml:space="preserve">VERY LOW </w:t>
            </w:r>
            <w:proofErr w:type="spellStart"/>
            <w:proofErr w:type="gramStart"/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vertAlign w:val="superscript"/>
                <w:lang w:eastAsia="zh-TW"/>
              </w:rPr>
              <w:t>a,b</w:t>
            </w:r>
            <w:proofErr w:type="spellEnd"/>
            <w:proofErr w:type="gramEnd"/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211CCD1" w14:textId="77777777" w:rsidR="00207FB3" w:rsidRPr="00453123" w:rsidRDefault="00207FB3" w:rsidP="00A60067">
            <w:pPr>
              <w:widowControl w:val="0"/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</w:pPr>
          </w:p>
        </w:tc>
      </w:tr>
      <w:tr w:rsidR="00207FB3" w:rsidRPr="00453123" w14:paraId="30273CFB" w14:textId="77777777" w:rsidTr="00A60067">
        <w:trPr>
          <w:cantSplit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AE318C9" w14:textId="77777777" w:rsidR="00207FB3" w:rsidRPr="00453123" w:rsidRDefault="00207FB3" w:rsidP="00A60067">
            <w:pPr>
              <w:widowControl w:val="0"/>
              <w:jc w:val="center"/>
              <w:rPr>
                <w:rFonts w:ascii="Arial Narrow" w:eastAsia="PMingLiU" w:hAnsi="Arial Narrow" w:cs="PMingLiU"/>
                <w:kern w:val="2"/>
                <w:sz w:val="16"/>
                <w:szCs w:val="16"/>
                <w:lang w:eastAsia="zh-TW"/>
              </w:rPr>
            </w:pPr>
            <w:r>
              <w:rPr>
                <w:rFonts w:ascii="Arial Narrow" w:eastAsia="PMingLiU" w:hAnsi="Arial Narrow"/>
                <w:kern w:val="2"/>
                <w:sz w:val="18"/>
                <w:szCs w:val="18"/>
                <w:lang w:eastAsia="zh-TW"/>
              </w:rPr>
              <w:t>time to discharge from operation room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vAlign w:val="center"/>
            <w:hideMark/>
          </w:tcPr>
          <w:p w14:paraId="753ADE43" w14:textId="77777777" w:rsidR="00207FB3" w:rsidRPr="00453123" w:rsidRDefault="00207FB3" w:rsidP="00A60067">
            <w:pPr>
              <w:widowControl w:val="0"/>
              <w:jc w:val="center"/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</w:pP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t xml:space="preserve">-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6E6DAB4B" w14:textId="77777777" w:rsidR="00207FB3" w:rsidRPr="00453123" w:rsidRDefault="00207FB3" w:rsidP="00A60067">
            <w:pPr>
              <w:widowControl w:val="0"/>
              <w:jc w:val="center"/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</w:pPr>
            <w:r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t>W</w:t>
            </w: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t xml:space="preserve">MD </w:t>
            </w:r>
            <w:r w:rsidRPr="00453123">
              <w:rPr>
                <w:rFonts w:ascii="Arial Narrow" w:eastAsia="PMingLiU" w:hAnsi="Arial Narrow"/>
                <w:b/>
                <w:bCs/>
                <w:kern w:val="2"/>
                <w:sz w:val="16"/>
                <w:szCs w:val="16"/>
                <w:lang w:eastAsia="zh-TW"/>
              </w:rPr>
              <w:t>0.</w:t>
            </w:r>
            <w:r>
              <w:rPr>
                <w:rFonts w:ascii="Arial Narrow" w:eastAsia="PMingLiU" w:hAnsi="Arial Narrow"/>
                <w:b/>
                <w:bCs/>
                <w:kern w:val="2"/>
                <w:sz w:val="16"/>
                <w:szCs w:val="16"/>
                <w:lang w:eastAsia="zh-TW"/>
              </w:rPr>
              <w:t>45</w:t>
            </w:r>
            <w:r w:rsidRPr="00453123">
              <w:rPr>
                <w:rFonts w:ascii="Arial Narrow" w:eastAsia="PMingLiU" w:hAnsi="Arial Narrow"/>
                <w:b/>
                <w:bCs/>
                <w:kern w:val="2"/>
                <w:sz w:val="16"/>
                <w:szCs w:val="16"/>
                <w:lang w:eastAsia="zh-TW"/>
              </w:rPr>
              <w:t xml:space="preserve"> lower</w:t>
            </w: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br/>
              <w:t>(</w:t>
            </w:r>
            <w:r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t>5.89</w:t>
            </w: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t xml:space="preserve"> lower to </w:t>
            </w:r>
            <w:r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t>4.99</w:t>
            </w: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t xml:space="preserve"> higher)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0515F4D" w14:textId="77777777" w:rsidR="00207FB3" w:rsidRPr="00453123" w:rsidRDefault="00207FB3" w:rsidP="00A60067">
            <w:pPr>
              <w:widowControl w:val="0"/>
              <w:jc w:val="center"/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</w:pP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t xml:space="preserve">-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CC1B49C" w14:textId="77777777" w:rsidR="00207FB3" w:rsidRPr="00453123" w:rsidRDefault="00207FB3" w:rsidP="00A60067">
            <w:pPr>
              <w:widowControl w:val="0"/>
              <w:jc w:val="center"/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</w:pP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t>1055</w:t>
            </w: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br/>
              <w:t xml:space="preserve">(10 RCTs) 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E3AA1E2" w14:textId="77777777" w:rsidR="00207FB3" w:rsidRPr="00453123" w:rsidRDefault="00207FB3" w:rsidP="00A60067">
            <w:pPr>
              <w:widowControl w:val="0"/>
              <w:jc w:val="center"/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</w:pPr>
            <w:r w:rsidRPr="00453123">
              <w:rPr>
                <w:rFonts w:ascii="Cambria Math" w:eastAsia="PMingLiU" w:hAnsi="Cambria Math" w:cs="Cambria Math"/>
                <w:kern w:val="2"/>
                <w:sz w:val="21"/>
                <w:szCs w:val="21"/>
                <w:lang w:eastAsia="zh-TW"/>
              </w:rPr>
              <w:t>⨁</w:t>
            </w:r>
            <w:r w:rsidRPr="00453123">
              <w:rPr>
                <w:rFonts w:ascii="MS Mincho" w:eastAsia="MS Mincho" w:hAnsi="MS Mincho" w:cs="MS Mincho" w:hint="eastAsia"/>
                <w:kern w:val="2"/>
                <w:sz w:val="21"/>
                <w:szCs w:val="21"/>
                <w:lang w:eastAsia="zh-TW"/>
              </w:rPr>
              <w:t>◯◯◯</w:t>
            </w: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br/>
              <w:t xml:space="preserve">VERY LOW </w:t>
            </w:r>
            <w:proofErr w:type="spellStart"/>
            <w:proofErr w:type="gramStart"/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vertAlign w:val="superscript"/>
                <w:lang w:eastAsia="zh-TW"/>
              </w:rPr>
              <w:t>a,b</w:t>
            </w:r>
            <w:proofErr w:type="spellEnd"/>
            <w:proofErr w:type="gramEnd"/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A6141D3" w14:textId="77777777" w:rsidR="00207FB3" w:rsidRPr="00453123" w:rsidRDefault="00207FB3" w:rsidP="00A60067">
            <w:pPr>
              <w:widowControl w:val="0"/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</w:pPr>
          </w:p>
        </w:tc>
      </w:tr>
      <w:tr w:rsidR="00207FB3" w:rsidRPr="00453123" w14:paraId="01586F30" w14:textId="77777777" w:rsidTr="00A60067">
        <w:trPr>
          <w:cantSplit/>
        </w:trPr>
        <w:tc>
          <w:tcPr>
            <w:tcW w:w="0" w:type="auto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C5B304A" w14:textId="77777777" w:rsidR="00207FB3" w:rsidRPr="00453123" w:rsidRDefault="00207FB3" w:rsidP="00A60067">
            <w:pPr>
              <w:widowControl w:val="0"/>
              <w:rPr>
                <w:rFonts w:ascii="Arial Narrow" w:eastAsia="PMingLiU" w:hAnsi="Arial Narrow" w:cs="PMingLiU"/>
                <w:kern w:val="2"/>
                <w:sz w:val="16"/>
                <w:szCs w:val="16"/>
                <w:lang w:eastAsia="zh-TW"/>
              </w:rPr>
            </w:pP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t>*</w:t>
            </w:r>
            <w:r w:rsidRPr="00453123">
              <w:rPr>
                <w:rFonts w:ascii="Arial Narrow" w:eastAsia="PMingLiU" w:hAnsi="Arial Narrow"/>
                <w:b/>
                <w:bCs/>
                <w:kern w:val="2"/>
                <w:sz w:val="16"/>
                <w:szCs w:val="16"/>
                <w:lang w:eastAsia="zh-TW"/>
              </w:rPr>
              <w:t>The risk in the intervention group</w:t>
            </w: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t xml:space="preserve"> (and its 95% confidence interval) is based on the assumed risk in the comparison group and the </w:t>
            </w:r>
            <w:r w:rsidRPr="00453123">
              <w:rPr>
                <w:rFonts w:ascii="Arial Narrow" w:eastAsia="PMingLiU" w:hAnsi="Arial Narrow"/>
                <w:b/>
                <w:bCs/>
                <w:kern w:val="2"/>
                <w:sz w:val="16"/>
                <w:szCs w:val="16"/>
                <w:lang w:eastAsia="zh-TW"/>
              </w:rPr>
              <w:t>relative effect</w:t>
            </w: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t xml:space="preserve"> of the intervention (and its 95% CI). </w:t>
            </w: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br/>
            </w: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br/>
            </w:r>
            <w:r w:rsidRPr="00453123">
              <w:rPr>
                <w:rFonts w:ascii="Arial Narrow" w:eastAsia="PMingLiU" w:hAnsi="Arial Narrow"/>
                <w:b/>
                <w:bCs/>
                <w:kern w:val="2"/>
                <w:sz w:val="16"/>
                <w:szCs w:val="16"/>
                <w:lang w:eastAsia="zh-TW"/>
              </w:rPr>
              <w:t>CI:</w:t>
            </w: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t xml:space="preserve"> Confidence interval; </w:t>
            </w:r>
            <w:r w:rsidRPr="00453123">
              <w:rPr>
                <w:rFonts w:ascii="Arial Narrow" w:eastAsia="PMingLiU" w:hAnsi="Arial Narrow"/>
                <w:b/>
                <w:bCs/>
                <w:kern w:val="2"/>
                <w:sz w:val="16"/>
                <w:szCs w:val="16"/>
                <w:lang w:eastAsia="zh-TW"/>
              </w:rPr>
              <w:t>RR:</w:t>
            </w: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t xml:space="preserve"> Risk ratio; </w:t>
            </w:r>
            <w:r w:rsidRPr="00FD3693">
              <w:rPr>
                <w:rFonts w:ascii="Arial Narrow" w:eastAsia="PMingLiU" w:hAnsi="Arial Narrow"/>
                <w:b/>
                <w:bCs/>
                <w:kern w:val="2"/>
                <w:sz w:val="16"/>
                <w:szCs w:val="16"/>
                <w:lang w:eastAsia="zh-TW"/>
              </w:rPr>
              <w:t>W</w:t>
            </w:r>
            <w:r w:rsidRPr="00453123">
              <w:rPr>
                <w:rFonts w:ascii="Arial Narrow" w:eastAsia="PMingLiU" w:hAnsi="Arial Narrow"/>
                <w:b/>
                <w:bCs/>
                <w:kern w:val="2"/>
                <w:sz w:val="16"/>
                <w:szCs w:val="16"/>
                <w:lang w:eastAsia="zh-TW"/>
              </w:rPr>
              <w:t>MD:</w:t>
            </w: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t>Weighted</w:t>
            </w: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t xml:space="preserve"> mean difference </w:t>
            </w:r>
          </w:p>
        </w:tc>
      </w:tr>
      <w:tr w:rsidR="00207FB3" w:rsidRPr="00453123" w14:paraId="0DBDE808" w14:textId="77777777" w:rsidTr="00A60067">
        <w:trPr>
          <w:cantSplit/>
        </w:trPr>
        <w:tc>
          <w:tcPr>
            <w:tcW w:w="0" w:type="auto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8AE31EB" w14:textId="77777777" w:rsidR="00207FB3" w:rsidRPr="00453123" w:rsidRDefault="00207FB3" w:rsidP="00A60067">
            <w:pPr>
              <w:widowControl w:val="0"/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</w:pPr>
            <w:r w:rsidRPr="00453123">
              <w:rPr>
                <w:rFonts w:ascii="Arial Narrow" w:eastAsia="PMingLiU" w:hAnsi="Arial Narrow"/>
                <w:b/>
                <w:bCs/>
                <w:kern w:val="2"/>
                <w:sz w:val="16"/>
                <w:szCs w:val="16"/>
                <w:lang w:eastAsia="zh-TW"/>
              </w:rPr>
              <w:t>GRADE Working Group grades of evidence</w:t>
            </w: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br/>
            </w:r>
            <w:r w:rsidRPr="00453123">
              <w:rPr>
                <w:rFonts w:ascii="Arial Narrow" w:eastAsia="PMingLiU" w:hAnsi="Arial Narrow"/>
                <w:b/>
                <w:bCs/>
                <w:kern w:val="2"/>
                <w:sz w:val="16"/>
                <w:szCs w:val="16"/>
                <w:lang w:eastAsia="zh-TW"/>
              </w:rPr>
              <w:t>High certainty:</w:t>
            </w: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t xml:space="preserve"> We are very confident that the true effect lies close to that of the estimate of the effect</w:t>
            </w: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br/>
            </w:r>
            <w:r w:rsidRPr="00453123">
              <w:rPr>
                <w:rFonts w:ascii="Arial Narrow" w:eastAsia="PMingLiU" w:hAnsi="Arial Narrow"/>
                <w:b/>
                <w:bCs/>
                <w:kern w:val="2"/>
                <w:sz w:val="16"/>
                <w:szCs w:val="16"/>
                <w:lang w:eastAsia="zh-TW"/>
              </w:rPr>
              <w:t>Moderate certainty:</w:t>
            </w: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t xml:space="preserve"> We are moderately confident in the effect estimate: The true effect is likely to be close to the estimate of the effect, but there is a possibility that it is substantially different</w:t>
            </w: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br/>
            </w:r>
            <w:r w:rsidRPr="00453123">
              <w:rPr>
                <w:rFonts w:ascii="Arial Narrow" w:eastAsia="PMingLiU" w:hAnsi="Arial Narrow"/>
                <w:b/>
                <w:bCs/>
                <w:kern w:val="2"/>
                <w:sz w:val="16"/>
                <w:szCs w:val="16"/>
                <w:lang w:eastAsia="zh-TW"/>
              </w:rPr>
              <w:t>Low certainty:</w:t>
            </w: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t xml:space="preserve"> Our confidence in the effect estimate is limited: The true effect may be substantially different from the estimate of the effect</w:t>
            </w: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br/>
            </w:r>
            <w:r w:rsidRPr="00453123">
              <w:rPr>
                <w:rFonts w:ascii="Arial Narrow" w:eastAsia="PMingLiU" w:hAnsi="Arial Narrow"/>
                <w:b/>
                <w:bCs/>
                <w:kern w:val="2"/>
                <w:sz w:val="16"/>
                <w:szCs w:val="16"/>
                <w:lang w:eastAsia="zh-TW"/>
              </w:rPr>
              <w:t>Very low certainty:</w:t>
            </w:r>
            <w:r w:rsidRPr="00453123">
              <w:rPr>
                <w:rFonts w:ascii="Arial Narrow" w:eastAsia="PMingLiU" w:hAnsi="Arial Narrow"/>
                <w:kern w:val="2"/>
                <w:sz w:val="16"/>
                <w:szCs w:val="16"/>
                <w:lang w:eastAsia="zh-TW"/>
              </w:rPr>
              <w:t xml:space="preserve"> We have very little confidence in the effect estimate: The true effect is likely to be substantially different from the estimate of effect </w:t>
            </w:r>
          </w:p>
        </w:tc>
      </w:tr>
    </w:tbl>
    <w:p w14:paraId="497B29D0" w14:textId="77777777" w:rsidR="00207FB3" w:rsidRPr="00453123" w:rsidRDefault="00207FB3" w:rsidP="00207FB3">
      <w:pPr>
        <w:spacing w:before="100" w:beforeAutospacing="1" w:after="100" w:afterAutospacing="1"/>
        <w:outlineLvl w:val="3"/>
        <w:rPr>
          <w:rFonts w:ascii="Arial Narrow" w:eastAsia="PMingLiU" w:hAnsi="Arial Narrow" w:cs="PMingLiU"/>
          <w:b/>
          <w:bCs/>
          <w:color w:val="000000"/>
          <w:lang w:val="en" w:eastAsia="zh-TW"/>
        </w:rPr>
      </w:pPr>
      <w:r w:rsidRPr="00453123">
        <w:rPr>
          <w:rFonts w:ascii="Arial Narrow" w:eastAsia="PMingLiU" w:hAnsi="Arial Narrow" w:cs="PMingLiU"/>
          <w:b/>
          <w:bCs/>
          <w:color w:val="000000"/>
          <w:lang w:val="en" w:eastAsia="zh-TW"/>
        </w:rPr>
        <w:t>Explanations</w:t>
      </w:r>
    </w:p>
    <w:p w14:paraId="14FFDF2A" w14:textId="77777777" w:rsidR="00207FB3" w:rsidRPr="00453123" w:rsidRDefault="00207FB3" w:rsidP="00207FB3">
      <w:pPr>
        <w:widowControl w:val="0"/>
        <w:rPr>
          <w:rFonts w:ascii="Arial Narrow" w:eastAsia="PMingLiU" w:hAnsi="Arial Narrow"/>
          <w:color w:val="000000"/>
          <w:kern w:val="2"/>
          <w:sz w:val="16"/>
          <w:szCs w:val="16"/>
          <w:lang w:val="en" w:eastAsia="zh-TW"/>
        </w:rPr>
      </w:pPr>
      <w:r w:rsidRPr="00453123">
        <w:rPr>
          <w:rFonts w:ascii="Arial Narrow" w:eastAsia="PMingLiU" w:hAnsi="Arial Narrow"/>
          <w:color w:val="000000"/>
          <w:kern w:val="2"/>
          <w:sz w:val="16"/>
          <w:szCs w:val="16"/>
          <w:lang w:val="en" w:eastAsia="zh-TW"/>
        </w:rPr>
        <w:t xml:space="preserve">a. Most studies have low or unclear overall </w:t>
      </w:r>
      <w:proofErr w:type="spellStart"/>
      <w:r w:rsidRPr="00453123">
        <w:rPr>
          <w:rFonts w:ascii="Arial Narrow" w:eastAsia="PMingLiU" w:hAnsi="Arial Narrow"/>
          <w:color w:val="000000"/>
          <w:kern w:val="2"/>
          <w:sz w:val="16"/>
          <w:szCs w:val="16"/>
          <w:lang w:val="en" w:eastAsia="zh-TW"/>
        </w:rPr>
        <w:t>RoB</w:t>
      </w:r>
      <w:proofErr w:type="spellEnd"/>
      <w:r w:rsidRPr="00453123">
        <w:rPr>
          <w:rFonts w:ascii="Arial Narrow" w:eastAsia="PMingLiU" w:hAnsi="Arial Narrow"/>
          <w:color w:val="000000"/>
          <w:kern w:val="2"/>
          <w:sz w:val="16"/>
          <w:szCs w:val="16"/>
          <w:lang w:val="en" w:eastAsia="zh-TW"/>
        </w:rPr>
        <w:t>, but more than 25</w:t>
      </w:r>
      <w:proofErr w:type="gramStart"/>
      <w:r w:rsidRPr="00453123">
        <w:rPr>
          <w:rFonts w:ascii="Arial Narrow" w:eastAsia="PMingLiU" w:hAnsi="Arial Narrow"/>
          <w:color w:val="000000"/>
          <w:kern w:val="2"/>
          <w:sz w:val="16"/>
          <w:szCs w:val="16"/>
          <w:lang w:val="en" w:eastAsia="zh-TW"/>
        </w:rPr>
        <w:t>%(</w:t>
      </w:r>
      <w:proofErr w:type="gramEnd"/>
      <w:r w:rsidRPr="00453123">
        <w:rPr>
          <w:rFonts w:ascii="Arial Narrow" w:eastAsia="PMingLiU" w:hAnsi="Arial Narrow"/>
          <w:color w:val="000000"/>
          <w:kern w:val="2"/>
          <w:sz w:val="16"/>
          <w:szCs w:val="16"/>
          <w:lang w:val="en" w:eastAsia="zh-TW"/>
        </w:rPr>
        <w:t xml:space="preserve">4 of 13) studies are with high overall risk of </w:t>
      </w:r>
      <w:proofErr w:type="spellStart"/>
      <w:r w:rsidRPr="00453123">
        <w:rPr>
          <w:rFonts w:ascii="Arial Narrow" w:eastAsia="PMingLiU" w:hAnsi="Arial Narrow"/>
          <w:color w:val="000000"/>
          <w:kern w:val="2"/>
          <w:sz w:val="16"/>
          <w:szCs w:val="16"/>
          <w:lang w:val="en" w:eastAsia="zh-TW"/>
        </w:rPr>
        <w:t>RoB</w:t>
      </w:r>
      <w:proofErr w:type="spellEnd"/>
      <w:r w:rsidRPr="00453123">
        <w:rPr>
          <w:rFonts w:ascii="Arial Narrow" w:eastAsia="PMingLiU" w:hAnsi="Arial Narrow"/>
          <w:color w:val="000000"/>
          <w:kern w:val="2"/>
          <w:sz w:val="16"/>
          <w:szCs w:val="16"/>
          <w:lang w:val="en" w:eastAsia="zh-TW"/>
        </w:rPr>
        <w:t xml:space="preserve">. </w:t>
      </w:r>
    </w:p>
    <w:p w14:paraId="3721167D" w14:textId="77777777" w:rsidR="00207FB3" w:rsidRPr="00453123" w:rsidRDefault="00207FB3" w:rsidP="00207FB3">
      <w:pPr>
        <w:widowControl w:val="0"/>
        <w:rPr>
          <w:rFonts w:ascii="Arial Narrow" w:eastAsia="PMingLiU" w:hAnsi="Arial Narrow"/>
          <w:color w:val="000000"/>
          <w:kern w:val="2"/>
          <w:sz w:val="16"/>
          <w:szCs w:val="16"/>
          <w:lang w:val="en" w:eastAsia="zh-TW"/>
        </w:rPr>
      </w:pPr>
      <w:r w:rsidRPr="00453123">
        <w:rPr>
          <w:rFonts w:ascii="Arial Narrow" w:eastAsia="PMingLiU" w:hAnsi="Arial Narrow"/>
          <w:color w:val="000000"/>
          <w:kern w:val="2"/>
          <w:sz w:val="16"/>
          <w:szCs w:val="16"/>
          <w:lang w:val="en" w:eastAsia="zh-TW"/>
        </w:rPr>
        <w:t xml:space="preserve">b. The I square is more than 50%. </w:t>
      </w:r>
    </w:p>
    <w:p w14:paraId="0B689726" w14:textId="77777777" w:rsidR="00207FB3" w:rsidRPr="00453123" w:rsidRDefault="00207FB3" w:rsidP="00207FB3">
      <w:pPr>
        <w:rPr>
          <w:rFonts w:eastAsia="DFKai-SB"/>
          <w:b/>
          <w:noProof/>
          <w:lang w:val="en" w:eastAsia="zh-TW"/>
        </w:rPr>
      </w:pPr>
    </w:p>
    <w:p w14:paraId="7437C9F9" w14:textId="2DA823B6" w:rsidR="00F72C5E" w:rsidRPr="00207FB3" w:rsidRDefault="00F72C5E">
      <w:pPr>
        <w:rPr>
          <w:rFonts w:eastAsia="DFKai-SB"/>
          <w:b/>
          <w:noProof/>
          <w:lang w:eastAsia="zh-TW"/>
        </w:rPr>
      </w:pPr>
    </w:p>
    <w:sectPr w:rsidR="00F72C5E" w:rsidRPr="00207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icrosoft JhengHei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EF7411"/>
    <w:multiLevelType w:val="hybridMultilevel"/>
    <w:tmpl w:val="05725EC0"/>
    <w:styleLink w:val="Numbered"/>
    <w:lvl w:ilvl="0" w:tplc="4120E560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1E5F64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98C530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A8DBD6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F4796C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7C3C46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58F1AC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E67212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3A12FC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B3"/>
    <w:rsid w:val="00207FB3"/>
    <w:rsid w:val="00F7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FA3A0"/>
  <w15:chartTrackingRefBased/>
  <w15:docId w15:val="{FF882087-F7AD-42AB-89A5-0821595B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umbered">
    <w:name w:val="Numbered"/>
    <w:rsid w:val="00207FB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Lyons</dc:creator>
  <cp:keywords/>
  <dc:description/>
  <cp:lastModifiedBy>Gordon Lyons</cp:lastModifiedBy>
  <cp:revision>1</cp:revision>
  <dcterms:created xsi:type="dcterms:W3CDTF">2020-09-25T16:59:00Z</dcterms:created>
  <dcterms:modified xsi:type="dcterms:W3CDTF">2020-09-25T17:00:00Z</dcterms:modified>
</cp:coreProperties>
</file>