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5D" w:rsidRPr="0074627C" w:rsidRDefault="00FD1B5D" w:rsidP="00FD1B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Verdana"/>
          <w:color w:val="auto"/>
          <w:lang w:val="en-US" w:bidi="en-US"/>
        </w:rPr>
      </w:pPr>
      <w:r w:rsidRPr="0074627C">
        <w:rPr>
          <w:rFonts w:ascii="Times New Roman" w:hAnsi="Times New Roman" w:cs="Verdana"/>
          <w:b/>
          <w:color w:val="auto"/>
          <w:lang w:val="en-US" w:bidi="en-US"/>
        </w:rPr>
        <w:t xml:space="preserve">Table S3: </w:t>
      </w:r>
      <w:r w:rsidRPr="0074627C">
        <w:rPr>
          <w:rFonts w:ascii="Times New Roman" w:hAnsi="Times New Roman" w:cs="Verdana"/>
          <w:color w:val="auto"/>
          <w:lang w:val="en-US" w:bidi="en-US"/>
        </w:rPr>
        <w:t>Association analysis between non-responders and responders (ACR-Ped70) to MTX, for all SNPs studied</w:t>
      </w:r>
    </w:p>
    <w:tbl>
      <w:tblPr>
        <w:tblW w:w="1332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1376"/>
        <w:gridCol w:w="1337"/>
        <w:gridCol w:w="960"/>
        <w:gridCol w:w="1218"/>
        <w:gridCol w:w="870"/>
        <w:gridCol w:w="869"/>
        <w:gridCol w:w="960"/>
        <w:gridCol w:w="960"/>
        <w:gridCol w:w="1083"/>
        <w:gridCol w:w="960"/>
        <w:gridCol w:w="960"/>
        <w:gridCol w:w="960"/>
        <w:gridCol w:w="1043"/>
      </w:tblGrid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SNP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Gene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CHR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Position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Minor allele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Major allele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MAF NR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MAF</w:t>
            </w:r>
          </w:p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ACR-Ped70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P_allelic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OR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L95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U95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P_trend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rs3853187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THAP6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76510100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0.52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1.20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0.22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rs1841934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THAP6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76650600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2.21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0.29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rs2126854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THAP6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76672173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1.67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0.71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rs9307834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THAP6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76672874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1.41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0.47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rs6535523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THAP6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76681248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0.36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2.40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0.20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rs12649508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THAP6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4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76682113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0.36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1.34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rs3132454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31597623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0.32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2.20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0.36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rs9267464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31598625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0.06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2.42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0.57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rs3093993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31598704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0.19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1.92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0.97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rs3093992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31599110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0.19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1.92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0.97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rs3093988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31600432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2.22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0.69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rs2734574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31601867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0.49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1.28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rs2259435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31604894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0.18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2.12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0.77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rs3130055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31605378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1.94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0.89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rs3219190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31605954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0.14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2.03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0.84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rs2734583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31613459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0.12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2.36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rs2239709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31615426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2.69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0.98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rs2844509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31618903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2.75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0.25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rs2239705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31621381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0.11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3.55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0.17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rs2071591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31623778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0.44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1.27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0.28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rs2523500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31626333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0.25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2.51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rs6916921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31628405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0.08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3.51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0.42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rs6929796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BAT1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31630648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0.25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1.28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0.25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rs11008463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ZEB1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31669807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0.04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7.12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0.09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rs2839657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ZEB1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31695774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0.50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1.55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0.75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rs172683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ZEB1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10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31846015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7.45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0.15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rs600231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MALAT1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11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65017222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1.18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rs3200401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MALAT1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11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65028408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0.25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1.53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0.48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rs17122830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58359507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0.06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3.07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0.84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rs1497474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58360056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1.77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0.98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rs10877327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58360452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2.52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0.64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rs7976956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58365097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2.03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rs1000708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58369755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0.48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1.29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0.25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rs7971953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58376474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0.26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1.35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0.28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rs12231740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58390307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0.28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2.76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0.07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rs2711669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58415239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0.07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3.80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rs2706301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58421669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0.44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1.36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0.36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rs10877333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58442313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0.22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0.98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0.03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lastRenderedPageBreak/>
              <w:t>rs2711655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58452688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0.35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1.84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1.10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3.09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0.02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rs12718000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58455532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0.09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2.33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0.84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rs3763980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58459623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0.23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1.96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1.11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3.44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b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b/>
                <w:color w:val="auto"/>
                <w:szCs w:val="20"/>
              </w:rPr>
              <w:t>0.02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rs10784000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SLC16A7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58467231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0.28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1.75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0.99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rs12931589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NFATC2IP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28886798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T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0.35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0.91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1.56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0.73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rs11150675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NFATC2IP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28888032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A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0.32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1.17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0.16</w:t>
            </w:r>
          </w:p>
        </w:tc>
      </w:tr>
      <w:tr w:rsidR="00FD1B5D" w:rsidRPr="0074627C" w:rsidTr="00465C17">
        <w:trPr>
          <w:trHeight w:val="255"/>
        </w:trPr>
        <w:tc>
          <w:tcPr>
            <w:tcW w:w="137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rs7192056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NFATC2IP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16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28889012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G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0.35</w:t>
            </w: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1.21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2.07</w:t>
            </w:r>
          </w:p>
        </w:tc>
        <w:tc>
          <w:tcPr>
            <w:tcW w:w="963" w:type="dxa"/>
            <w:shd w:val="clear" w:color="auto" w:fill="auto"/>
            <w:noWrap/>
            <w:vAlign w:val="bottom"/>
          </w:tcPr>
          <w:p w:rsidR="00FD1B5D" w:rsidRPr="0074627C" w:rsidRDefault="00FD1B5D" w:rsidP="00465C17">
            <w:pPr>
              <w:jc w:val="right"/>
              <w:rPr>
                <w:rFonts w:ascii="Times New Roman" w:hAnsi="Times New Roman" w:cs="Arial"/>
                <w:color w:val="auto"/>
                <w:szCs w:val="20"/>
              </w:rPr>
            </w:pPr>
            <w:r w:rsidRPr="0074627C">
              <w:rPr>
                <w:rFonts w:ascii="Times New Roman" w:hAnsi="Times New Roman" w:cs="Arial"/>
                <w:color w:val="auto"/>
                <w:szCs w:val="20"/>
              </w:rPr>
              <w:t>0.46</w:t>
            </w:r>
          </w:p>
        </w:tc>
      </w:tr>
    </w:tbl>
    <w:p w:rsidR="00FD1B5D" w:rsidRPr="0074627C" w:rsidRDefault="00FD1B5D" w:rsidP="00FD1B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Verdana"/>
          <w:color w:val="auto"/>
          <w:sz w:val="16"/>
          <w:szCs w:val="16"/>
          <w:lang w:val="en-US" w:bidi="en-US"/>
        </w:rPr>
      </w:pPr>
      <w:r w:rsidRPr="0074627C">
        <w:rPr>
          <w:rFonts w:ascii="Times New Roman" w:hAnsi="Times New Roman" w:cs="Verdana"/>
          <w:color w:val="auto"/>
          <w:sz w:val="16"/>
          <w:szCs w:val="16"/>
          <w:lang w:val="en-US" w:bidi="en-US"/>
        </w:rPr>
        <w:t xml:space="preserve">CHR=chromosome, MAF= minor allele, NR=non-responder, ACRped70= </w:t>
      </w:r>
      <w:r w:rsidRPr="0074627C">
        <w:rPr>
          <w:rFonts w:ascii="Times New Roman" w:hAnsi="Times New Roman"/>
          <w:color w:val="auto"/>
          <w:sz w:val="16"/>
          <w:szCs w:val="16"/>
        </w:rPr>
        <w:t xml:space="preserve">improvements of 70 % in at least 3 of the COVs with no more than </w:t>
      </w:r>
      <w:r w:rsidRPr="0074627C">
        <w:rPr>
          <w:rFonts w:ascii="Times New Roman" w:hAnsi="Times New Roman" w:cs="Helvetica"/>
          <w:color w:val="auto"/>
          <w:sz w:val="16"/>
          <w:szCs w:val="16"/>
          <w:lang w:val="en-US" w:bidi="en-US"/>
        </w:rPr>
        <w:t>1 of the remaining variables worsening by &gt;30%.</w:t>
      </w:r>
    </w:p>
    <w:p w:rsidR="00FD1B5D" w:rsidRPr="0074627C" w:rsidRDefault="00FD1B5D" w:rsidP="00FD1B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Verdana"/>
          <w:color w:val="auto"/>
          <w:sz w:val="16"/>
          <w:szCs w:val="16"/>
          <w:lang w:val="en-US" w:bidi="en-US"/>
        </w:rPr>
      </w:pPr>
      <w:r w:rsidRPr="0074627C">
        <w:rPr>
          <w:rFonts w:ascii="Times New Roman" w:hAnsi="Times New Roman" w:cs="Verdana"/>
          <w:color w:val="auto"/>
          <w:sz w:val="16"/>
          <w:szCs w:val="16"/>
          <w:lang w:val="en-US" w:bidi="en-US"/>
        </w:rPr>
        <w:t>significantly associated SNPs (p&lt;0.05) in bold</w:t>
      </w:r>
    </w:p>
    <w:p w:rsidR="00FD1B5D" w:rsidRPr="0074627C" w:rsidRDefault="00FD1B5D" w:rsidP="00FD1B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Verdana"/>
          <w:color w:val="auto"/>
          <w:sz w:val="16"/>
          <w:szCs w:val="16"/>
          <w:lang w:val="en-US" w:bidi="en-US"/>
        </w:rPr>
      </w:pPr>
    </w:p>
    <w:p w:rsidR="00FD1B5D" w:rsidRPr="0074627C" w:rsidRDefault="00FD1B5D" w:rsidP="00FD1B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Verdana"/>
          <w:color w:val="auto"/>
          <w:sz w:val="16"/>
          <w:szCs w:val="16"/>
          <w:lang w:val="en-US" w:bidi="en-US"/>
        </w:rPr>
      </w:pPr>
    </w:p>
    <w:p w:rsidR="00FD1B5D" w:rsidRPr="0074627C" w:rsidRDefault="00FD1B5D" w:rsidP="00FD1B5D">
      <w:pPr>
        <w:rPr>
          <w:color w:val="auto"/>
        </w:rPr>
      </w:pPr>
    </w:p>
    <w:p w:rsidR="00EA09BB" w:rsidRDefault="00EA09BB"/>
    <w:sectPr w:rsidR="00EA09BB" w:rsidSect="00EA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FD1B5D"/>
    <w:rsid w:val="00EA09BB"/>
    <w:rsid w:val="00FD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5D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ms.renukappa</dc:creator>
  <cp:keywords/>
  <dc:description/>
  <cp:lastModifiedBy>ms.renukappa</cp:lastModifiedBy>
  <cp:revision>1</cp:revision>
  <dcterms:created xsi:type="dcterms:W3CDTF">2010-08-10T05:46:00Z</dcterms:created>
  <dcterms:modified xsi:type="dcterms:W3CDTF">2010-08-10T05:47:00Z</dcterms:modified>
</cp:coreProperties>
</file>