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AD" w:rsidRPr="00133579" w:rsidRDefault="00CA75AD" w:rsidP="00DD0027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0" w:name="_Toc409621122"/>
      <w:r w:rsidRPr="00133579">
        <w:rPr>
          <w:rFonts w:ascii="Times New Roman" w:hAnsi="Times New Roman" w:cs="Times New Roman"/>
          <w:color w:val="auto"/>
          <w:sz w:val="24"/>
        </w:rPr>
        <w:t>Results of re-genotyping of flagged SNPs</w:t>
      </w:r>
      <w:bookmarkEnd w:id="0"/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8"/>
        <w:gridCol w:w="630"/>
        <w:gridCol w:w="719"/>
        <w:gridCol w:w="812"/>
        <w:gridCol w:w="901"/>
        <w:gridCol w:w="899"/>
        <w:gridCol w:w="1083"/>
        <w:gridCol w:w="986"/>
        <w:gridCol w:w="1441"/>
        <w:gridCol w:w="2163"/>
        <w:gridCol w:w="2264"/>
      </w:tblGrid>
      <w:tr w:rsidR="00D413ED" w:rsidRPr="00CA75AD" w:rsidTr="00D413ED">
        <w:trPr>
          <w:trHeight w:val="288"/>
        </w:trPr>
        <w:tc>
          <w:tcPr>
            <w:tcW w:w="485" w:type="pct"/>
            <w:vMerge w:val="restart"/>
            <w:hideMark/>
          </w:tcPr>
          <w:p w:rsidR="00D413ED" w:rsidRPr="00CA75AD" w:rsidRDefault="00D413ED" w:rsidP="00D4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bCs/>
                <w:sz w:val="20"/>
                <w:szCs w:val="20"/>
              </w:rPr>
              <w:t>SNP</w:t>
            </w:r>
          </w:p>
        </w:tc>
        <w:tc>
          <w:tcPr>
            <w:tcW w:w="239" w:type="pct"/>
            <w:vMerge w:val="restart"/>
            <w:hideMark/>
          </w:tcPr>
          <w:p w:rsidR="00D413ED" w:rsidRPr="00CA75AD" w:rsidRDefault="00D413ED" w:rsidP="00D4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5AD">
              <w:rPr>
                <w:rFonts w:ascii="Times New Roman" w:hAnsi="Times New Roman" w:cs="Times New Roman"/>
                <w:bCs/>
                <w:sz w:val="20"/>
                <w:szCs w:val="20"/>
              </w:rPr>
              <w:t>Maj</w:t>
            </w:r>
            <w:proofErr w:type="spellEnd"/>
            <w:r w:rsidRPr="00CA75AD">
              <w:rPr>
                <w:rFonts w:ascii="Times New Roman" w:hAnsi="Times New Roman" w:cs="Times New Roman"/>
                <w:bCs/>
                <w:sz w:val="20"/>
                <w:szCs w:val="20"/>
              </w:rPr>
              <w:t>/Min</w:t>
            </w:r>
          </w:p>
        </w:tc>
        <w:tc>
          <w:tcPr>
            <w:tcW w:w="1264" w:type="pct"/>
            <w:gridSpan w:val="4"/>
            <w:tcBorders>
              <w:bottom w:val="single" w:sz="4" w:space="0" w:color="auto"/>
            </w:tcBorders>
            <w:hideMark/>
          </w:tcPr>
          <w:p w:rsidR="00D413ED" w:rsidRPr="00CA75AD" w:rsidRDefault="00D413ED" w:rsidP="00D4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bCs/>
                <w:sz w:val="20"/>
                <w:szCs w:val="20"/>
              </w:rPr>
              <w:t>MAF</w:t>
            </w:r>
            <w:r w:rsidRPr="00D413E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11" w:type="pct"/>
            <w:vMerge w:val="restart"/>
            <w:hideMark/>
          </w:tcPr>
          <w:p w:rsidR="00D413ED" w:rsidRPr="00CA75AD" w:rsidRDefault="00D413ED" w:rsidP="00D4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Pr="00D413E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ST</w:t>
            </w:r>
          </w:p>
          <w:p w:rsidR="00D413ED" w:rsidRPr="00CA75AD" w:rsidRDefault="00D413ED" w:rsidP="00D4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bCs/>
                <w:sz w:val="20"/>
                <w:szCs w:val="20"/>
              </w:rPr>
              <w:t>(SL-STU)</w:t>
            </w:r>
          </w:p>
        </w:tc>
        <w:tc>
          <w:tcPr>
            <w:tcW w:w="1742" w:type="pct"/>
            <w:gridSpan w:val="3"/>
            <w:tcBorders>
              <w:bottom w:val="single" w:sz="4" w:space="0" w:color="auto"/>
            </w:tcBorders>
          </w:tcPr>
          <w:p w:rsidR="00D413ED" w:rsidRPr="00CA75AD" w:rsidRDefault="00D413ED" w:rsidP="00D4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bCs/>
                <w:sz w:val="20"/>
                <w:szCs w:val="20"/>
              </w:rPr>
              <w:t>Re-genotyping</w:t>
            </w:r>
          </w:p>
        </w:tc>
        <w:tc>
          <w:tcPr>
            <w:tcW w:w="859" w:type="pct"/>
            <w:vMerge w:val="restart"/>
            <w:hideMark/>
          </w:tcPr>
          <w:p w:rsidR="00D413ED" w:rsidRPr="00CA75AD" w:rsidRDefault="00D413ED" w:rsidP="00D4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bCs/>
                <w:sz w:val="20"/>
                <w:szCs w:val="20"/>
              </w:rPr>
              <w:t>Action</w:t>
            </w:r>
          </w:p>
        </w:tc>
      </w:tr>
      <w:tr w:rsidR="00D413ED" w:rsidRPr="00CA75AD" w:rsidTr="00F25F42">
        <w:trPr>
          <w:trHeight w:val="288"/>
        </w:trPr>
        <w:tc>
          <w:tcPr>
            <w:tcW w:w="485" w:type="pct"/>
            <w:vMerge/>
            <w:tcBorders>
              <w:bottom w:val="single" w:sz="4" w:space="0" w:color="auto"/>
            </w:tcBorders>
            <w:hideMark/>
          </w:tcPr>
          <w:p w:rsidR="00D413ED" w:rsidRPr="00CA75AD" w:rsidRDefault="00D413ED" w:rsidP="00D4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hideMark/>
          </w:tcPr>
          <w:p w:rsidR="00D413ED" w:rsidRPr="00CA75AD" w:rsidRDefault="00D413ED" w:rsidP="00D4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413ED" w:rsidRPr="00CA75AD" w:rsidRDefault="00D413ED" w:rsidP="00D4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Sinha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413ED" w:rsidRPr="00CA75AD" w:rsidRDefault="00D413ED" w:rsidP="00D4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Tamils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413ED" w:rsidRPr="00CA75AD" w:rsidRDefault="00D413ED" w:rsidP="00D4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Moors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413ED" w:rsidRPr="00CA75AD" w:rsidRDefault="00D413ED" w:rsidP="00D4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STU</w:t>
            </w: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hideMark/>
          </w:tcPr>
          <w:p w:rsidR="00D413ED" w:rsidRPr="00CA75AD" w:rsidRDefault="00D413ED" w:rsidP="00D4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D413ED" w:rsidRPr="00CA75AD" w:rsidRDefault="00D413ED" w:rsidP="00D4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Method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413ED" w:rsidRDefault="00D413ED" w:rsidP="00D4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n</w:t>
            </w:r>
            <w:r w:rsidRPr="00D413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  <w:p w:rsidR="00D413ED" w:rsidRPr="00CA75AD" w:rsidRDefault="00D413ED" w:rsidP="00D4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successful)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413ED" w:rsidRPr="00CA75AD" w:rsidRDefault="00D413ED" w:rsidP="00D4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Result</w:t>
            </w:r>
          </w:p>
        </w:tc>
        <w:tc>
          <w:tcPr>
            <w:tcW w:w="859" w:type="pct"/>
            <w:vMerge/>
            <w:tcBorders>
              <w:bottom w:val="single" w:sz="4" w:space="0" w:color="auto"/>
            </w:tcBorders>
            <w:hideMark/>
          </w:tcPr>
          <w:p w:rsidR="00D413ED" w:rsidRPr="00CA75AD" w:rsidRDefault="00D413ED" w:rsidP="00D41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ED" w:rsidRPr="00CA75AD" w:rsidTr="00F25F42">
        <w:trPr>
          <w:trHeight w:val="288"/>
        </w:trPr>
        <w:tc>
          <w:tcPr>
            <w:tcW w:w="485" w:type="pct"/>
            <w:tcBorders>
              <w:top w:val="single" w:sz="4" w:space="0" w:color="auto"/>
              <w:bottom w:val="nil"/>
            </w:tcBorders>
            <w:hideMark/>
          </w:tcPr>
          <w:p w:rsidR="00D413ED" w:rsidRPr="00CA75AD" w:rsidRDefault="00D413ED" w:rsidP="00D4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 xml:space="preserve">rs12233719 </w:t>
            </w:r>
          </w:p>
        </w:tc>
        <w:tc>
          <w:tcPr>
            <w:tcW w:w="239" w:type="pct"/>
            <w:tcBorders>
              <w:top w:val="single" w:sz="4" w:space="0" w:color="auto"/>
              <w:bottom w:val="nil"/>
            </w:tcBorders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A/C</w:t>
            </w:r>
          </w:p>
        </w:tc>
        <w:tc>
          <w:tcPr>
            <w:tcW w:w="273" w:type="pct"/>
            <w:tcBorders>
              <w:top w:val="single" w:sz="4" w:space="0" w:color="auto"/>
              <w:bottom w:val="nil"/>
            </w:tcBorders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bottom w:val="nil"/>
            </w:tcBorders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bottom w:val="nil"/>
            </w:tcBorders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bottom w:val="nil"/>
            </w:tcBorders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0.995</w:t>
            </w:r>
          </w:p>
        </w:tc>
        <w:tc>
          <w:tcPr>
            <w:tcW w:w="411" w:type="pct"/>
            <w:tcBorders>
              <w:top w:val="single" w:sz="4" w:space="0" w:color="auto"/>
              <w:bottom w:val="nil"/>
            </w:tcBorders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0.993</w:t>
            </w:r>
          </w:p>
        </w:tc>
        <w:tc>
          <w:tcPr>
            <w:tcW w:w="374" w:type="pct"/>
            <w:tcBorders>
              <w:top w:val="single" w:sz="4" w:space="0" w:color="auto"/>
              <w:bottom w:val="nil"/>
            </w:tcBorders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bottom w:val="nil"/>
            </w:tcBorders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821" w:type="pct"/>
            <w:tcBorders>
              <w:top w:val="single" w:sz="4" w:space="0" w:color="auto"/>
              <w:bottom w:val="nil"/>
            </w:tcBorders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All GG</w:t>
            </w:r>
          </w:p>
        </w:tc>
        <w:tc>
          <w:tcPr>
            <w:tcW w:w="859" w:type="pct"/>
            <w:tcBorders>
              <w:top w:val="single" w:sz="4" w:space="0" w:color="auto"/>
              <w:bottom w:val="nil"/>
            </w:tcBorders>
            <w:hideMark/>
          </w:tcPr>
          <w:p w:rsidR="00D413ED" w:rsidRPr="00CA75AD" w:rsidRDefault="00D413ED" w:rsidP="00D4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Amend genotypes</w:t>
            </w: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 xml:space="preserve"> to CC </w:t>
            </w:r>
          </w:p>
        </w:tc>
      </w:tr>
      <w:tr w:rsidR="00D413ED" w:rsidRPr="00CA75AD" w:rsidTr="00F25F42">
        <w:trPr>
          <w:trHeight w:val="288"/>
        </w:trPr>
        <w:tc>
          <w:tcPr>
            <w:tcW w:w="485" w:type="pct"/>
            <w:tcBorders>
              <w:top w:val="nil"/>
            </w:tcBorders>
            <w:hideMark/>
          </w:tcPr>
          <w:p w:rsidR="00D413ED" w:rsidRPr="00CA75AD" w:rsidRDefault="00D413ED" w:rsidP="00D4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 xml:space="preserve">rs6824108 </w:t>
            </w:r>
          </w:p>
        </w:tc>
        <w:tc>
          <w:tcPr>
            <w:tcW w:w="239" w:type="pct"/>
            <w:tcBorders>
              <w:top w:val="nil"/>
            </w:tcBorders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G/A</w:t>
            </w:r>
          </w:p>
        </w:tc>
        <w:tc>
          <w:tcPr>
            <w:tcW w:w="273" w:type="pct"/>
            <w:tcBorders>
              <w:top w:val="nil"/>
            </w:tcBorders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nil"/>
            </w:tcBorders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</w:tcBorders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</w:tcBorders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0.908</w:t>
            </w:r>
          </w:p>
        </w:tc>
        <w:tc>
          <w:tcPr>
            <w:tcW w:w="411" w:type="pct"/>
            <w:tcBorders>
              <w:top w:val="nil"/>
            </w:tcBorders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0.948</w:t>
            </w:r>
          </w:p>
        </w:tc>
        <w:tc>
          <w:tcPr>
            <w:tcW w:w="374" w:type="pct"/>
            <w:tcBorders>
              <w:top w:val="nil"/>
            </w:tcBorders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  <w:proofErr w:type="spellEnd"/>
          </w:p>
        </w:tc>
        <w:tc>
          <w:tcPr>
            <w:tcW w:w="547" w:type="pct"/>
            <w:tcBorders>
              <w:top w:val="nil"/>
            </w:tcBorders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10 (9)</w:t>
            </w:r>
          </w:p>
        </w:tc>
        <w:tc>
          <w:tcPr>
            <w:tcW w:w="821" w:type="pct"/>
            <w:tcBorders>
              <w:top w:val="nil"/>
            </w:tcBorders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Discordant</w:t>
            </w:r>
          </w:p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(2 CT, 7 TT)</w:t>
            </w:r>
          </w:p>
        </w:tc>
        <w:tc>
          <w:tcPr>
            <w:tcW w:w="859" w:type="pct"/>
            <w:tcBorders>
              <w:top w:val="nil"/>
            </w:tcBorders>
            <w:hideMark/>
          </w:tcPr>
          <w:p w:rsidR="00D413ED" w:rsidRPr="00CA75AD" w:rsidRDefault="00D413ED" w:rsidP="00D4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 xml:space="preserve">Exclude </w:t>
            </w:r>
          </w:p>
        </w:tc>
      </w:tr>
      <w:tr w:rsidR="00D413ED" w:rsidRPr="00CA75AD" w:rsidTr="00F25F42">
        <w:trPr>
          <w:trHeight w:val="288"/>
        </w:trPr>
        <w:tc>
          <w:tcPr>
            <w:tcW w:w="485" w:type="pct"/>
            <w:hideMark/>
          </w:tcPr>
          <w:p w:rsidR="00D413ED" w:rsidRPr="00CA75AD" w:rsidRDefault="00D413ED" w:rsidP="00D4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 xml:space="preserve">rs4148434 </w:t>
            </w:r>
          </w:p>
        </w:tc>
        <w:tc>
          <w:tcPr>
            <w:tcW w:w="239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A/G</w:t>
            </w:r>
          </w:p>
        </w:tc>
        <w:tc>
          <w:tcPr>
            <w:tcW w:w="273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0.691</w:t>
            </w:r>
          </w:p>
        </w:tc>
        <w:tc>
          <w:tcPr>
            <w:tcW w:w="411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0.627</w:t>
            </w:r>
          </w:p>
        </w:tc>
        <w:tc>
          <w:tcPr>
            <w:tcW w:w="374" w:type="pct"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Taqman</w:t>
            </w:r>
            <w:proofErr w:type="spellEnd"/>
          </w:p>
        </w:tc>
        <w:tc>
          <w:tcPr>
            <w:tcW w:w="547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125 (118)</w:t>
            </w:r>
          </w:p>
        </w:tc>
        <w:tc>
          <w:tcPr>
            <w:tcW w:w="821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Discordant</w:t>
            </w:r>
          </w:p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(55CC, 53CT, 10TT)</w:t>
            </w:r>
          </w:p>
        </w:tc>
        <w:tc>
          <w:tcPr>
            <w:tcW w:w="859" w:type="pct"/>
            <w:hideMark/>
          </w:tcPr>
          <w:p w:rsidR="00D413ED" w:rsidRPr="00CA75AD" w:rsidRDefault="00D413ED" w:rsidP="00D4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 xml:space="preserve">Exclude original data but use MAF from </w:t>
            </w:r>
            <w:proofErr w:type="spellStart"/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Taqman</w:t>
            </w:r>
            <w:proofErr w:type="spellEnd"/>
            <w:r w:rsidRPr="00CA7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13ED" w:rsidRPr="00CA75AD" w:rsidTr="00F25F42">
        <w:trPr>
          <w:trHeight w:val="288"/>
        </w:trPr>
        <w:tc>
          <w:tcPr>
            <w:tcW w:w="485" w:type="pct"/>
            <w:hideMark/>
          </w:tcPr>
          <w:p w:rsidR="00D413ED" w:rsidRPr="00CA75AD" w:rsidRDefault="00D413ED" w:rsidP="00D4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 xml:space="preserve">rs1292096 </w:t>
            </w:r>
          </w:p>
        </w:tc>
        <w:tc>
          <w:tcPr>
            <w:tcW w:w="239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G/A</w:t>
            </w:r>
          </w:p>
        </w:tc>
        <w:tc>
          <w:tcPr>
            <w:tcW w:w="273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0.221</w:t>
            </w:r>
          </w:p>
        </w:tc>
        <w:tc>
          <w:tcPr>
            <w:tcW w:w="411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374" w:type="pct"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Taqman</w:t>
            </w:r>
            <w:proofErr w:type="spellEnd"/>
          </w:p>
        </w:tc>
        <w:tc>
          <w:tcPr>
            <w:tcW w:w="547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F25F42">
              <w:rPr>
                <w:rFonts w:ascii="Times New Roman" w:hAnsi="Times New Roman" w:cs="Times New Roman"/>
                <w:sz w:val="20"/>
                <w:szCs w:val="20"/>
              </w:rPr>
              <w:t xml:space="preserve"> (117)</w:t>
            </w:r>
          </w:p>
        </w:tc>
        <w:tc>
          <w:tcPr>
            <w:tcW w:w="821" w:type="pct"/>
            <w:hideMark/>
          </w:tcPr>
          <w:p w:rsidR="00D413ED" w:rsidRDefault="00F25F42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Discordant</w:t>
            </w:r>
          </w:p>
          <w:p w:rsidR="00F25F42" w:rsidRPr="00CA75AD" w:rsidRDefault="00F25F42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(69GG, 36GA, 10AA)</w:t>
            </w:r>
          </w:p>
        </w:tc>
        <w:tc>
          <w:tcPr>
            <w:tcW w:w="859" w:type="pct"/>
            <w:hideMark/>
          </w:tcPr>
          <w:p w:rsidR="00D413ED" w:rsidRPr="00CA75AD" w:rsidRDefault="00D413ED" w:rsidP="00D4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 xml:space="preserve">Exclude original data but use MAF from </w:t>
            </w:r>
            <w:proofErr w:type="spellStart"/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Taqman</w:t>
            </w:r>
            <w:proofErr w:type="spellEnd"/>
          </w:p>
        </w:tc>
      </w:tr>
      <w:tr w:rsidR="00D413ED" w:rsidRPr="00CA75AD" w:rsidTr="00F25F42">
        <w:trPr>
          <w:trHeight w:val="288"/>
        </w:trPr>
        <w:tc>
          <w:tcPr>
            <w:tcW w:w="485" w:type="pct"/>
            <w:hideMark/>
          </w:tcPr>
          <w:p w:rsidR="00D413ED" w:rsidRPr="00CA75AD" w:rsidRDefault="00D413ED" w:rsidP="00D4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 xml:space="preserve">rs429358 </w:t>
            </w:r>
          </w:p>
        </w:tc>
        <w:tc>
          <w:tcPr>
            <w:tcW w:w="239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A/G</w:t>
            </w:r>
          </w:p>
        </w:tc>
        <w:tc>
          <w:tcPr>
            <w:tcW w:w="273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0.132</w:t>
            </w:r>
          </w:p>
        </w:tc>
        <w:tc>
          <w:tcPr>
            <w:tcW w:w="411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0.102</w:t>
            </w:r>
          </w:p>
        </w:tc>
        <w:tc>
          <w:tcPr>
            <w:tcW w:w="374" w:type="pct"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Taqman</w:t>
            </w:r>
            <w:proofErr w:type="spellEnd"/>
          </w:p>
        </w:tc>
        <w:tc>
          <w:tcPr>
            <w:tcW w:w="547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125 (115)</w:t>
            </w:r>
          </w:p>
        </w:tc>
        <w:tc>
          <w:tcPr>
            <w:tcW w:w="821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Discordant</w:t>
            </w:r>
          </w:p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(95TT, 18CT, 2CC)</w:t>
            </w:r>
          </w:p>
        </w:tc>
        <w:tc>
          <w:tcPr>
            <w:tcW w:w="859" w:type="pct"/>
            <w:hideMark/>
          </w:tcPr>
          <w:p w:rsidR="00D413ED" w:rsidRPr="00CA75AD" w:rsidRDefault="00D413ED" w:rsidP="00D4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 xml:space="preserve">Exclude original data but use MAF from </w:t>
            </w:r>
            <w:proofErr w:type="spellStart"/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Taqman</w:t>
            </w:r>
            <w:proofErr w:type="spellEnd"/>
            <w:r w:rsidRPr="00CA7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13ED" w:rsidRPr="00CA75AD" w:rsidTr="00F25F42">
        <w:trPr>
          <w:trHeight w:val="288"/>
        </w:trPr>
        <w:tc>
          <w:tcPr>
            <w:tcW w:w="485" w:type="pct"/>
            <w:hideMark/>
          </w:tcPr>
          <w:p w:rsidR="00D413ED" w:rsidRPr="00CA75AD" w:rsidRDefault="00D413ED" w:rsidP="00D4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 xml:space="preserve">rs609290 </w:t>
            </w:r>
          </w:p>
        </w:tc>
        <w:tc>
          <w:tcPr>
            <w:tcW w:w="239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G/A</w:t>
            </w:r>
          </w:p>
        </w:tc>
        <w:tc>
          <w:tcPr>
            <w:tcW w:w="273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0.102</w:t>
            </w:r>
          </w:p>
        </w:tc>
        <w:tc>
          <w:tcPr>
            <w:tcW w:w="308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0.097</w:t>
            </w:r>
          </w:p>
        </w:tc>
        <w:tc>
          <w:tcPr>
            <w:tcW w:w="342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  <w:tc>
          <w:tcPr>
            <w:tcW w:w="341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0.270</w:t>
            </w:r>
          </w:p>
        </w:tc>
        <w:tc>
          <w:tcPr>
            <w:tcW w:w="411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0.066</w:t>
            </w:r>
          </w:p>
        </w:tc>
        <w:tc>
          <w:tcPr>
            <w:tcW w:w="374" w:type="pct"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Taqman</w:t>
            </w:r>
            <w:proofErr w:type="spellEnd"/>
          </w:p>
        </w:tc>
        <w:tc>
          <w:tcPr>
            <w:tcW w:w="547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125 (119)</w:t>
            </w:r>
          </w:p>
        </w:tc>
        <w:tc>
          <w:tcPr>
            <w:tcW w:w="821" w:type="pct"/>
            <w:hideMark/>
          </w:tcPr>
          <w:p w:rsidR="00D413ED" w:rsidRPr="00CA75AD" w:rsidRDefault="00D413ED" w:rsidP="00ED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>Concordant</w:t>
            </w:r>
          </w:p>
        </w:tc>
        <w:tc>
          <w:tcPr>
            <w:tcW w:w="859" w:type="pct"/>
            <w:hideMark/>
          </w:tcPr>
          <w:p w:rsidR="00D413ED" w:rsidRPr="00CA75AD" w:rsidRDefault="00D413ED" w:rsidP="00D4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5AD">
              <w:rPr>
                <w:rFonts w:ascii="Times New Roman" w:hAnsi="Times New Roman" w:cs="Times New Roman"/>
                <w:sz w:val="20"/>
                <w:szCs w:val="20"/>
              </w:rPr>
              <w:t xml:space="preserve">Keep </w:t>
            </w:r>
          </w:p>
        </w:tc>
      </w:tr>
    </w:tbl>
    <w:p w:rsidR="00D413ED" w:rsidRPr="00FB35FF" w:rsidRDefault="00D413ED" w:rsidP="00D413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35FF">
        <w:rPr>
          <w:rFonts w:ascii="Times New Roman" w:hAnsi="Times New Roman" w:cs="Times New Roman"/>
          <w:sz w:val="24"/>
          <w:szCs w:val="24"/>
        </w:rPr>
        <w:t>Maj</w:t>
      </w:r>
      <w:proofErr w:type="spellEnd"/>
      <w:r w:rsidRPr="00FB35FF">
        <w:rPr>
          <w:rFonts w:ascii="Times New Roman" w:hAnsi="Times New Roman" w:cs="Times New Roman"/>
          <w:sz w:val="24"/>
          <w:szCs w:val="24"/>
        </w:rPr>
        <w:t xml:space="preserve">: major allele, Min: minor allele, MAF: minor allele frequency, </w:t>
      </w:r>
      <w:proofErr w:type="spellStart"/>
      <w:r w:rsidRPr="00FB35FF">
        <w:rPr>
          <w:rFonts w:ascii="Times New Roman" w:hAnsi="Times New Roman" w:cs="Times New Roman"/>
          <w:sz w:val="24"/>
          <w:szCs w:val="24"/>
        </w:rPr>
        <w:t>Sinha</w:t>
      </w:r>
      <w:proofErr w:type="spellEnd"/>
      <w:r w:rsidRPr="00FB35FF">
        <w:rPr>
          <w:rFonts w:ascii="Times New Roman" w:hAnsi="Times New Roman" w:cs="Times New Roman"/>
          <w:sz w:val="24"/>
          <w:szCs w:val="24"/>
        </w:rPr>
        <w:t xml:space="preserve">: Sinhalese, </w:t>
      </w:r>
      <w:proofErr w:type="spellStart"/>
      <w:r w:rsidRPr="00FB35FF">
        <w:rPr>
          <w:rFonts w:ascii="Times New Roman" w:hAnsi="Times New Roman" w:cs="Times New Roman"/>
          <w:sz w:val="24"/>
          <w:szCs w:val="24"/>
        </w:rPr>
        <w:t>Seq</w:t>
      </w:r>
      <w:proofErr w:type="spellEnd"/>
      <w:r w:rsidRPr="00FB35FF">
        <w:rPr>
          <w:rFonts w:ascii="Times New Roman" w:hAnsi="Times New Roman" w:cs="Times New Roman"/>
          <w:sz w:val="24"/>
          <w:szCs w:val="24"/>
        </w:rPr>
        <w:t xml:space="preserve">: Sanger sequencing </w:t>
      </w:r>
    </w:p>
    <w:p w:rsidR="00A65EBB" w:rsidRPr="005F6D7E" w:rsidRDefault="00D413ED" w:rsidP="005F6D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5F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B35FF">
        <w:rPr>
          <w:rFonts w:ascii="Times New Roman" w:hAnsi="Times New Roman" w:cs="Times New Roman"/>
          <w:sz w:val="24"/>
          <w:szCs w:val="24"/>
        </w:rPr>
        <w:t xml:space="preserve">MAF from dataset after merging, </w:t>
      </w:r>
      <w:r w:rsidRPr="00FB35FF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FB35FF">
        <w:rPr>
          <w:rFonts w:ascii="Times New Roman" w:hAnsi="Times New Roman" w:cs="Times New Roman"/>
          <w:sz w:val="24"/>
          <w:szCs w:val="24"/>
        </w:rPr>
        <w:t>rs12233719 and rs6824108 were susp</w:t>
      </w:r>
      <w:r w:rsidR="00ED6EF2">
        <w:rPr>
          <w:rFonts w:ascii="Times New Roman" w:hAnsi="Times New Roman" w:cs="Times New Roman"/>
          <w:sz w:val="24"/>
          <w:szCs w:val="24"/>
        </w:rPr>
        <w:t>ected to be allele flips and thu</w:t>
      </w:r>
      <w:r w:rsidRPr="00FB35FF">
        <w:rPr>
          <w:rFonts w:ascii="Times New Roman" w:hAnsi="Times New Roman" w:cs="Times New Roman"/>
          <w:sz w:val="24"/>
          <w:szCs w:val="24"/>
        </w:rPr>
        <w:t xml:space="preserve">s only 10 random </w:t>
      </w:r>
      <w:r w:rsidR="00ED6EF2">
        <w:rPr>
          <w:rFonts w:ascii="Times New Roman" w:hAnsi="Times New Roman" w:cs="Times New Roman"/>
          <w:sz w:val="24"/>
          <w:szCs w:val="24"/>
        </w:rPr>
        <w:t xml:space="preserve">Sri Lankan (SL) </w:t>
      </w:r>
      <w:r w:rsidRPr="00FB35FF">
        <w:rPr>
          <w:rFonts w:ascii="Times New Roman" w:hAnsi="Times New Roman" w:cs="Times New Roman"/>
          <w:sz w:val="24"/>
          <w:szCs w:val="24"/>
        </w:rPr>
        <w:t xml:space="preserve">samples were chosen for sequencing. </w:t>
      </w:r>
      <w:r w:rsidR="00FB35FF" w:rsidRPr="00FB35FF">
        <w:rPr>
          <w:rFonts w:ascii="Times New Roman" w:hAnsi="Times New Roman" w:cs="Times New Roman"/>
          <w:sz w:val="24"/>
          <w:szCs w:val="24"/>
        </w:rPr>
        <w:t xml:space="preserve">The other 4 SNPs were genotyped by </w:t>
      </w:r>
      <w:proofErr w:type="spellStart"/>
      <w:r w:rsidR="00FB35FF" w:rsidRPr="00FB35FF">
        <w:rPr>
          <w:rFonts w:ascii="Times New Roman" w:hAnsi="Times New Roman" w:cs="Times New Roman"/>
          <w:sz w:val="24"/>
          <w:szCs w:val="24"/>
        </w:rPr>
        <w:t>Taqman</w:t>
      </w:r>
      <w:proofErr w:type="spellEnd"/>
      <w:r w:rsidR="00FB35FF" w:rsidRPr="00FB35FF">
        <w:rPr>
          <w:rFonts w:ascii="Times New Roman" w:hAnsi="Times New Roman" w:cs="Times New Roman"/>
          <w:sz w:val="24"/>
          <w:szCs w:val="24"/>
        </w:rPr>
        <w:t xml:space="preserve"> in 125 </w:t>
      </w:r>
      <w:r w:rsidR="00ED6EF2">
        <w:rPr>
          <w:rFonts w:ascii="Times New Roman" w:hAnsi="Times New Roman" w:cs="Times New Roman"/>
          <w:sz w:val="24"/>
          <w:szCs w:val="24"/>
        </w:rPr>
        <w:t xml:space="preserve">SL </w:t>
      </w:r>
      <w:r w:rsidR="00FB35FF" w:rsidRPr="00FB35FF">
        <w:rPr>
          <w:rFonts w:ascii="Times New Roman" w:hAnsi="Times New Roman" w:cs="Times New Roman"/>
          <w:sz w:val="24"/>
          <w:szCs w:val="24"/>
        </w:rPr>
        <w:t xml:space="preserve">samples with DNA remaining. </w:t>
      </w:r>
      <w:proofErr w:type="gramStart"/>
      <w:r w:rsidR="00FB35FF" w:rsidRPr="00FB35FF">
        <w:rPr>
          <w:rFonts w:ascii="Times New Roman" w:hAnsi="Times New Roman" w:cs="Times New Roman"/>
          <w:sz w:val="24"/>
          <w:szCs w:val="24"/>
        </w:rPr>
        <w:t>rs6824108</w:t>
      </w:r>
      <w:proofErr w:type="gramEnd"/>
      <w:r w:rsidR="00FB35FF" w:rsidRPr="00FB35FF">
        <w:rPr>
          <w:rFonts w:ascii="Times New Roman" w:hAnsi="Times New Roman" w:cs="Times New Roman"/>
          <w:sz w:val="24"/>
          <w:szCs w:val="24"/>
        </w:rPr>
        <w:t xml:space="preserve"> was excluded from all analyses. rs4148434, rs1292096 and rs429358 were excluded from PCA and STRUCTURE analyses but MAF from </w:t>
      </w:r>
      <w:proofErr w:type="spellStart"/>
      <w:r w:rsidR="00FB35FF" w:rsidRPr="00FB35FF">
        <w:rPr>
          <w:rFonts w:ascii="Times New Roman" w:hAnsi="Times New Roman" w:cs="Times New Roman"/>
          <w:sz w:val="24"/>
          <w:szCs w:val="24"/>
        </w:rPr>
        <w:t>Taqman</w:t>
      </w:r>
      <w:proofErr w:type="spellEnd"/>
      <w:r w:rsidR="00FB35FF" w:rsidRPr="00FB35FF">
        <w:rPr>
          <w:rFonts w:ascii="Times New Roman" w:hAnsi="Times New Roman" w:cs="Times New Roman"/>
          <w:sz w:val="24"/>
          <w:szCs w:val="24"/>
        </w:rPr>
        <w:t xml:space="preserve"> genotyping included for F</w:t>
      </w:r>
      <w:r w:rsidR="00FB35FF" w:rsidRPr="00FB35FF">
        <w:rPr>
          <w:rFonts w:ascii="Times New Roman" w:hAnsi="Times New Roman" w:cs="Times New Roman"/>
          <w:sz w:val="24"/>
          <w:szCs w:val="24"/>
          <w:vertAlign w:val="subscript"/>
        </w:rPr>
        <w:t>ST</w:t>
      </w:r>
      <w:r w:rsidR="00FB35FF" w:rsidRPr="00FB35FF">
        <w:rPr>
          <w:rFonts w:ascii="Times New Roman" w:hAnsi="Times New Roman" w:cs="Times New Roman"/>
          <w:sz w:val="24"/>
          <w:szCs w:val="24"/>
        </w:rPr>
        <w:t xml:space="preserve"> analyses</w:t>
      </w:r>
      <w:r w:rsidR="005F6D7E">
        <w:rPr>
          <w:rFonts w:ascii="Times New Roman" w:hAnsi="Times New Roman" w:cs="Times New Roman"/>
          <w:sz w:val="24"/>
          <w:szCs w:val="24"/>
        </w:rPr>
        <w:t xml:space="preserve"> (see Supplemental Digital Content 1</w:t>
      </w:r>
      <w:r w:rsidR="00FB35FF">
        <w:rPr>
          <w:rFonts w:ascii="Times New Roman" w:hAnsi="Times New Roman" w:cs="Times New Roman"/>
          <w:sz w:val="24"/>
          <w:szCs w:val="24"/>
        </w:rPr>
        <w:t>)</w:t>
      </w:r>
      <w:r w:rsidR="00FB35FF" w:rsidRPr="00FB35FF">
        <w:rPr>
          <w:rFonts w:ascii="Times New Roman" w:hAnsi="Times New Roman" w:cs="Times New Roman"/>
          <w:sz w:val="24"/>
          <w:szCs w:val="24"/>
        </w:rPr>
        <w:t>.</w:t>
      </w:r>
      <w:r w:rsidRPr="00FB35F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5EBB" w:rsidRPr="005F6D7E" w:rsidSect="00A527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4770"/>
    <w:rsid w:val="000226AC"/>
    <w:rsid w:val="00035412"/>
    <w:rsid w:val="00066ABA"/>
    <w:rsid w:val="00070CE2"/>
    <w:rsid w:val="000C6CDA"/>
    <w:rsid w:val="000E5EC4"/>
    <w:rsid w:val="001100DD"/>
    <w:rsid w:val="00133579"/>
    <w:rsid w:val="0019589A"/>
    <w:rsid w:val="001A64C1"/>
    <w:rsid w:val="002263EF"/>
    <w:rsid w:val="00237671"/>
    <w:rsid w:val="002A3D11"/>
    <w:rsid w:val="002D15AD"/>
    <w:rsid w:val="002D2758"/>
    <w:rsid w:val="002E083E"/>
    <w:rsid w:val="003378F2"/>
    <w:rsid w:val="003538A3"/>
    <w:rsid w:val="003D7BA2"/>
    <w:rsid w:val="003F544F"/>
    <w:rsid w:val="004039BA"/>
    <w:rsid w:val="00406ED7"/>
    <w:rsid w:val="004305C4"/>
    <w:rsid w:val="00454721"/>
    <w:rsid w:val="00466B42"/>
    <w:rsid w:val="00507A82"/>
    <w:rsid w:val="00583FF0"/>
    <w:rsid w:val="005F6D7E"/>
    <w:rsid w:val="006537F9"/>
    <w:rsid w:val="00660742"/>
    <w:rsid w:val="006B5805"/>
    <w:rsid w:val="006F4ED3"/>
    <w:rsid w:val="00743E2E"/>
    <w:rsid w:val="00794465"/>
    <w:rsid w:val="007A7E80"/>
    <w:rsid w:val="008665D0"/>
    <w:rsid w:val="00867A5C"/>
    <w:rsid w:val="00882B5C"/>
    <w:rsid w:val="0089778B"/>
    <w:rsid w:val="008A7E05"/>
    <w:rsid w:val="008D7DFF"/>
    <w:rsid w:val="00995B93"/>
    <w:rsid w:val="00A52723"/>
    <w:rsid w:val="00A65EBB"/>
    <w:rsid w:val="00B241A1"/>
    <w:rsid w:val="00B5129F"/>
    <w:rsid w:val="00B90C33"/>
    <w:rsid w:val="00C02D4C"/>
    <w:rsid w:val="00C8196D"/>
    <w:rsid w:val="00CA75AD"/>
    <w:rsid w:val="00D413ED"/>
    <w:rsid w:val="00D731CA"/>
    <w:rsid w:val="00DA2AD7"/>
    <w:rsid w:val="00DD0027"/>
    <w:rsid w:val="00E30989"/>
    <w:rsid w:val="00E94E10"/>
    <w:rsid w:val="00ED6EF2"/>
    <w:rsid w:val="00F25F42"/>
    <w:rsid w:val="00F54770"/>
    <w:rsid w:val="00FA0582"/>
    <w:rsid w:val="00FB35FF"/>
    <w:rsid w:val="00FC13EF"/>
    <w:rsid w:val="00FF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A1"/>
  </w:style>
  <w:style w:type="paragraph" w:styleId="Heading1">
    <w:name w:val="heading 1"/>
    <w:basedOn w:val="Normal"/>
    <w:next w:val="Normal"/>
    <w:link w:val="Heading1Char"/>
    <w:uiPriority w:val="9"/>
    <w:qFormat/>
    <w:rsid w:val="00F54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477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5477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547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0DD"/>
    <w:pPr>
      <w:ind w:left="720"/>
      <w:contextualSpacing/>
    </w:pPr>
  </w:style>
  <w:style w:type="table" w:styleId="TableGrid">
    <w:name w:val="Table Grid"/>
    <w:basedOn w:val="TableNormal"/>
    <w:uiPriority w:val="59"/>
    <w:rsid w:val="00CA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33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33579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A65E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AA2A6-1F0C-4A0A-8F4B-311AB91D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chansl</dc:creator>
  <cp:lastModifiedBy>chansl</cp:lastModifiedBy>
  <cp:revision>3</cp:revision>
  <dcterms:created xsi:type="dcterms:W3CDTF">2015-06-24T02:31:00Z</dcterms:created>
  <dcterms:modified xsi:type="dcterms:W3CDTF">2015-06-24T02:32:00Z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chan_szeling@tlgm.a-star.edu.sg@www.mendeley.com</vt:lpwstr>
  </property>
  <property fmtid="{D5CDD505-2E9C-101B-9397-08002B2CF9AE}" pid="4" name="Mendeley Citation Style_1">
    <vt:lpwstr>http://csl.mendeley.com/styles/240856201/PGG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http://csl.mendeley.com/styles/240856201/biomed-central</vt:lpwstr>
  </property>
  <property fmtid="{D5CDD505-2E9C-101B-9397-08002B2CF9AE}" pid="12" name="Mendeley Recent Style Name 3_1">
    <vt:lpwstr>Genome Medicine edited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http://csl.mendeley.com/styles/240856201/PGG</vt:lpwstr>
  </property>
  <property fmtid="{D5CDD505-2E9C-101B-9397-08002B2CF9AE}" pid="20" name="Mendeley Recent Style Name 7_1">
    <vt:lpwstr>Pharmacogenetics and Genomics - Sze Ling Chan</vt:lpwstr>
  </property>
  <property fmtid="{D5CDD505-2E9C-101B-9397-08002B2CF9AE}" pid="21" name="Mendeley Recent Style Id 8_1">
    <vt:lpwstr>http://www.zotero.org/styles/pharmacogenomics</vt:lpwstr>
  </property>
  <property fmtid="{D5CDD505-2E9C-101B-9397-08002B2CF9AE}" pid="22" name="Mendeley Recent Style Name 8_1">
    <vt:lpwstr>Pharmacogenomics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