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24" w:rsidRPr="00D35040" w:rsidRDefault="001B5A24" w:rsidP="001B5A24">
      <w:pPr>
        <w:bidi w:val="0"/>
        <w:spacing w:line="480" w:lineRule="auto"/>
        <w:ind w:left="142"/>
        <w:jc w:val="center"/>
        <w:rPr>
          <w:rFonts w:ascii="Times New Roman" w:hAnsi="Times New Roman"/>
          <w:b/>
          <w:sz w:val="24"/>
          <w:szCs w:val="24"/>
        </w:rPr>
      </w:pPr>
      <w:r>
        <w:rPr>
          <w:rFonts w:ascii="Times New Roman" w:hAnsi="Times New Roman"/>
          <w:i/>
          <w:sz w:val="24"/>
          <w:szCs w:val="24"/>
        </w:rPr>
        <w:t xml:space="preserve">Supplement 1: </w:t>
      </w:r>
      <w:r w:rsidRPr="009E63A6">
        <w:rPr>
          <w:rFonts w:ascii="Times New Roman" w:hAnsi="Times New Roman"/>
          <w:i/>
          <w:sz w:val="24"/>
          <w:szCs w:val="24"/>
        </w:rPr>
        <w:t>The healthcare providers and stakeholders in Th</w:t>
      </w:r>
      <w:bookmarkStart w:id="0" w:name="_GoBack"/>
      <w:bookmarkEnd w:id="0"/>
      <w:r w:rsidRPr="009E63A6">
        <w:rPr>
          <w:rFonts w:ascii="Times New Roman" w:hAnsi="Times New Roman"/>
          <w:i/>
          <w:sz w:val="24"/>
          <w:szCs w:val="24"/>
        </w:rPr>
        <w:t>e Crucible simulation.</w:t>
      </w:r>
      <w:r>
        <w:rPr>
          <w:rFonts w:ascii="Times New Roman" w:hAnsi="Times New Roman"/>
          <w:i/>
          <w:sz w:val="24"/>
          <w:szCs w:val="24"/>
        </w:rPr>
        <w:t xml:space="preserve"> (Reproduced with permission from Loop2)</w:t>
      </w:r>
    </w:p>
    <w:tbl>
      <w:tblPr>
        <w:tblStyle w:val="TableGri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88"/>
      </w:tblGrid>
      <w:tr w:rsidR="00EE7859" w:rsidTr="00324B8D">
        <w:tc>
          <w:tcPr>
            <w:tcW w:w="8363" w:type="dxa"/>
          </w:tcPr>
          <w:p w:rsidR="00EE7859" w:rsidRDefault="00EE7859" w:rsidP="00EE7859">
            <w:pPr>
              <w:bidi w:val="0"/>
              <w:spacing w:line="480" w:lineRule="auto"/>
              <w:ind w:left="142"/>
              <w:rPr>
                <w:rFonts w:ascii="Times New Roman" w:hAnsi="Times New Roman"/>
                <w:b/>
              </w:rPr>
            </w:pPr>
          </w:p>
          <w:p w:rsidR="00EE7859" w:rsidRPr="001130E0" w:rsidRDefault="00EE7859" w:rsidP="00EE7859">
            <w:pPr>
              <w:bidi w:val="0"/>
              <w:spacing w:line="480" w:lineRule="auto"/>
              <w:ind w:left="142"/>
              <w:rPr>
                <w:rFonts w:ascii="Times New Roman" w:hAnsi="Times New Roman"/>
                <w:b/>
              </w:rPr>
            </w:pPr>
            <w:r w:rsidRPr="001130E0">
              <w:rPr>
                <w:rFonts w:ascii="Times New Roman" w:hAnsi="Times New Roman"/>
                <w:b/>
              </w:rPr>
              <w:t>The Crucible: Healthcare organisations</w:t>
            </w:r>
            <w:r>
              <w:rPr>
                <w:rFonts w:ascii="Times New Roman" w:hAnsi="Times New Roman"/>
                <w:b/>
              </w:rPr>
              <w:t xml:space="preserve"> and stakeholders</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rPr>
              <w:t xml:space="preserve">There are a number of healthcare facilities in the boroughs. A large teaching hospital, </w:t>
            </w:r>
            <w:proofErr w:type="spellStart"/>
            <w:r w:rsidRPr="001130E0">
              <w:rPr>
                <w:rFonts w:ascii="Times New Roman" w:hAnsi="Times New Roman"/>
                <w:b/>
              </w:rPr>
              <w:t>Barnden</w:t>
            </w:r>
            <w:proofErr w:type="spellEnd"/>
            <w:r w:rsidRPr="001130E0">
              <w:rPr>
                <w:rFonts w:ascii="Times New Roman" w:hAnsi="Times New Roman"/>
                <w:b/>
              </w:rPr>
              <w:t xml:space="preserve"> Hospital NHS Foundation Trust</w:t>
            </w:r>
            <w:r w:rsidRPr="001130E0">
              <w:rPr>
                <w:rFonts w:ascii="Times New Roman" w:hAnsi="Times New Roman"/>
              </w:rPr>
              <w:t xml:space="preserve">, sits on the border between the two boroughs. The hospital has a private finance initiate tower block, and was until recently performing well financially although it is now struggling to meet the efficiency savings targets. The trust leadership are concerned about competition and strategic advances made by private companies and the neighbouring </w:t>
            </w:r>
            <w:r w:rsidRPr="001130E0">
              <w:rPr>
                <w:rFonts w:ascii="Times New Roman" w:hAnsi="Times New Roman"/>
                <w:b/>
              </w:rPr>
              <w:t>St Charles University Hospital Trust</w:t>
            </w:r>
            <w:r w:rsidRPr="001130E0">
              <w:rPr>
                <w:rFonts w:ascii="Times New Roman" w:hAnsi="Times New Roman"/>
              </w:rPr>
              <w:t>, which sits in a neighbouring borough. Internally, there are ideological divisions between the directorates.</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rPr>
              <w:t xml:space="preserve">Mental Health and Community Health services are provided by the </w:t>
            </w:r>
            <w:proofErr w:type="spellStart"/>
            <w:r w:rsidRPr="001130E0">
              <w:rPr>
                <w:rFonts w:ascii="Times New Roman" w:hAnsi="Times New Roman"/>
                <w:b/>
              </w:rPr>
              <w:t>Barnden</w:t>
            </w:r>
            <w:proofErr w:type="spellEnd"/>
            <w:r w:rsidRPr="001130E0">
              <w:rPr>
                <w:rFonts w:ascii="Times New Roman" w:hAnsi="Times New Roman"/>
                <w:b/>
              </w:rPr>
              <w:t xml:space="preserve"> and </w:t>
            </w:r>
            <w:proofErr w:type="spellStart"/>
            <w:r w:rsidRPr="001130E0">
              <w:rPr>
                <w:rFonts w:ascii="Times New Roman" w:hAnsi="Times New Roman"/>
                <w:b/>
              </w:rPr>
              <w:t>Hambridge</w:t>
            </w:r>
            <w:proofErr w:type="spellEnd"/>
            <w:r w:rsidRPr="001130E0">
              <w:rPr>
                <w:rFonts w:ascii="Times New Roman" w:hAnsi="Times New Roman"/>
                <w:b/>
              </w:rPr>
              <w:t xml:space="preserve"> Partnership Foundation Trust</w:t>
            </w:r>
            <w:r w:rsidRPr="001130E0">
              <w:rPr>
                <w:rFonts w:ascii="Times New Roman" w:hAnsi="Times New Roman"/>
              </w:rPr>
              <w:t xml:space="preserve">. The trust is keen to promote a more integrated approach to community treatment, given the increasing life expectancy and complex long-term care needs of its patients, but is concerned that investment may not be forthcoming. </w:t>
            </w:r>
          </w:p>
          <w:p w:rsidR="00EE7859" w:rsidRPr="001130E0" w:rsidRDefault="00EE7859" w:rsidP="00EE7859">
            <w:pPr>
              <w:bidi w:val="0"/>
              <w:spacing w:line="480" w:lineRule="auto"/>
              <w:ind w:left="142"/>
              <w:rPr>
                <w:rFonts w:ascii="Times New Roman" w:hAnsi="Times New Roman"/>
              </w:rPr>
            </w:pPr>
            <w:proofErr w:type="spellStart"/>
            <w:r w:rsidRPr="001130E0">
              <w:rPr>
                <w:rFonts w:ascii="Times New Roman" w:hAnsi="Times New Roman"/>
                <w:b/>
              </w:rPr>
              <w:t>Lucro</w:t>
            </w:r>
            <w:proofErr w:type="spellEnd"/>
            <w:r w:rsidRPr="001130E0">
              <w:rPr>
                <w:rFonts w:ascii="Times New Roman" w:hAnsi="Times New Roman"/>
                <w:b/>
              </w:rPr>
              <w:t xml:space="preserve"> Healthcare</w:t>
            </w:r>
            <w:r w:rsidRPr="001130E0">
              <w:rPr>
                <w:rFonts w:ascii="Times New Roman" w:hAnsi="Times New Roman"/>
              </w:rPr>
              <w:t xml:space="preserve"> is a private provider which is being increasingly utilised to provide diagnostic, day-case and ambulatory medical care to NHS patients. </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b/>
              </w:rPr>
              <w:t>Primary care</w:t>
            </w:r>
            <w:r w:rsidRPr="001130E0">
              <w:rPr>
                <w:rFonts w:ascii="Times New Roman" w:hAnsi="Times New Roman"/>
              </w:rPr>
              <w:t xml:space="preserve"> is provided by a range of practices, from small, poorly funded single handed practices, to larger groups in modern centres. Performance is variable; some are innovative and provide high quality services, others less so. </w:t>
            </w:r>
          </w:p>
          <w:p w:rsidR="00EE7859" w:rsidRPr="001130E0" w:rsidRDefault="00EE7859" w:rsidP="00EE7859">
            <w:pPr>
              <w:bidi w:val="0"/>
              <w:spacing w:line="480" w:lineRule="auto"/>
              <w:ind w:left="142"/>
              <w:rPr>
                <w:rFonts w:ascii="Times New Roman" w:hAnsi="Times New Roman"/>
              </w:rPr>
            </w:pPr>
            <w:proofErr w:type="spellStart"/>
            <w:r w:rsidRPr="001130E0">
              <w:rPr>
                <w:rFonts w:ascii="Times New Roman" w:hAnsi="Times New Roman"/>
                <w:b/>
              </w:rPr>
              <w:t>WeCare</w:t>
            </w:r>
            <w:proofErr w:type="spellEnd"/>
            <w:r w:rsidRPr="001130E0">
              <w:rPr>
                <w:rFonts w:ascii="Times New Roman" w:hAnsi="Times New Roman"/>
                <w:b/>
              </w:rPr>
              <w:t xml:space="preserve"> Limited</w:t>
            </w:r>
            <w:r w:rsidRPr="001130E0">
              <w:rPr>
                <w:rFonts w:ascii="Times New Roman" w:hAnsi="Times New Roman"/>
              </w:rPr>
              <w:t xml:space="preserve"> are the largest social care provider in the boroughs, supporting both self-paying and state-funded home help for over one-third of the market. Voluntary sector organisations are also represented in the boroughs.</w:t>
            </w:r>
          </w:p>
          <w:p w:rsidR="00EE7859" w:rsidRPr="001130E0" w:rsidRDefault="00EE7859" w:rsidP="00EE7859">
            <w:pPr>
              <w:bidi w:val="0"/>
              <w:spacing w:line="480" w:lineRule="auto"/>
              <w:ind w:left="142"/>
              <w:rPr>
                <w:rFonts w:ascii="Times New Roman" w:hAnsi="Times New Roman"/>
              </w:rPr>
            </w:pPr>
            <w:proofErr w:type="spellStart"/>
            <w:r w:rsidRPr="001130E0">
              <w:rPr>
                <w:rFonts w:ascii="Times New Roman" w:hAnsi="Times New Roman"/>
                <w:b/>
              </w:rPr>
              <w:t>Barnden</w:t>
            </w:r>
            <w:proofErr w:type="spellEnd"/>
            <w:r w:rsidRPr="001130E0">
              <w:rPr>
                <w:rFonts w:ascii="Times New Roman" w:hAnsi="Times New Roman"/>
                <w:b/>
              </w:rPr>
              <w:t xml:space="preserve"> and </w:t>
            </w:r>
            <w:proofErr w:type="spellStart"/>
            <w:r w:rsidRPr="001130E0">
              <w:rPr>
                <w:rFonts w:ascii="Times New Roman" w:hAnsi="Times New Roman"/>
                <w:b/>
              </w:rPr>
              <w:t>Hambridge</w:t>
            </w:r>
            <w:proofErr w:type="spellEnd"/>
            <w:r w:rsidRPr="001130E0">
              <w:rPr>
                <w:rFonts w:ascii="Times New Roman" w:hAnsi="Times New Roman"/>
                <w:b/>
              </w:rPr>
              <w:t xml:space="preserve"> CCG</w:t>
            </w:r>
            <w:r w:rsidRPr="001130E0">
              <w:rPr>
                <w:rFonts w:ascii="Times New Roman" w:hAnsi="Times New Roman"/>
              </w:rPr>
              <w:t xml:space="preserve"> commissions the majority of NHS care in the </w:t>
            </w:r>
            <w:r w:rsidRPr="001130E0">
              <w:rPr>
                <w:rFonts w:ascii="Times New Roman" w:hAnsi="Times New Roman"/>
              </w:rPr>
              <w:lastRenderedPageBreak/>
              <w:t>boroughs. It is led by GPs and two-lay members. The CCG has detailed plans to achieve £12million in efficiency savings in the next two years using a six-point plan consisting of; reducing the range of CCG-funded procedures; encouraging primary care to provide certain invasive procedures; reducing A+E attendances; quality-checking of GP referrals; reducing outpatient follow-up appointments and delivering long-term care in the community or at home.</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rPr>
              <w:t xml:space="preserve">The local branch of the </w:t>
            </w:r>
            <w:r w:rsidRPr="001130E0">
              <w:rPr>
                <w:rFonts w:ascii="Times New Roman" w:hAnsi="Times New Roman"/>
                <w:b/>
              </w:rPr>
              <w:t>NHS Commissioning Board</w:t>
            </w:r>
            <w:r w:rsidRPr="001130E0">
              <w:rPr>
                <w:rFonts w:ascii="Times New Roman" w:hAnsi="Times New Roman"/>
              </w:rPr>
              <w:t xml:space="preserve"> is responsible for commissioning specialist services not covered by the CCG. In addition, the board have expressed concerns as to the viability of the CCG plans summarised above. </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rPr>
              <w:t xml:space="preserve">In the boroughs of </w:t>
            </w:r>
            <w:proofErr w:type="spellStart"/>
            <w:r w:rsidRPr="001130E0">
              <w:rPr>
                <w:rFonts w:ascii="Times New Roman" w:hAnsi="Times New Roman"/>
              </w:rPr>
              <w:t>Barnden</w:t>
            </w:r>
            <w:proofErr w:type="spellEnd"/>
            <w:r w:rsidRPr="001130E0">
              <w:rPr>
                <w:rFonts w:ascii="Times New Roman" w:hAnsi="Times New Roman"/>
              </w:rPr>
              <w:t xml:space="preserve"> and </w:t>
            </w:r>
            <w:proofErr w:type="spellStart"/>
            <w:r w:rsidRPr="001130E0">
              <w:rPr>
                <w:rFonts w:ascii="Times New Roman" w:hAnsi="Times New Roman"/>
              </w:rPr>
              <w:t>Hambridge</w:t>
            </w:r>
            <w:proofErr w:type="spellEnd"/>
            <w:r w:rsidRPr="001130E0">
              <w:rPr>
                <w:rFonts w:ascii="Times New Roman" w:hAnsi="Times New Roman"/>
              </w:rPr>
              <w:t xml:space="preserve">, the performance of healthcare providers is regulated during the simulation by the </w:t>
            </w:r>
            <w:r w:rsidRPr="001130E0">
              <w:rPr>
                <w:rFonts w:ascii="Times New Roman" w:hAnsi="Times New Roman"/>
                <w:b/>
              </w:rPr>
              <w:t>Combined regulator</w:t>
            </w:r>
            <w:r w:rsidRPr="001130E0">
              <w:rPr>
                <w:rFonts w:ascii="Times New Roman" w:hAnsi="Times New Roman"/>
              </w:rPr>
              <w:t xml:space="preserve">, which covers the roles of the Care Quality Commission and Monitor. The regulator is concerned that </w:t>
            </w:r>
            <w:proofErr w:type="spellStart"/>
            <w:r w:rsidRPr="001130E0">
              <w:rPr>
                <w:rFonts w:ascii="Times New Roman" w:hAnsi="Times New Roman"/>
              </w:rPr>
              <w:t>Barnden</w:t>
            </w:r>
            <w:proofErr w:type="spellEnd"/>
            <w:r w:rsidRPr="001130E0">
              <w:rPr>
                <w:rFonts w:ascii="Times New Roman" w:hAnsi="Times New Roman"/>
              </w:rPr>
              <w:t xml:space="preserve"> NHS Foundation Trust has not addressed the CCG commissioning plan and may become financially unviable within two years. </w:t>
            </w:r>
          </w:p>
          <w:p w:rsidR="00EE7859" w:rsidRPr="001130E0" w:rsidRDefault="00EE7859" w:rsidP="00EE7859">
            <w:pPr>
              <w:bidi w:val="0"/>
              <w:spacing w:line="480" w:lineRule="auto"/>
              <w:ind w:left="142"/>
              <w:rPr>
                <w:rFonts w:ascii="Times New Roman" w:hAnsi="Times New Roman"/>
              </w:rPr>
            </w:pPr>
            <w:r w:rsidRPr="001130E0">
              <w:rPr>
                <w:rFonts w:ascii="Times New Roman" w:hAnsi="Times New Roman"/>
                <w:b/>
              </w:rPr>
              <w:t xml:space="preserve">The borough councils of </w:t>
            </w:r>
            <w:proofErr w:type="spellStart"/>
            <w:r w:rsidRPr="001130E0">
              <w:rPr>
                <w:rFonts w:ascii="Times New Roman" w:hAnsi="Times New Roman"/>
                <w:b/>
              </w:rPr>
              <w:t>Barnden</w:t>
            </w:r>
            <w:proofErr w:type="spellEnd"/>
            <w:r w:rsidRPr="001130E0">
              <w:rPr>
                <w:rFonts w:ascii="Times New Roman" w:hAnsi="Times New Roman"/>
                <w:b/>
              </w:rPr>
              <w:t xml:space="preserve"> and </w:t>
            </w:r>
            <w:proofErr w:type="spellStart"/>
            <w:r w:rsidRPr="001130E0">
              <w:rPr>
                <w:rFonts w:ascii="Times New Roman" w:hAnsi="Times New Roman"/>
                <w:b/>
              </w:rPr>
              <w:t>Hambridge</w:t>
            </w:r>
            <w:proofErr w:type="spellEnd"/>
            <w:r w:rsidRPr="001130E0">
              <w:rPr>
                <w:rFonts w:ascii="Times New Roman" w:hAnsi="Times New Roman"/>
              </w:rPr>
              <w:t xml:space="preserve"> have established objectives to halve adult and childhood obesity within 5 years, utilising health, leisure and social care providers to achieve this. They councils have also commissioned a combined </w:t>
            </w:r>
            <w:proofErr w:type="spellStart"/>
            <w:r w:rsidRPr="001130E0">
              <w:rPr>
                <w:rFonts w:ascii="Times New Roman" w:hAnsi="Times New Roman"/>
                <w:b/>
              </w:rPr>
              <w:t>Healthwatch</w:t>
            </w:r>
            <w:proofErr w:type="spellEnd"/>
            <w:r w:rsidRPr="001130E0">
              <w:rPr>
                <w:rFonts w:ascii="Times New Roman" w:hAnsi="Times New Roman"/>
              </w:rPr>
              <w:t xml:space="preserve"> organisation to serve both boroughs; this contract was won by a voluntary organisation supporting minority groups with a focus on community support.</w:t>
            </w:r>
          </w:p>
        </w:tc>
      </w:tr>
    </w:tbl>
    <w:p w:rsidR="00EE7859" w:rsidRDefault="00EE7859" w:rsidP="00EE7859">
      <w:pPr>
        <w:bidi w:val="0"/>
      </w:pPr>
    </w:p>
    <w:p w:rsidR="00EE7859" w:rsidRDefault="00EE7859" w:rsidP="00EE7859">
      <w:pPr>
        <w:bidi w:val="0"/>
      </w:pPr>
    </w:p>
    <w:p w:rsidR="00EE7859" w:rsidRDefault="00EE7859" w:rsidP="00EE7859">
      <w:pPr>
        <w:bidi w:val="0"/>
        <w:spacing w:line="480" w:lineRule="auto"/>
        <w:ind w:left="142"/>
        <w:rPr>
          <w:rFonts w:ascii="Times New Roman" w:hAnsi="Times New Roman"/>
          <w:i/>
          <w:sz w:val="24"/>
          <w:szCs w:val="24"/>
        </w:rPr>
      </w:pPr>
    </w:p>
    <w:p w:rsidR="00D5421C" w:rsidRDefault="00D5421C" w:rsidP="00EE7859">
      <w:pPr>
        <w:bidi w:val="0"/>
      </w:pPr>
    </w:p>
    <w:sectPr w:rsidR="00D5421C" w:rsidSect="00835A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59"/>
    <w:rsid w:val="001B5A24"/>
    <w:rsid w:val="00835A23"/>
    <w:rsid w:val="00D35040"/>
    <w:rsid w:val="00D5421C"/>
    <w:rsid w:val="00EE7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8976-87D0-4893-9FF6-A76A11A5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859"/>
    <w:pPr>
      <w:spacing w:after="0"/>
    </w:pPr>
    <w:rPr>
      <w:rFonts w:eastAsiaTheme="minorEastAsia"/>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7522BD8-6C1F-4615-B8FE-517B9D6E293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ivo vlaev</cp:lastModifiedBy>
  <cp:revision>3</cp:revision>
  <dcterms:created xsi:type="dcterms:W3CDTF">2015-10-20T13:50:00Z</dcterms:created>
  <dcterms:modified xsi:type="dcterms:W3CDTF">2016-03-09T11:50:00Z</dcterms:modified>
</cp:coreProperties>
</file>